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January 31, 2014</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80"/>
          </w:cols>
          <w:pgMar w:left="240" w:top="544" w:right="1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60"/>
          </w:cols>
          <w:pgMar w:left="240" w:top="544" w:right="199" w:bottom="0"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color w:val="auto"/>
        </w:rPr>
        <w:t>Micron Technology, Inc. (“Micron”) is furnishing certain information regarding its business on Exhibit 99.1 to this report.</w:t>
      </w:r>
    </w:p>
    <w:p>
      <w:pPr>
        <w:spacing w:after="0" w:line="221"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jc w:val="both"/>
        <w:ind w:right="80"/>
        <w:spacing w:after="0" w:line="312" w:lineRule="auto"/>
        <w:rPr>
          <w:sz w:val="20"/>
          <w:szCs w:val="20"/>
          <w:color w:val="auto"/>
        </w:rPr>
      </w:pPr>
      <w:r>
        <w:rPr>
          <w:rFonts w:ascii="Arial" w:cs="Arial" w:eastAsia="Arial" w:hAnsi="Arial"/>
          <w:sz w:val="16"/>
          <w:szCs w:val="16"/>
          <w:color w:val="auto"/>
        </w:rPr>
        <w:t>On January 31, 2014, Micron issued a press release announcing the proposed private placement of senior notes due 2022 and its delivery of notice to holders of its outstanding 1.875% convertible senior notes due 2014 that their notes will be redeemed on March 3, 2014, except to the extent such notes are converted or repurchased by Micron prior to such date. A copy of this press release is filed as Exhibit 99.2 to this report and is incorporated herein by reference.</w:t>
      </w:r>
    </w:p>
    <w:p>
      <w:pPr>
        <w:spacing w:after="0" w:line="143"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exhibits are attached herewith:</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2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r>
      <w:tr>
        <w:trPr>
          <w:trHeight w:val="224"/>
        </w:trPr>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10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Disclosure regarding Micron Technology Inc.’s business.</w:t>
            </w:r>
          </w:p>
        </w:tc>
        <w:tc>
          <w:tcPr>
            <w:tcW w:w="100" w:type="dxa"/>
            <w:vAlign w:val="bottom"/>
          </w:tcPr>
          <w:p>
            <w:pPr>
              <w:spacing w:after="0"/>
              <w:rPr>
                <w:sz w:val="19"/>
                <w:szCs w:val="19"/>
                <w:color w:val="auto"/>
              </w:rPr>
            </w:pPr>
          </w:p>
        </w:tc>
      </w:tr>
      <w:tr>
        <w:trPr>
          <w:trHeight w:val="418"/>
        </w:trPr>
        <w:tc>
          <w:tcPr>
            <w:tcW w:w="2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24"/>
                <w:szCs w:val="24"/>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Press Release of Micron Technology, Inc., dated January 31, 2014, announcing offering of senior notes.</w:t>
            </w:r>
          </w:p>
        </w:tc>
        <w:tc>
          <w:tcPr>
            <w:tcW w:w="10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tcPr>
          <w:p>
            <w:pPr>
              <w:jc w:val="right"/>
              <w:ind w:right="55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r>
      <w:tr>
        <w:trPr>
          <w:trHeight w:val="132"/>
        </w:trPr>
        <w:tc>
          <w:tcPr>
            <w:tcW w:w="2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Arial" w:cs="Arial" w:eastAsia="Arial" w:hAnsi="Arial"/>
                <w:sz w:val="18"/>
                <w:szCs w:val="18"/>
                <w:color w:val="auto"/>
              </w:rPr>
              <w:t>Date: January 31, 2014</w:t>
            </w:r>
          </w:p>
        </w:tc>
        <w:tc>
          <w:tcPr>
            <w:tcW w:w="28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Foster</w:t>
            </w:r>
          </w:p>
        </w:tc>
        <w:tc>
          <w:tcPr>
            <w:tcW w:w="40" w:type="dxa"/>
            <w:vAlign w:val="bottom"/>
          </w:tcPr>
          <w:p>
            <w:pPr>
              <w:spacing w:after="0"/>
              <w:rPr>
                <w:sz w:val="24"/>
                <w:szCs w:val="24"/>
                <w:color w:val="auto"/>
              </w:rPr>
            </w:pPr>
          </w:p>
        </w:tc>
      </w:tr>
      <w:tr>
        <w:trPr>
          <w:trHeight w:val="195"/>
        </w:trPr>
        <w:tc>
          <w:tcPr>
            <w:tcW w:w="3680" w:type="dxa"/>
            <w:vAlign w:val="bottom"/>
          </w:tcPr>
          <w:p>
            <w:pPr>
              <w:spacing w:after="0"/>
              <w:rPr>
                <w:sz w:val="16"/>
                <w:szCs w:val="16"/>
                <w:color w:val="auto"/>
              </w:rPr>
            </w:pPr>
          </w:p>
        </w:tc>
        <w:tc>
          <w:tcPr>
            <w:tcW w:w="28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8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20" w:type="dxa"/>
            <w:vAlign w:val="bottom"/>
          </w:tcPr>
          <w:p>
            <w:pPr>
              <w:jc w:val="center"/>
              <w:ind w:right="131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20" w:type="dxa"/>
            <w:vAlign w:val="bottom"/>
          </w:tcPr>
          <w:p>
            <w:pPr>
              <w:jc w:val="center"/>
              <w:ind w:right="1294"/>
              <w:spacing w:after="0"/>
              <w:rPr>
                <w:sz w:val="20"/>
                <w:szCs w:val="20"/>
                <w:color w:val="auto"/>
              </w:rPr>
            </w:pPr>
            <w:r>
              <w:rPr>
                <w:rFonts w:ascii="Arial" w:cs="Arial" w:eastAsia="Arial" w:hAnsi="Arial"/>
                <w:sz w:val="18"/>
                <w:szCs w:val="18"/>
                <w:b w:val="1"/>
                <w:bCs w:val="1"/>
                <w:color w:val="auto"/>
                <w:w w:val="98"/>
              </w:rPr>
              <w:t>THE CURRENT REPORT ON FORM 8-K DATED JANUARY 31, 2014</w:t>
            </w:r>
          </w:p>
        </w:tc>
        <w:tc>
          <w:tcPr>
            <w:tcW w:w="40" w:type="dxa"/>
            <w:vAlign w:val="bottom"/>
          </w:tcPr>
          <w:p>
            <w:pPr>
              <w:spacing w:after="0"/>
              <w:rPr>
                <w:sz w:val="20"/>
                <w:szCs w:val="20"/>
                <w:color w:val="auto"/>
              </w:rPr>
            </w:pPr>
          </w:p>
        </w:tc>
      </w:tr>
      <w:tr>
        <w:trPr>
          <w:trHeight w:val="365"/>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1002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10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Disclosure regarding Micron Technology Inc.’s business.</w:t>
            </w:r>
          </w:p>
        </w:tc>
        <w:tc>
          <w:tcPr>
            <w:tcW w:w="40" w:type="dxa"/>
            <w:vAlign w:val="bottom"/>
          </w:tcPr>
          <w:p>
            <w:pPr>
              <w:spacing w:after="0"/>
              <w:rPr>
                <w:sz w:val="19"/>
                <w:szCs w:val="19"/>
                <w:color w:val="auto"/>
              </w:rPr>
            </w:pPr>
          </w:p>
        </w:tc>
      </w:tr>
      <w:tr>
        <w:trPr>
          <w:trHeight w:val="418"/>
        </w:trPr>
        <w:tc>
          <w:tcPr>
            <w:tcW w:w="1120" w:type="dxa"/>
            <w:vAlign w:val="bottom"/>
            <w:gridSpan w:val="2"/>
          </w:tcPr>
          <w:p>
            <w:pPr>
              <w:spacing w:after="0"/>
              <w:rPr>
                <w:sz w:val="20"/>
                <w:szCs w:val="20"/>
                <w:color w:val="auto"/>
              </w:rPr>
            </w:pPr>
            <w:r>
              <w:rPr>
                <w:rFonts w:ascii="Arial" w:cs="Arial" w:eastAsia="Arial" w:hAnsi="Arial"/>
                <w:sz w:val="18"/>
                <w:szCs w:val="18"/>
                <w:color w:val="auto"/>
              </w:rPr>
              <w:t>99.2</w:t>
            </w:r>
          </w:p>
        </w:tc>
        <w:tc>
          <w:tcPr>
            <w:tcW w:w="10300" w:type="dxa"/>
            <w:vAlign w:val="bottom"/>
            <w:gridSpan w:val="2"/>
          </w:tcPr>
          <w:p>
            <w:pPr>
              <w:ind w:left="280"/>
              <w:spacing w:after="0"/>
              <w:rPr>
                <w:sz w:val="20"/>
                <w:szCs w:val="20"/>
                <w:color w:val="auto"/>
              </w:rPr>
            </w:pPr>
            <w:r>
              <w:rPr>
                <w:rFonts w:ascii="Arial" w:cs="Arial" w:eastAsia="Arial" w:hAnsi="Arial"/>
                <w:sz w:val="18"/>
                <w:szCs w:val="18"/>
                <w:color w:val="auto"/>
              </w:rPr>
              <w:t>Press Release of Micron Technology, Inc., dated January 31, 2014, announcing offering of senior notes.</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300" w:type="dxa"/>
            <w:vAlign w:val="bottom"/>
            <w:gridSpan w:val="2"/>
          </w:tcPr>
          <w:p>
            <w:pPr>
              <w:jc w:val="center"/>
              <w:ind w:right="103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2" w:name="page3"/>
    <w:bookmarkEnd w:id="2"/>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169545</wp:posOffset>
            </wp:positionV>
            <wp:extent cx="6689090" cy="5017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9090" cy="501713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226060</wp:posOffset>
            </wp:positionH>
            <wp:positionV relativeFrom="page">
              <wp:posOffset>88900</wp:posOffset>
            </wp:positionV>
            <wp:extent cx="6689090" cy="5017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689090" cy="5017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10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ind w:left="300"/>
              <w:spacing w:after="0"/>
              <w:rPr>
                <w:sz w:val="20"/>
                <w:szCs w:val="20"/>
                <w:color w:val="auto"/>
              </w:rPr>
            </w:pPr>
            <w:r>
              <w:rPr>
                <w:rFonts w:ascii="Arial" w:cs="Arial" w:eastAsia="Arial" w:hAnsi="Arial"/>
                <w:sz w:val="18"/>
                <w:szCs w:val="18"/>
                <w:color w:val="auto"/>
              </w:rPr>
              <w:t>Kipp A. Bedard</w:t>
            </w:r>
          </w:p>
        </w:tc>
        <w:tc>
          <w:tcPr>
            <w:tcW w:w="2100" w:type="dxa"/>
            <w:vAlign w:val="bottom"/>
          </w:tcPr>
          <w:p>
            <w:pPr>
              <w:ind w:left="320"/>
              <w:spacing w:after="0"/>
              <w:rPr>
                <w:sz w:val="20"/>
                <w:szCs w:val="20"/>
                <w:color w:val="auto"/>
              </w:rPr>
            </w:pPr>
            <w:r>
              <w:rPr>
                <w:rFonts w:ascii="Arial" w:cs="Arial" w:eastAsia="Arial" w:hAnsi="Arial"/>
                <w:sz w:val="18"/>
                <w:szCs w:val="18"/>
                <w:color w:val="auto"/>
              </w:rPr>
              <w:t>Daniel Francisco</w:t>
            </w:r>
          </w:p>
        </w:tc>
      </w:tr>
      <w:tr>
        <w:trPr>
          <w:trHeight w:val="216"/>
        </w:trPr>
        <w:tc>
          <w:tcPr>
            <w:tcW w:w="960" w:type="dxa"/>
            <w:vAlign w:val="bottom"/>
          </w:tcPr>
          <w:p>
            <w:pPr>
              <w:spacing w:after="0"/>
              <w:rPr>
                <w:sz w:val="18"/>
                <w:szCs w:val="18"/>
                <w:color w:val="auto"/>
              </w:rPr>
            </w:pPr>
          </w:p>
        </w:tc>
        <w:tc>
          <w:tcPr>
            <w:tcW w:w="2220" w:type="dxa"/>
            <w:vAlign w:val="bottom"/>
          </w:tcPr>
          <w:p>
            <w:pPr>
              <w:ind w:left="300"/>
              <w:spacing w:after="0"/>
              <w:rPr>
                <w:sz w:val="20"/>
                <w:szCs w:val="20"/>
                <w:color w:val="auto"/>
              </w:rPr>
            </w:pPr>
            <w:r>
              <w:rPr>
                <w:rFonts w:ascii="Arial" w:cs="Arial" w:eastAsia="Arial" w:hAnsi="Arial"/>
                <w:sz w:val="18"/>
                <w:szCs w:val="18"/>
                <w:color w:val="auto"/>
              </w:rPr>
              <w:t>Investor Relations</w:t>
            </w:r>
          </w:p>
        </w:tc>
        <w:tc>
          <w:tcPr>
            <w:tcW w:w="2100" w:type="dxa"/>
            <w:vAlign w:val="bottom"/>
          </w:tcPr>
          <w:p>
            <w:pPr>
              <w:ind w:left="320"/>
              <w:spacing w:after="0"/>
              <w:rPr>
                <w:sz w:val="20"/>
                <w:szCs w:val="20"/>
                <w:color w:val="auto"/>
              </w:rPr>
            </w:pPr>
            <w:r>
              <w:rPr>
                <w:rFonts w:ascii="Arial" w:cs="Arial" w:eastAsia="Arial" w:hAnsi="Arial"/>
                <w:sz w:val="18"/>
                <w:szCs w:val="18"/>
                <w:color w:val="auto"/>
              </w:rPr>
              <w:t>Media Relations</w:t>
            </w:r>
          </w:p>
        </w:tc>
      </w:tr>
      <w:tr>
        <w:trPr>
          <w:trHeight w:val="216"/>
        </w:trPr>
        <w:tc>
          <w:tcPr>
            <w:tcW w:w="960" w:type="dxa"/>
            <w:vAlign w:val="bottom"/>
          </w:tcPr>
          <w:p>
            <w:pPr>
              <w:spacing w:after="0"/>
              <w:rPr>
                <w:sz w:val="18"/>
                <w:szCs w:val="18"/>
                <w:color w:val="auto"/>
              </w:rPr>
            </w:pPr>
          </w:p>
        </w:tc>
        <w:tc>
          <w:tcPr>
            <w:tcW w:w="2220" w:type="dxa"/>
            <w:vAlign w:val="bottom"/>
          </w:tcPr>
          <w:p>
            <w:pPr>
              <w:ind w:left="300"/>
              <w:spacing w:after="0"/>
              <w:rPr>
                <w:sz w:val="20"/>
                <w:szCs w:val="20"/>
                <w:color w:val="auto"/>
              </w:rPr>
            </w:pPr>
            <w:r>
              <w:rPr>
                <w:rFonts w:ascii="Arial" w:cs="Arial" w:eastAsia="Arial" w:hAnsi="Arial"/>
                <w:sz w:val="18"/>
                <w:szCs w:val="18"/>
                <w:color w:val="auto"/>
              </w:rPr>
              <w:t>kbedard@micron.com</w:t>
            </w:r>
          </w:p>
        </w:tc>
        <w:tc>
          <w:tcPr>
            <w:tcW w:w="2100" w:type="dxa"/>
            <w:vAlign w:val="bottom"/>
          </w:tcPr>
          <w:p>
            <w:pPr>
              <w:ind w:left="32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960" w:type="dxa"/>
            <w:vAlign w:val="bottom"/>
          </w:tcPr>
          <w:p>
            <w:pPr>
              <w:spacing w:after="0"/>
              <w:rPr>
                <w:sz w:val="20"/>
                <w:szCs w:val="20"/>
                <w:color w:val="auto"/>
              </w:rPr>
            </w:pPr>
          </w:p>
        </w:tc>
        <w:tc>
          <w:tcPr>
            <w:tcW w:w="2220" w:type="dxa"/>
            <w:vAlign w:val="bottom"/>
          </w:tcPr>
          <w:p>
            <w:pPr>
              <w:ind w:left="300"/>
              <w:spacing w:after="0"/>
              <w:rPr>
                <w:sz w:val="20"/>
                <w:szCs w:val="20"/>
                <w:color w:val="auto"/>
              </w:rPr>
            </w:pPr>
            <w:r>
              <w:rPr>
                <w:rFonts w:ascii="Arial" w:cs="Arial" w:eastAsia="Arial" w:hAnsi="Arial"/>
                <w:sz w:val="18"/>
                <w:szCs w:val="18"/>
                <w:color w:val="auto"/>
              </w:rPr>
              <w:t>(208) 368-4465</w:t>
            </w:r>
          </w:p>
        </w:tc>
        <w:tc>
          <w:tcPr>
            <w:tcW w:w="2100" w:type="dxa"/>
            <w:vAlign w:val="bottom"/>
          </w:tcPr>
          <w:p>
            <w:pPr>
              <w:ind w:left="320"/>
              <w:spacing w:after="0"/>
              <w:rPr>
                <w:sz w:val="20"/>
                <w:szCs w:val="20"/>
                <w:color w:val="auto"/>
              </w:rPr>
            </w:pPr>
            <w:r>
              <w:rPr>
                <w:rFonts w:ascii="Arial" w:cs="Arial" w:eastAsia="Arial" w:hAnsi="Arial"/>
                <w:sz w:val="18"/>
                <w:szCs w:val="18"/>
                <w:color w:val="auto"/>
              </w:rPr>
              <w:t>(208) 368-5584</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ANNOUNCES PROPOSED $500 MILLION OFFERING OF SENIOR NOTES</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January 31, 2014 — Micron Technology, Inc., (NASDAQ: MU) today announced that it intends to offer, subject to market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considerations, $500 million aggregate principal amount of senior notes due 2022 (the “Notes”) through an offering to qualified institutional buyers pursuant to Rule 144A under the Securities Act of 1933, as amended (the “Securities Act”), and outside the United States to non-U.S. persons pursuant to Regulation S under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redemption provisions and other terms of the Notes will be determined by negotiations between Micron and the initial purchasers.</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Micron intends to use the net proceeds from this offering to pay a portion of the costs of extinguishing its obligations with respect to its outstanding 1.875% convertible senior notes due 2014 (the “2014 Notes”), which may include payments in settlement of conversions of, or to repurchase or redeem, the 2014 Notes. Earlier today, Micron gave notice to holders of the 2014 Notes that their notes will be redeemed on March 3, 2014, except to the extent such notes are converted or repurchased by Micron prior to such date.</w:t>
      </w:r>
    </w:p>
    <w:p>
      <w:pPr>
        <w:spacing w:after="0" w:line="18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This announcement does not constitute an offer to sell or a solicitation of an offer to buy any of the foregoing securities, nor shall there be any offer, solicitation or sale in any state or jurisdiction in which such an offer, solicitation or sale would be unlawful.</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Notes have not been registered under the Securities Act or any state securities laws and may not be offered or sold in the United States absent registration or an applicable exemption from such registration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2019-12-05T19:43:20Z</dcterms:created>
  <dcterms:modified xsi:type="dcterms:W3CDTF">2019-12-05T19:43:20Z</dcterms:modified>
</cp:coreProperties>
</file>