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April 27, 2015</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544" w:right="199" w:bottom="0" w:gutter="0" w:footer="0" w:header="0"/>
        </w:sectPr>
      </w:pPr>
    </w:p>
    <w:p>
      <w:pPr>
        <w:spacing w:after="0" w:line="205" w:lineRule="exact"/>
        <w:rPr>
          <w:sz w:val="24"/>
          <w:szCs w:val="24"/>
          <w:color w:val="auto"/>
        </w:rPr>
      </w:pPr>
    </w:p>
    <w:p>
      <w:pPr>
        <w:jc w:val="center"/>
        <w:ind w:right="1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6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1-10658</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4000" w:space="720"/>
            <w:col w:w="2780" w:space="720"/>
            <w:col w:w="3240"/>
          </w:cols>
          <w:pgMar w:left="240" w:top="544" w:right="199" w:bottom="0" w:gutter="0" w:footer="0" w:header="0"/>
          <w:type w:val="continuous"/>
        </w:sectPr>
      </w:pPr>
    </w:p>
    <w:p>
      <w:pPr>
        <w:spacing w:after="0" w:line="3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60"/>
          </w:cols>
          <w:pgMar w:left="240" w:top="544" w:right="199" w:bottom="0" w:gutter="0" w:footer="0" w:header="0"/>
          <w:type w:val="continuous"/>
        </w:sectPr>
      </w:pPr>
    </w:p>
    <w:p>
      <w:pPr>
        <w:spacing w:after="0" w:line="234"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4"/>
          <w:szCs w:val="24"/>
          <w:color w:val="auto"/>
        </w:rPr>
      </w:pPr>
    </w:p>
    <w:p>
      <w:pPr>
        <w:jc w:val="both"/>
        <w:ind w:right="520" w:firstLine="648"/>
        <w:spacing w:after="0" w:line="302" w:lineRule="auto"/>
        <w:rPr>
          <w:sz w:val="20"/>
          <w:szCs w:val="20"/>
          <w:color w:val="auto"/>
        </w:rPr>
      </w:pPr>
      <w:r>
        <w:rPr>
          <w:rFonts w:ascii="Arial" w:cs="Arial" w:eastAsia="Arial" w:hAnsi="Arial"/>
          <w:sz w:val="16"/>
          <w:szCs w:val="16"/>
          <w:color w:val="auto"/>
        </w:rPr>
        <w:t>On April 27, 2015, the Company disclosed that, subsequent to the end of its fiscal quarter ended March 5, 2015, it had (i) agreed to repurchase approximately $110 million in aggregate principal amount of 2.375% Convertible Senior Notes due 2032 for an aggregate price of approximately $328 million, (ii) drawn $50 million under its senior secured five-year revolving credit facility and $75 million under its subsidiary’s senior secured five-year revolving credit facility and (iii) borrowed $47 million through its subsidiary under a two-year note collateralized by certain equipment.</w:t>
      </w:r>
    </w:p>
    <w:p>
      <w:pPr>
        <w:spacing w:after="0" w:line="150" w:lineRule="exact"/>
        <w:rPr>
          <w:sz w:val="24"/>
          <w:szCs w:val="24"/>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4"/>
          <w:szCs w:val="24"/>
          <w:color w:val="auto"/>
        </w:rPr>
      </w:pPr>
    </w:p>
    <w:p>
      <w:pPr>
        <w:ind w:right="320" w:firstLine="648"/>
        <w:spacing w:after="0" w:line="277" w:lineRule="auto"/>
        <w:rPr>
          <w:sz w:val="20"/>
          <w:szCs w:val="20"/>
          <w:color w:val="auto"/>
        </w:rPr>
      </w:pPr>
      <w:r>
        <w:rPr>
          <w:rFonts w:ascii="Arial" w:cs="Arial" w:eastAsia="Arial" w:hAnsi="Arial"/>
          <w:sz w:val="18"/>
          <w:szCs w:val="18"/>
          <w:color w:val="auto"/>
        </w:rPr>
        <w:t>On April 27, 2015, the Company issued a press release announcing the proposed private placement of senior notes. A copy of this press release is filed as Exhibit 99.1 to this report and is incorporated herein by reference.</w:t>
      </w:r>
    </w:p>
    <w:p>
      <w:pPr>
        <w:spacing w:after="0" w:line="166" w:lineRule="exact"/>
        <w:rPr>
          <w:sz w:val="24"/>
          <w:szCs w:val="24"/>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(d)</w:t>
            </w:r>
          </w:p>
        </w:tc>
        <w:tc>
          <w:tcPr>
            <w:tcW w:w="10180" w:type="dxa"/>
            <w:vAlign w:val="bottom"/>
            <w:gridSpan w:val="3"/>
          </w:tcPr>
          <w:p>
            <w:pPr>
              <w:jc w:val="right"/>
              <w:ind w:right="9419"/>
              <w:spacing w:after="0"/>
              <w:rPr>
                <w:sz w:val="20"/>
                <w:szCs w:val="20"/>
                <w:color w:val="auto"/>
              </w:rPr>
            </w:pPr>
            <w:r>
              <w:rPr>
                <w:rFonts w:ascii="Arial" w:cs="Arial" w:eastAsia="Arial" w:hAnsi="Arial"/>
                <w:sz w:val="18"/>
                <w:szCs w:val="18"/>
                <w:color w:val="auto"/>
                <w:w w:val="96"/>
              </w:rPr>
              <w:t>Exhibits.</w:t>
            </w:r>
          </w:p>
        </w:tc>
        <w:tc>
          <w:tcPr>
            <w:tcW w:w="40" w:type="dxa"/>
            <w:vAlign w:val="bottom"/>
          </w:tcPr>
          <w:p>
            <w:pPr>
              <w:spacing w:after="0"/>
              <w:rPr>
                <w:sz w:val="20"/>
                <w:szCs w:val="20"/>
                <w:color w:val="auto"/>
              </w:rPr>
            </w:pPr>
          </w:p>
        </w:tc>
      </w:tr>
      <w:tr>
        <w:trPr>
          <w:trHeight w:val="365"/>
        </w:trPr>
        <w:tc>
          <w:tcPr>
            <w:tcW w:w="124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w w:val="95"/>
              </w:rPr>
              <w:t>Exhibit No.</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60" w:type="dxa"/>
            <w:vAlign w:val="bottom"/>
          </w:tcPr>
          <w:p>
            <w:pPr>
              <w:jc w:val="right"/>
              <w:ind w:right="4499"/>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12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99.1</w:t>
            </w:r>
          </w:p>
        </w:tc>
        <w:tc>
          <w:tcPr>
            <w:tcW w:w="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860" w:type="dxa"/>
            <w:vAlign w:val="bottom"/>
            <w:tcBorders>
              <w:top w:val="single" w:sz="8" w:color="auto"/>
            </w:tcBorders>
          </w:tcPr>
          <w:p>
            <w:pPr>
              <w:jc w:val="right"/>
              <w:ind w:right="2499"/>
              <w:spacing w:after="0"/>
              <w:rPr>
                <w:sz w:val="20"/>
                <w:szCs w:val="20"/>
                <w:color w:val="auto"/>
              </w:rPr>
            </w:pPr>
            <w:r>
              <w:rPr>
                <w:rFonts w:ascii="Arial" w:cs="Arial" w:eastAsia="Arial" w:hAnsi="Arial"/>
                <w:sz w:val="18"/>
                <w:szCs w:val="18"/>
                <w:color w:val="auto"/>
                <w:w w:val="90"/>
              </w:rPr>
              <w:t>Press Release of Micron Technology, Inc., dated April 27, 2015, announcing offering of senior notes.</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180" w:type="dxa"/>
            <w:vAlign w:val="bottom"/>
            <w:gridSpan w:val="3"/>
          </w:tcPr>
          <w:p>
            <w:pPr>
              <w:jc w:val="right"/>
              <w:ind w:right="5579"/>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98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4"/>
          <w:szCs w:val="24"/>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4"/>
          <w:szCs w:val="24"/>
          <w:color w:val="auto"/>
        </w:rPr>
      </w:pPr>
    </w:p>
    <w:p>
      <w:pPr>
        <w:ind w:left="5940"/>
        <w:spacing w:after="0"/>
        <w:rPr>
          <w:sz w:val="20"/>
          <w:szCs w:val="20"/>
          <w:color w:val="auto"/>
        </w:rPr>
      </w:pPr>
      <w:r>
        <w:rPr>
          <w:rFonts w:ascii="Arial" w:cs="Arial" w:eastAsia="Arial" w:hAnsi="Arial"/>
          <w:sz w:val="18"/>
          <w:szCs w:val="18"/>
          <w:b w:val="1"/>
          <w:bCs w:val="1"/>
          <w:color w:val="auto"/>
        </w:rPr>
        <w:t>MICRON TECHNOLOGY, INC.</w:t>
      </w:r>
    </w:p>
    <w:p>
      <w:pPr>
        <w:sectPr>
          <w:pgSz w:w="11900" w:h="16838" w:orient="portrait"/>
          <w:cols w:equalWidth="0" w:num="1">
            <w:col w:w="11460"/>
          </w:cols>
          <w:pgMar w:left="240" w:top="544" w:right="19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760" w:type="dxa"/>
            <w:vAlign w:val="bottom"/>
            <w:gridSpan w:val="2"/>
          </w:tcPr>
          <w:p>
            <w:pPr>
              <w:spacing w:after="0"/>
              <w:rPr>
                <w:sz w:val="20"/>
                <w:szCs w:val="20"/>
                <w:color w:val="auto"/>
              </w:rPr>
            </w:pPr>
            <w:r>
              <w:rPr>
                <w:rFonts w:ascii="Arial" w:cs="Arial" w:eastAsia="Arial" w:hAnsi="Arial"/>
                <w:sz w:val="18"/>
                <w:szCs w:val="18"/>
                <w:color w:val="auto"/>
              </w:rPr>
              <w:t>Date:  April 27, 2015</w:t>
            </w:r>
          </w:p>
        </w:tc>
        <w:tc>
          <w:tcPr>
            <w:tcW w:w="4860" w:type="dxa"/>
            <w:vAlign w:val="bottom"/>
          </w:tcPr>
          <w:p>
            <w:pPr>
              <w:ind w:left="418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Mark W. Adams</w:t>
            </w:r>
          </w:p>
        </w:tc>
        <w:tc>
          <w:tcPr>
            <w:tcW w:w="40" w:type="dxa"/>
            <w:vAlign w:val="bottom"/>
          </w:tcPr>
          <w:p>
            <w:pPr>
              <w:spacing w:after="0"/>
              <w:rPr>
                <w:sz w:val="20"/>
                <w:szCs w:val="20"/>
                <w:color w:val="auto"/>
              </w:rPr>
            </w:pPr>
          </w:p>
        </w:tc>
      </w:tr>
      <w:tr>
        <w:trPr>
          <w:trHeight w:val="195"/>
        </w:trPr>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60" w:type="dxa"/>
            <w:vAlign w:val="bottom"/>
          </w:tcPr>
          <w:p>
            <w:pPr>
              <w:ind w:left="4180"/>
              <w:spacing w:after="0" w:line="195" w:lineRule="exact"/>
              <w:rPr>
                <w:sz w:val="20"/>
                <w:szCs w:val="20"/>
                <w:color w:val="auto"/>
              </w:rPr>
            </w:pPr>
            <w:r>
              <w:rPr>
                <w:rFonts w:ascii="Arial" w:cs="Arial" w:eastAsia="Arial" w:hAnsi="Arial"/>
                <w:sz w:val="18"/>
                <w:szCs w:val="18"/>
                <w:color w:val="auto"/>
              </w:rPr>
              <w:t>Name:</w:t>
            </w:r>
          </w:p>
        </w:tc>
        <w:tc>
          <w:tcPr>
            <w:tcW w:w="4800" w:type="dxa"/>
            <w:vAlign w:val="bottom"/>
          </w:tcPr>
          <w:p>
            <w:pPr>
              <w:spacing w:after="0" w:line="195" w:lineRule="exact"/>
              <w:rPr>
                <w:sz w:val="20"/>
                <w:szCs w:val="20"/>
                <w:color w:val="auto"/>
              </w:rPr>
            </w:pPr>
            <w:r>
              <w:rPr>
                <w:rFonts w:ascii="Arial" w:cs="Arial" w:eastAsia="Arial" w:hAnsi="Arial"/>
                <w:sz w:val="18"/>
                <w:szCs w:val="18"/>
                <w:color w:val="auto"/>
              </w:rPr>
              <w:t>Mark W. Adams</w:t>
            </w:r>
          </w:p>
        </w:tc>
        <w:tc>
          <w:tcPr>
            <w:tcW w:w="40" w:type="dxa"/>
            <w:vAlign w:val="bottom"/>
          </w:tcPr>
          <w:p>
            <w:pPr>
              <w:spacing w:after="0"/>
              <w:rPr>
                <w:sz w:val="16"/>
                <w:szCs w:val="16"/>
                <w:color w:val="auto"/>
              </w:rPr>
            </w:pPr>
          </w:p>
        </w:tc>
      </w:tr>
      <w:tr>
        <w:trPr>
          <w:trHeight w:val="230"/>
        </w:trPr>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60" w:type="dxa"/>
            <w:vAlign w:val="bottom"/>
          </w:tcPr>
          <w:p>
            <w:pPr>
              <w:ind w:left="4180"/>
              <w:spacing w:after="0"/>
              <w:rPr>
                <w:sz w:val="20"/>
                <w:szCs w:val="20"/>
                <w:color w:val="auto"/>
              </w:rPr>
            </w:pPr>
            <w:r>
              <w:rPr>
                <w:rFonts w:ascii="Arial" w:cs="Arial" w:eastAsia="Arial" w:hAnsi="Arial"/>
                <w:sz w:val="18"/>
                <w:szCs w:val="18"/>
                <w:color w:val="auto"/>
              </w:rPr>
              <w:t>Title:</w:t>
            </w:r>
          </w:p>
        </w:tc>
        <w:tc>
          <w:tcPr>
            <w:tcW w:w="4800" w:type="dxa"/>
            <w:vAlign w:val="bottom"/>
          </w:tcPr>
          <w:p>
            <w:pPr>
              <w:spacing w:after="0"/>
              <w:rPr>
                <w:sz w:val="20"/>
                <w:szCs w:val="20"/>
                <w:color w:val="auto"/>
              </w:rPr>
            </w:pPr>
            <w:r>
              <w:rPr>
                <w:rFonts w:ascii="Arial" w:cs="Arial" w:eastAsia="Arial" w:hAnsi="Arial"/>
                <w:sz w:val="18"/>
                <w:szCs w:val="18"/>
                <w:color w:val="auto"/>
              </w:rPr>
              <w:t>President</w:t>
            </w:r>
          </w:p>
        </w:tc>
        <w:tc>
          <w:tcPr>
            <w:tcW w:w="40" w:type="dxa"/>
            <w:vAlign w:val="bottom"/>
          </w:tcPr>
          <w:p>
            <w:pPr>
              <w:spacing w:after="0"/>
              <w:rPr>
                <w:sz w:val="20"/>
                <w:szCs w:val="20"/>
                <w:color w:val="auto"/>
              </w:rPr>
            </w:pPr>
          </w:p>
        </w:tc>
      </w:tr>
      <w:tr>
        <w:trPr>
          <w:trHeight w:val="432"/>
        </w:trPr>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60" w:type="dxa"/>
            <w:vAlign w:val="bottom"/>
          </w:tcPr>
          <w:p>
            <w:pPr>
              <w:jc w:val="center"/>
              <w:ind w:left="2952"/>
              <w:spacing w:after="0"/>
              <w:rPr>
                <w:sz w:val="20"/>
                <w:szCs w:val="20"/>
                <w:color w:val="auto"/>
              </w:rPr>
            </w:pPr>
            <w:r>
              <w:rPr>
                <w:rFonts w:ascii="Arial" w:cs="Arial" w:eastAsia="Arial" w:hAnsi="Arial"/>
                <w:sz w:val="18"/>
                <w:szCs w:val="18"/>
                <w:color w:val="auto"/>
                <w:w w:val="99"/>
              </w:rPr>
              <w:t>3</w:t>
            </w:r>
          </w:p>
        </w:tc>
        <w:tc>
          <w:tcPr>
            <w:tcW w:w="4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5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9660" w:type="dxa"/>
            <w:vAlign w:val="bottom"/>
            <w:tcBorders>
              <w:bottom w:val="single" w:sz="8" w:color="010101"/>
            </w:tcBorders>
            <w:gridSpan w:val="2"/>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62"/>
        </w:trPr>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60" w:type="dxa"/>
            <w:vAlign w:val="bottom"/>
            <w:gridSpan w:val="2"/>
          </w:tcPr>
          <w:p>
            <w:pPr>
              <w:jc w:val="center"/>
              <w:ind w:right="1670"/>
              <w:spacing w:after="0"/>
              <w:rPr>
                <w:sz w:val="20"/>
                <w:szCs w:val="20"/>
                <w:color w:val="auto"/>
              </w:rPr>
            </w:pPr>
            <w:r>
              <w:rPr>
                <w:rFonts w:ascii="Arial" w:cs="Arial" w:eastAsia="Arial" w:hAnsi="Arial"/>
                <w:sz w:val="18"/>
                <w:szCs w:val="18"/>
                <w:b w:val="1"/>
                <w:bCs w:val="1"/>
                <w:color w:val="auto"/>
              </w:rPr>
              <w:t>INDEX TO EXHIBITS FILED WITH</w:t>
            </w:r>
          </w:p>
        </w:tc>
        <w:tc>
          <w:tcPr>
            <w:tcW w:w="40" w:type="dxa"/>
            <w:vAlign w:val="bottom"/>
          </w:tcPr>
          <w:p>
            <w:pPr>
              <w:spacing w:after="0"/>
              <w:rPr>
                <w:sz w:val="24"/>
                <w:szCs w:val="24"/>
                <w:color w:val="auto"/>
              </w:rPr>
            </w:pPr>
          </w:p>
        </w:tc>
      </w:tr>
      <w:tr>
        <w:trPr>
          <w:trHeight w:val="234"/>
        </w:trPr>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60" w:type="dxa"/>
            <w:vAlign w:val="bottom"/>
            <w:gridSpan w:val="2"/>
          </w:tcPr>
          <w:p>
            <w:pPr>
              <w:jc w:val="center"/>
              <w:ind w:right="1670"/>
              <w:spacing w:after="0"/>
              <w:rPr>
                <w:sz w:val="20"/>
                <w:szCs w:val="20"/>
                <w:color w:val="auto"/>
              </w:rPr>
            </w:pPr>
            <w:r>
              <w:rPr>
                <w:rFonts w:ascii="Arial" w:cs="Arial" w:eastAsia="Arial" w:hAnsi="Arial"/>
                <w:sz w:val="18"/>
                <w:szCs w:val="18"/>
                <w:b w:val="1"/>
                <w:bCs w:val="1"/>
                <w:color w:val="auto"/>
                <w:w w:val="99"/>
              </w:rPr>
              <w:t>THE CURRENT REPORT ON FORM 8-K DATED APRIL 27, 2015</w:t>
            </w:r>
          </w:p>
        </w:tc>
        <w:tc>
          <w:tcPr>
            <w:tcW w:w="40" w:type="dxa"/>
            <w:vAlign w:val="bottom"/>
          </w:tcPr>
          <w:p>
            <w:pPr>
              <w:spacing w:after="0"/>
              <w:rPr>
                <w:sz w:val="20"/>
                <w:szCs w:val="20"/>
                <w:color w:val="auto"/>
              </w:rPr>
            </w:pPr>
          </w:p>
        </w:tc>
      </w:tr>
      <w:tr>
        <w:trPr>
          <w:trHeight w:val="365"/>
        </w:trPr>
        <w:tc>
          <w:tcPr>
            <w:tcW w:w="17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660" w:type="dxa"/>
            <w:vAlign w:val="bottom"/>
            <w:gridSpan w:val="2"/>
          </w:tcPr>
          <w:p>
            <w:pPr>
              <w:ind w:left="448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26"/>
        </w:trPr>
        <w:tc>
          <w:tcPr>
            <w:tcW w:w="1500" w:type="dxa"/>
            <w:vAlign w:val="bottom"/>
            <w:tcBorders>
              <w:top w:val="single" w:sz="8" w:color="auto"/>
            </w:tcBorders>
          </w:tcPr>
          <w:p>
            <w:pPr>
              <w:jc w:val="right"/>
              <w:ind w:right="516"/>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4"/>
                <w:szCs w:val="24"/>
                <w:color w:val="auto"/>
              </w:rPr>
            </w:pPr>
          </w:p>
        </w:tc>
        <w:tc>
          <w:tcPr>
            <w:tcW w:w="96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Press Release of Micron Technology, Inc., dated April 27, 2015, announcing offering of senior notes.</w:t>
            </w:r>
          </w:p>
        </w:tc>
        <w:tc>
          <w:tcPr>
            <w:tcW w:w="40" w:type="dxa"/>
            <w:vAlign w:val="bottom"/>
          </w:tcPr>
          <w:p>
            <w:pPr>
              <w:spacing w:after="0"/>
              <w:rPr>
                <w:sz w:val="24"/>
                <w:szCs w:val="24"/>
                <w:color w:val="auto"/>
              </w:rPr>
            </w:pPr>
          </w:p>
        </w:tc>
      </w:tr>
      <w:tr>
        <w:trPr>
          <w:trHeight w:val="432"/>
        </w:trPr>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60" w:type="dxa"/>
            <w:vAlign w:val="bottom"/>
          </w:tcPr>
          <w:p>
            <w:pPr>
              <w:jc w:val="center"/>
              <w:ind w:left="2952"/>
              <w:spacing w:after="0"/>
              <w:rPr>
                <w:sz w:val="20"/>
                <w:szCs w:val="20"/>
                <w:color w:val="auto"/>
              </w:rPr>
            </w:pPr>
            <w:r>
              <w:rPr>
                <w:rFonts w:ascii="Arial" w:cs="Arial" w:eastAsia="Arial" w:hAnsi="Arial"/>
                <w:sz w:val="18"/>
                <w:szCs w:val="18"/>
                <w:color w:val="auto"/>
                <w:w w:val="99"/>
              </w:rPr>
              <w:t>4</w:t>
            </w:r>
          </w:p>
        </w:tc>
        <w:tc>
          <w:tcPr>
            <w:tcW w:w="4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5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4860" w:type="dxa"/>
            <w:vAlign w:val="bottom"/>
            <w:tcBorders>
              <w:bottom w:val="single" w:sz="8" w:color="010101"/>
            </w:tcBorders>
          </w:tcPr>
          <w:p>
            <w:pPr>
              <w:spacing w:after="0"/>
              <w:rPr>
                <w:sz w:val="11"/>
                <w:szCs w:val="11"/>
                <w:color w:val="auto"/>
              </w:rPr>
            </w:pPr>
          </w:p>
        </w:tc>
        <w:tc>
          <w:tcPr>
            <w:tcW w:w="48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-1546860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-1546860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2100" w:type="dxa"/>
            <w:vAlign w:val="bottom"/>
          </w:tcPr>
          <w:p>
            <w:pPr>
              <w:spacing w:after="0"/>
              <w:rPr>
                <w:sz w:val="20"/>
                <w:szCs w:val="20"/>
                <w:color w:val="auto"/>
              </w:rPr>
            </w:pPr>
          </w:p>
        </w:tc>
      </w:tr>
      <w:tr>
        <w:trPr>
          <w:trHeight w:val="418"/>
        </w:trPr>
        <w:tc>
          <w:tcPr>
            <w:tcW w:w="940" w:type="dxa"/>
            <w:vAlign w:val="bottom"/>
          </w:tcPr>
          <w:p>
            <w:pPr>
              <w:ind w:left="20"/>
              <w:spacing w:after="0"/>
              <w:rPr>
                <w:sz w:val="20"/>
                <w:szCs w:val="20"/>
                <w:color w:val="auto"/>
              </w:rPr>
            </w:pPr>
            <w:r>
              <w:rPr>
                <w:rFonts w:ascii="Arial" w:cs="Arial" w:eastAsia="Arial" w:hAnsi="Arial"/>
                <w:sz w:val="18"/>
                <w:szCs w:val="18"/>
                <w:color w:val="auto"/>
              </w:rPr>
              <w:t>Contacts:</w:t>
            </w:r>
          </w:p>
        </w:tc>
        <w:tc>
          <w:tcPr>
            <w:tcW w:w="2180" w:type="dxa"/>
            <w:vAlign w:val="bottom"/>
          </w:tcPr>
          <w:p>
            <w:pPr>
              <w:ind w:left="240"/>
              <w:spacing w:after="0"/>
              <w:rPr>
                <w:sz w:val="20"/>
                <w:szCs w:val="20"/>
                <w:color w:val="auto"/>
              </w:rPr>
            </w:pPr>
            <w:r>
              <w:rPr>
                <w:rFonts w:ascii="Arial" w:cs="Arial" w:eastAsia="Arial" w:hAnsi="Arial"/>
                <w:sz w:val="18"/>
                <w:szCs w:val="18"/>
                <w:color w:val="auto"/>
              </w:rPr>
              <w:t>Kipp A. Bedard</w:t>
            </w:r>
          </w:p>
        </w:tc>
        <w:tc>
          <w:tcPr>
            <w:tcW w:w="2100" w:type="dxa"/>
            <w:vAlign w:val="bottom"/>
          </w:tcPr>
          <w:p>
            <w:pPr>
              <w:ind w:left="320"/>
              <w:spacing w:after="0"/>
              <w:rPr>
                <w:sz w:val="20"/>
                <w:szCs w:val="20"/>
                <w:color w:val="auto"/>
              </w:rPr>
            </w:pPr>
            <w:r>
              <w:rPr>
                <w:rFonts w:ascii="Arial" w:cs="Arial" w:eastAsia="Arial" w:hAnsi="Arial"/>
                <w:sz w:val="18"/>
                <w:szCs w:val="18"/>
                <w:color w:val="auto"/>
              </w:rPr>
              <w:t>Daniel Francisco</w:t>
            </w:r>
          </w:p>
        </w:tc>
      </w:tr>
      <w:tr>
        <w:trPr>
          <w:trHeight w:val="216"/>
        </w:trPr>
        <w:tc>
          <w:tcPr>
            <w:tcW w:w="940" w:type="dxa"/>
            <w:vAlign w:val="bottom"/>
          </w:tcPr>
          <w:p>
            <w:pPr>
              <w:spacing w:after="0"/>
              <w:rPr>
                <w:sz w:val="18"/>
                <w:szCs w:val="18"/>
                <w:color w:val="auto"/>
              </w:rPr>
            </w:pPr>
          </w:p>
        </w:tc>
        <w:tc>
          <w:tcPr>
            <w:tcW w:w="2180" w:type="dxa"/>
            <w:vAlign w:val="bottom"/>
          </w:tcPr>
          <w:p>
            <w:pPr>
              <w:ind w:left="240"/>
              <w:spacing w:after="0"/>
              <w:rPr>
                <w:sz w:val="20"/>
                <w:szCs w:val="20"/>
                <w:color w:val="auto"/>
              </w:rPr>
            </w:pPr>
            <w:r>
              <w:rPr>
                <w:rFonts w:ascii="Arial" w:cs="Arial" w:eastAsia="Arial" w:hAnsi="Arial"/>
                <w:sz w:val="18"/>
                <w:szCs w:val="18"/>
                <w:color w:val="auto"/>
              </w:rPr>
              <w:t>Investor Relations</w:t>
            </w:r>
          </w:p>
        </w:tc>
        <w:tc>
          <w:tcPr>
            <w:tcW w:w="2100" w:type="dxa"/>
            <w:vAlign w:val="bottom"/>
          </w:tcPr>
          <w:p>
            <w:pPr>
              <w:ind w:left="320"/>
              <w:spacing w:after="0"/>
              <w:rPr>
                <w:sz w:val="20"/>
                <w:szCs w:val="20"/>
                <w:color w:val="auto"/>
              </w:rPr>
            </w:pPr>
            <w:r>
              <w:rPr>
                <w:rFonts w:ascii="Arial" w:cs="Arial" w:eastAsia="Arial" w:hAnsi="Arial"/>
                <w:sz w:val="18"/>
                <w:szCs w:val="18"/>
                <w:color w:val="auto"/>
              </w:rPr>
              <w:t>Media Relations</w:t>
            </w:r>
          </w:p>
        </w:tc>
      </w:tr>
      <w:tr>
        <w:trPr>
          <w:trHeight w:val="216"/>
        </w:trPr>
        <w:tc>
          <w:tcPr>
            <w:tcW w:w="940" w:type="dxa"/>
            <w:vAlign w:val="bottom"/>
          </w:tcPr>
          <w:p>
            <w:pPr>
              <w:spacing w:after="0"/>
              <w:rPr>
                <w:sz w:val="18"/>
                <w:szCs w:val="18"/>
                <w:color w:val="auto"/>
              </w:rPr>
            </w:pPr>
          </w:p>
        </w:tc>
        <w:tc>
          <w:tcPr>
            <w:tcW w:w="2180" w:type="dxa"/>
            <w:vAlign w:val="bottom"/>
          </w:tcPr>
          <w:p>
            <w:pPr>
              <w:ind w:left="240"/>
              <w:spacing w:after="0"/>
              <w:rPr>
                <w:sz w:val="20"/>
                <w:szCs w:val="20"/>
                <w:color w:val="auto"/>
              </w:rPr>
            </w:pPr>
            <w:r>
              <w:rPr>
                <w:rFonts w:ascii="Arial" w:cs="Arial" w:eastAsia="Arial" w:hAnsi="Arial"/>
                <w:sz w:val="18"/>
                <w:szCs w:val="18"/>
                <w:color w:val="auto"/>
              </w:rPr>
              <w:t>kbedard@micron.com</w:t>
            </w:r>
          </w:p>
        </w:tc>
        <w:tc>
          <w:tcPr>
            <w:tcW w:w="2100" w:type="dxa"/>
            <w:vAlign w:val="bottom"/>
          </w:tcPr>
          <w:p>
            <w:pPr>
              <w:ind w:left="320"/>
              <w:spacing w:after="0"/>
              <w:rPr>
                <w:sz w:val="20"/>
                <w:szCs w:val="20"/>
                <w:color w:val="auto"/>
              </w:rPr>
            </w:pPr>
            <w:r>
              <w:rPr>
                <w:rFonts w:ascii="Arial" w:cs="Arial" w:eastAsia="Arial" w:hAnsi="Arial"/>
                <w:sz w:val="18"/>
                <w:szCs w:val="18"/>
                <w:color w:val="auto"/>
                <w:w w:val="91"/>
              </w:rPr>
              <w:t>dfrancisco@micron.com</w:t>
            </w:r>
          </w:p>
        </w:tc>
      </w:tr>
      <w:tr>
        <w:trPr>
          <w:trHeight w:val="230"/>
        </w:trPr>
        <w:tc>
          <w:tcPr>
            <w:tcW w:w="940" w:type="dxa"/>
            <w:vAlign w:val="bottom"/>
          </w:tcPr>
          <w:p>
            <w:pPr>
              <w:spacing w:after="0"/>
              <w:rPr>
                <w:sz w:val="20"/>
                <w:szCs w:val="20"/>
                <w:color w:val="auto"/>
              </w:rPr>
            </w:pPr>
          </w:p>
        </w:tc>
        <w:tc>
          <w:tcPr>
            <w:tcW w:w="2180" w:type="dxa"/>
            <w:vAlign w:val="bottom"/>
          </w:tcPr>
          <w:p>
            <w:pPr>
              <w:ind w:left="240"/>
              <w:spacing w:after="0"/>
              <w:rPr>
                <w:sz w:val="20"/>
                <w:szCs w:val="20"/>
                <w:color w:val="auto"/>
              </w:rPr>
            </w:pPr>
            <w:r>
              <w:rPr>
                <w:rFonts w:ascii="Arial" w:cs="Arial" w:eastAsia="Arial" w:hAnsi="Arial"/>
                <w:sz w:val="18"/>
                <w:szCs w:val="18"/>
                <w:color w:val="auto"/>
              </w:rPr>
              <w:t>(208) 368-4465</w:t>
            </w:r>
          </w:p>
        </w:tc>
        <w:tc>
          <w:tcPr>
            <w:tcW w:w="2100" w:type="dxa"/>
            <w:vAlign w:val="bottom"/>
          </w:tcPr>
          <w:p>
            <w:pPr>
              <w:ind w:left="320"/>
              <w:spacing w:after="0"/>
              <w:rPr>
                <w:sz w:val="20"/>
                <w:szCs w:val="20"/>
                <w:color w:val="auto"/>
              </w:rPr>
            </w:pPr>
            <w:r>
              <w:rPr>
                <w:rFonts w:ascii="Arial" w:cs="Arial" w:eastAsia="Arial" w:hAnsi="Arial"/>
                <w:sz w:val="18"/>
                <w:szCs w:val="18"/>
                <w:color w:val="auto"/>
              </w:rPr>
              <w:t>(208) 368-5584</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ANNOUNCES PROPOSED $1 BILLION OFFERING OF SENIOR NOTES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BOISE, Idaho, April 27, 2015 — Micron Technology, Inc., (NASDAQ: MU) today announced that it intends to offer, subject to market and other considerations, $500 million aggregate principal amount of senior notes due 2024 (the “2024 Notes”) and $500 million aggregate principal amount of senior notes due 2026 (the “2026 Notes,” and together with the 2024 Notes, the “Notes”) through an offering to qualified institutional buyers pursuant to Rule 144A under the Securities Act of 1933, as amended (the “Securities Act”), and outside the United States to non-U.S. persons pursuant to Regulation S under the Securities Act.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interest rate, redemption provisions and other terms of the Notes will be determined by negotiations between Micron and the initial purchasers.</w:t>
      </w:r>
    </w:p>
    <w:p>
      <w:pPr>
        <w:spacing w:after="0" w:line="23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Micron intends to use the net proceeds from the offering to repay, repurchase or make other payments with respect to the extinguishment of its debt, including its convertible notes, and for general corporate purposes.</w:t>
      </w:r>
    </w:p>
    <w:p>
      <w:pPr>
        <w:spacing w:after="0" w:line="17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This announcement does not constitute an offer to sell or a solicitation of an offer to buy any of the foregoing securities, nor shall there be any offer, solicitation or sale in any state or jurisdiction in which such an offer, solicitation or sale would be unlawful.</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Notes have not been registered under the Securities Act or any state securities laws and may not be offered or sold in the United States absent registration or an applicable exemption from such registration requirements.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2019-12-05T21:31:58Z</dcterms:created>
  <dcterms:modified xsi:type="dcterms:W3CDTF">2019-12-05T21:31:58Z</dcterms:modified>
</cp:coreProperties>
</file>