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440" w:type="dxa"/>
            <w:vAlign w:val="bottom"/>
            <w:gridSpan w:val="13"/>
          </w:tcPr>
          <w:p>
            <w:pPr>
              <w:jc w:val="center"/>
              <w:ind w:right="8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  <w:vMerge w:val="restart"/>
          </w:tcPr>
          <w:p>
            <w:pPr>
              <w:jc w:val="center"/>
              <w:ind w:left="3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2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ALLEN SCOTT R.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jc w:val="center"/>
              <w:ind w:right="42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09/02/2021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CVP, Chief Accounting Officer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-1767205</wp:posOffset>
            </wp:positionV>
            <wp:extent cx="6988810" cy="55473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554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</w:sectPr>
      </w:pPr>
    </w:p>
    <w:p>
      <w:pPr>
        <w:spacing w:after="0" w:line="33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319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40" w:type="dxa"/>
            <w:vAlign w:val="bottom"/>
            <w:gridSpan w:val="1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-1801495</wp:posOffset>
            </wp:positionV>
            <wp:extent cx="29845" cy="1806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5 is being filed only to update shares owned to include 319 shares acquired under the Micron Technology Inc. Employee Stock Purchase Plan, which acquisition is exempt from reporting under Rule 16a-3(f)(1)(i)(B).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Matthew Hendley,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8" Type="http://schemas.openxmlformats.org/officeDocument/2006/relationships/hyperlink" Target="http://www.sec.gov/cgi-bin/browse-edgar?action=getcompany&amp;CIK=0001652149" TargetMode="External"/><Relationship Id="rId9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2021-10-12T15:18:39Z</dcterms:created>
  <dcterms:modified xsi:type="dcterms:W3CDTF">2021-10-12T15:18:39Z</dcterms:modified>
</cp:coreProperties>
</file>