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color w:val="auto"/>
        </w:rPr>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FORM 8-A</w:t>
      </w:r>
    </w:p>
    <w:p>
      <w:pPr>
        <w:spacing w:after="0" w:line="188" w:lineRule="exact"/>
        <w:rPr>
          <w:sz w:val="24"/>
          <w:szCs w:val="24"/>
          <w:color w:val="auto"/>
        </w:rPr>
      </w:pPr>
    </w:p>
    <w:p>
      <w:pPr>
        <w:ind w:left="2540"/>
        <w:spacing w:after="0"/>
        <w:rPr>
          <w:sz w:val="20"/>
          <w:szCs w:val="20"/>
          <w:color w:val="auto"/>
        </w:rPr>
      </w:pPr>
      <w:r>
        <w:rPr>
          <w:rFonts w:ascii="Arial" w:cs="Arial" w:eastAsia="Arial" w:hAnsi="Arial"/>
          <w:sz w:val="22"/>
          <w:szCs w:val="22"/>
          <w:color w:val="auto"/>
        </w:rPr>
        <w:t>FOR REGISTRATION OF CERTAIN CLASSES OF SECURITIES</w:t>
      </w:r>
    </w:p>
    <w:p>
      <w:pPr>
        <w:jc w:val="center"/>
        <w:spacing w:after="0" w:line="238" w:lineRule="auto"/>
        <w:rPr>
          <w:sz w:val="20"/>
          <w:szCs w:val="20"/>
          <w:color w:val="auto"/>
        </w:rPr>
      </w:pPr>
      <w:r>
        <w:rPr>
          <w:rFonts w:ascii="Arial" w:cs="Arial" w:eastAsia="Arial" w:hAnsi="Arial"/>
          <w:sz w:val="22"/>
          <w:szCs w:val="22"/>
          <w:color w:val="auto"/>
        </w:rPr>
        <w:t>PURSUANT TO SECTION 12(b) OR 12(g) OF THE</w:t>
      </w:r>
    </w:p>
    <w:p>
      <w:pPr>
        <w:jc w:val="center"/>
        <w:spacing w:after="0"/>
        <w:rPr>
          <w:sz w:val="20"/>
          <w:szCs w:val="20"/>
          <w:color w:val="auto"/>
        </w:rPr>
      </w:pPr>
      <w:r>
        <w:rPr>
          <w:rFonts w:ascii="Arial" w:cs="Arial" w:eastAsia="Arial" w:hAnsi="Arial"/>
          <w:sz w:val="22"/>
          <w:szCs w:val="22"/>
          <w:color w:val="auto"/>
        </w:rPr>
        <w:t>SECURITIES EXCHANGE ACT OF 1934</w:t>
      </w:r>
    </w:p>
    <w:p>
      <w:pPr>
        <w:spacing w:after="0" w:line="182"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71120</wp:posOffset>
            </wp:positionV>
            <wp:extent cx="66808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80835" cy="8890"/>
                    </a:xfrm>
                    <a:prstGeom prst="rect">
                      <a:avLst/>
                    </a:prstGeom>
                    <a:noFill/>
                  </pic:spPr>
                </pic:pic>
              </a:graphicData>
            </a:graphic>
          </wp:anchor>
        </w:drawing>
      </w:r>
    </w:p>
    <w:p>
      <w:pPr>
        <w:spacing w:after="0" w:line="19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Delaware</w:t>
            </w:r>
          </w:p>
        </w:tc>
        <w:tc>
          <w:tcPr>
            <w:tcW w:w="51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75-1618004</w:t>
            </w:r>
          </w:p>
        </w:tc>
      </w:tr>
      <w:tr>
        <w:trPr>
          <w:trHeight w:val="198"/>
        </w:trPr>
        <w:tc>
          <w:tcPr>
            <w:tcW w:w="5780" w:type="dxa"/>
            <w:vAlign w:val="bottom"/>
          </w:tcPr>
          <w:p>
            <w:pPr>
              <w:jc w:val="center"/>
              <w:ind w:right="30"/>
              <w:spacing w:after="0" w:line="198" w:lineRule="exact"/>
              <w:rPr>
                <w:sz w:val="20"/>
                <w:szCs w:val="20"/>
                <w:color w:val="auto"/>
              </w:rPr>
            </w:pPr>
            <w:r>
              <w:rPr>
                <w:rFonts w:ascii="Arial" w:cs="Arial" w:eastAsia="Arial" w:hAnsi="Arial"/>
                <w:sz w:val="18"/>
                <w:szCs w:val="18"/>
                <w:color w:val="auto"/>
                <w:w w:val="91"/>
              </w:rPr>
              <w:t>(State of incorporation or organization)</w:t>
            </w:r>
          </w:p>
        </w:tc>
        <w:tc>
          <w:tcPr>
            <w:tcW w:w="5180" w:type="dxa"/>
            <w:vAlign w:val="bottom"/>
          </w:tcPr>
          <w:p>
            <w:pPr>
              <w:jc w:val="center"/>
              <w:ind w:right="30"/>
              <w:spacing w:after="0" w:line="198" w:lineRule="exact"/>
              <w:rPr>
                <w:sz w:val="20"/>
                <w:szCs w:val="20"/>
                <w:color w:val="auto"/>
              </w:rPr>
            </w:pPr>
            <w:r>
              <w:rPr>
                <w:rFonts w:ascii="Arial" w:cs="Arial" w:eastAsia="Arial" w:hAnsi="Arial"/>
                <w:sz w:val="18"/>
                <w:szCs w:val="18"/>
                <w:color w:val="auto"/>
                <w:w w:val="94"/>
              </w:rPr>
              <w:t>(I.R.S. Employer Identification No.)</w:t>
            </w:r>
          </w:p>
        </w:tc>
      </w:tr>
      <w:tr>
        <w:trPr>
          <w:trHeight w:val="241"/>
        </w:trPr>
        <w:tc>
          <w:tcPr>
            <w:tcW w:w="5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8000 South Federal Way, Boise, Idaho</w:t>
            </w:r>
          </w:p>
        </w:tc>
        <w:tc>
          <w:tcPr>
            <w:tcW w:w="51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83716-9632</w:t>
            </w:r>
          </w:p>
        </w:tc>
      </w:tr>
      <w:tr>
        <w:trPr>
          <w:trHeight w:val="230"/>
        </w:trPr>
        <w:tc>
          <w:tcPr>
            <w:tcW w:w="578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tcPr>
          <w:p>
            <w:pPr>
              <w:jc w:val="center"/>
              <w:ind w:right="50"/>
              <w:spacing w:after="0"/>
              <w:rPr>
                <w:sz w:val="20"/>
                <w:szCs w:val="20"/>
                <w:color w:val="auto"/>
              </w:rPr>
            </w:pPr>
            <w:r>
              <w:rPr>
                <w:rFonts w:ascii="Arial" w:cs="Arial" w:eastAsia="Arial" w:hAnsi="Arial"/>
                <w:sz w:val="18"/>
                <w:szCs w:val="18"/>
                <w:color w:val="auto"/>
                <w:w w:val="94"/>
              </w:rPr>
              <w:t>(Zip Code)</w:t>
            </w:r>
          </w:p>
        </w:tc>
      </w:tr>
      <w:tr>
        <w:trPr>
          <w:trHeight w:val="418"/>
        </w:trPr>
        <w:tc>
          <w:tcPr>
            <w:tcW w:w="5780" w:type="dxa"/>
            <w:vAlign w:val="bottom"/>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5180" w:type="dxa"/>
            <w:vAlign w:val="bottom"/>
          </w:tcPr>
          <w:p>
            <w:pPr>
              <w:spacing w:after="0"/>
              <w:rPr>
                <w:sz w:val="24"/>
                <w:szCs w:val="24"/>
                <w:color w:val="auto"/>
              </w:rPr>
            </w:pPr>
          </w:p>
        </w:tc>
      </w:tr>
      <w:tr>
        <w:trPr>
          <w:trHeight w:val="418"/>
        </w:trPr>
        <w:tc>
          <w:tcPr>
            <w:tcW w:w="5780" w:type="dxa"/>
            <w:vAlign w:val="bottom"/>
          </w:tcPr>
          <w:p>
            <w:pPr>
              <w:jc w:val="center"/>
              <w:ind w:right="30"/>
              <w:spacing w:after="0"/>
              <w:rPr>
                <w:sz w:val="20"/>
                <w:szCs w:val="20"/>
                <w:color w:val="auto"/>
              </w:rPr>
            </w:pPr>
            <w:r>
              <w:rPr>
                <w:rFonts w:ascii="Arial" w:cs="Arial" w:eastAsia="Arial" w:hAnsi="Arial"/>
                <w:sz w:val="18"/>
                <w:szCs w:val="18"/>
                <w:color w:val="auto"/>
                <w:w w:val="90"/>
              </w:rPr>
              <w:t>Title of each class</w:t>
            </w:r>
          </w:p>
        </w:tc>
        <w:tc>
          <w:tcPr>
            <w:tcW w:w="5180" w:type="dxa"/>
            <w:vAlign w:val="bottom"/>
          </w:tcPr>
          <w:p>
            <w:pPr>
              <w:jc w:val="center"/>
              <w:ind w:right="30"/>
              <w:spacing w:after="0"/>
              <w:rPr>
                <w:sz w:val="20"/>
                <w:szCs w:val="20"/>
                <w:color w:val="auto"/>
              </w:rPr>
            </w:pPr>
            <w:r>
              <w:rPr>
                <w:rFonts w:ascii="Arial" w:cs="Arial" w:eastAsia="Arial" w:hAnsi="Arial"/>
                <w:sz w:val="18"/>
                <w:szCs w:val="18"/>
                <w:color w:val="auto"/>
                <w:w w:val="89"/>
              </w:rPr>
              <w:t>Name of each exchange on which</w:t>
            </w:r>
          </w:p>
        </w:tc>
      </w:tr>
      <w:tr>
        <w:trPr>
          <w:trHeight w:val="212"/>
        </w:trPr>
        <w:tc>
          <w:tcPr>
            <w:tcW w:w="5780" w:type="dxa"/>
            <w:vAlign w:val="bottom"/>
          </w:tcPr>
          <w:p>
            <w:pPr>
              <w:jc w:val="center"/>
              <w:ind w:right="30"/>
              <w:spacing w:after="0"/>
              <w:rPr>
                <w:sz w:val="20"/>
                <w:szCs w:val="20"/>
                <w:color w:val="auto"/>
              </w:rPr>
            </w:pPr>
            <w:r>
              <w:rPr>
                <w:rFonts w:ascii="Arial" w:cs="Arial" w:eastAsia="Arial" w:hAnsi="Arial"/>
                <w:sz w:val="18"/>
                <w:szCs w:val="18"/>
                <w:color w:val="auto"/>
                <w:w w:val="87"/>
              </w:rPr>
              <w:t>to be so registered</w:t>
            </w:r>
          </w:p>
        </w:tc>
        <w:tc>
          <w:tcPr>
            <w:tcW w:w="5180" w:type="dxa"/>
            <w:vAlign w:val="bottom"/>
          </w:tcPr>
          <w:p>
            <w:pPr>
              <w:jc w:val="center"/>
              <w:ind w:right="50"/>
              <w:spacing w:after="0"/>
              <w:rPr>
                <w:sz w:val="20"/>
                <w:szCs w:val="20"/>
                <w:color w:val="auto"/>
              </w:rPr>
            </w:pPr>
            <w:r>
              <w:rPr>
                <w:rFonts w:ascii="Arial" w:cs="Arial" w:eastAsia="Arial" w:hAnsi="Arial"/>
                <w:sz w:val="18"/>
                <w:szCs w:val="18"/>
                <w:color w:val="auto"/>
                <w:w w:val="87"/>
              </w:rPr>
              <w:t>each class is to be registered</w:t>
            </w:r>
          </w:p>
        </w:tc>
      </w:tr>
      <w:tr>
        <w:trPr>
          <w:trHeight w:val="241"/>
        </w:trPr>
        <w:tc>
          <w:tcPr>
            <w:tcW w:w="5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Common Stock, par value $.10 per share</w:t>
            </w:r>
          </w:p>
        </w:tc>
        <w:tc>
          <w:tcPr>
            <w:tcW w:w="5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9551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209"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A.(c), check the following box. [</w:t>
      </w:r>
      <w:r>
        <w:rPr>
          <w:rFonts w:ascii="Arial" w:cs="Arial" w:eastAsia="Arial" w:hAnsi="Arial"/>
          <w:sz w:val="18"/>
          <w:szCs w:val="18"/>
          <w:b w:val="1"/>
          <w:bCs w:val="1"/>
          <w:color w:val="auto"/>
        </w:rPr>
        <w:t>X</w:t>
      </w:r>
      <w:r>
        <w:rPr>
          <w:rFonts w:ascii="Arial" w:cs="Arial" w:eastAsia="Arial" w:hAnsi="Arial"/>
          <w:sz w:val="18"/>
          <w:szCs w:val="18"/>
          <w:color w:val="auto"/>
        </w:rPr>
        <w:t>]</w:t>
      </w:r>
    </w:p>
    <w:p>
      <w:pPr>
        <w:spacing w:after="0" w:line="1" w:lineRule="exact"/>
        <w:rPr>
          <w:sz w:val="24"/>
          <w:szCs w:val="24"/>
          <w:color w:val="auto"/>
        </w:rPr>
      </w:pPr>
    </w:p>
    <w:p>
      <w:pPr>
        <w:ind w:right="680"/>
        <w:spacing w:after="0" w:line="250"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A.(d), check the following box. [ ]</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9551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00" w:lineRule="exact"/>
        <w:rPr>
          <w:sz w:val="24"/>
          <w:szCs w:val="24"/>
          <w:color w:val="auto"/>
        </w:rPr>
      </w:pPr>
    </w:p>
    <w:p>
      <w:pPr>
        <w:spacing w:after="0" w:line="201"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440" w:right="699" w:bottom="1440" w:gutter="0" w:footer="0" w:header="0"/>
        </w:sectPr>
      </w:pPr>
    </w:p>
    <w:bookmarkStart w:id="1" w:name="page2"/>
    <w:bookmarkEnd w:id="1"/>
    <w:p>
      <w:pPr>
        <w:spacing w:after="0"/>
        <w:rPr>
          <w:sz w:val="20"/>
          <w:szCs w:val="20"/>
          <w:color w:val="auto"/>
        </w:rPr>
      </w:pPr>
      <w:r>
        <w:rPr>
          <w:rFonts w:ascii="Arial" w:cs="Arial" w:eastAsia="Arial" w:hAnsi="Arial"/>
          <w:sz w:val="16"/>
          <w:szCs w:val="16"/>
          <w:i w:val="1"/>
          <w:iCs w:val="1"/>
          <w:color w:val="auto"/>
        </w:rPr>
        <w:t>This registration statement is filed with the Securities and Exchange Commission (the “SEC”) in connection with the application of Micron Technology,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list its Common Stock on The Nasdaq Stock Market LLC.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5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Registrant’s authorized capital stock consists of 3,000,000,000 shares of Common Stock. The outstanding shares of Common Stock are fully paid and nonassessable. Holders of Common Stock are entitled to one vote for each share held of record on all matters submitted to a vote of the shareholders, may cumulate votes in the election of directors and have no preemptive rights. The Common Stock is neither redeemable nor convertible into other securities, and there are no sinking fund provisions.</w:t>
      </w:r>
    </w:p>
    <w:p>
      <w:pPr>
        <w:spacing w:after="0" w:line="21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Holders of Common Stock are entitled to dividends when and as declared by the Board of Directors from funds legally available therefore and are entitled, in the event of liquidation, to share ratably in all assets remaining after payment of liabilities.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99"/>
              </w:rPr>
              <w:t>Item 2. Exhibits</w:t>
            </w:r>
          </w:p>
        </w:tc>
        <w:tc>
          <w:tcPr>
            <w:tcW w:w="260" w:type="dxa"/>
            <w:vAlign w:val="bottom"/>
          </w:tcPr>
          <w:p>
            <w:pPr>
              <w:spacing w:after="0"/>
              <w:rPr>
                <w:sz w:val="20"/>
                <w:szCs w:val="20"/>
                <w:color w:val="auto"/>
              </w:rPr>
            </w:pPr>
          </w:p>
        </w:tc>
        <w:tc>
          <w:tcPr>
            <w:tcW w:w="9820" w:type="dxa"/>
            <w:vAlign w:val="bottom"/>
          </w:tcPr>
          <w:p>
            <w:pPr>
              <w:spacing w:after="0"/>
              <w:rPr>
                <w:sz w:val="20"/>
                <w:szCs w:val="20"/>
                <w:color w:val="auto"/>
              </w:rPr>
            </w:pPr>
          </w:p>
        </w:tc>
      </w:tr>
      <w:tr>
        <w:trPr>
          <w:trHeight w:val="441"/>
        </w:trPr>
        <w:tc>
          <w:tcPr>
            <w:tcW w:w="2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9820" w:type="dxa"/>
            <w:vAlign w:val="bottom"/>
          </w:tcPr>
          <w:p>
            <w:pPr>
              <w:spacing w:after="0"/>
              <w:rPr>
                <w:sz w:val="24"/>
                <w:szCs w:val="24"/>
                <w:color w:val="auto"/>
              </w:rPr>
            </w:pPr>
          </w:p>
        </w:tc>
      </w:tr>
      <w:tr>
        <w:trPr>
          <w:trHeight w:val="241"/>
        </w:trPr>
        <w:tc>
          <w:tcPr>
            <w:tcW w:w="2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418"/>
        </w:trPr>
        <w:tc>
          <w:tcPr>
            <w:tcW w:w="1340" w:type="dxa"/>
            <w:vAlign w:val="bottom"/>
            <w:gridSpan w:val="2"/>
          </w:tcPr>
          <w:p>
            <w:pPr>
              <w:ind w:left="260"/>
              <w:spacing w:after="0"/>
              <w:rPr>
                <w:sz w:val="20"/>
                <w:szCs w:val="20"/>
                <w:color w:val="auto"/>
              </w:rPr>
            </w:pPr>
            <w:r>
              <w:rPr>
                <w:rFonts w:ascii="Arial" w:cs="Arial" w:eastAsia="Arial" w:hAnsi="Arial"/>
                <w:sz w:val="18"/>
                <w:szCs w:val="18"/>
                <w:color w:val="auto"/>
              </w:rPr>
              <w:t>3.1</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Restated Certificate of Incorporation of the Registrant (1)</w:t>
            </w:r>
          </w:p>
        </w:tc>
      </w:tr>
      <w:tr>
        <w:trPr>
          <w:trHeight w:val="230"/>
        </w:trPr>
        <w:tc>
          <w:tcPr>
            <w:tcW w:w="1340" w:type="dxa"/>
            <w:vAlign w:val="bottom"/>
            <w:gridSpan w:val="2"/>
          </w:tcPr>
          <w:p>
            <w:pPr>
              <w:ind w:left="260"/>
              <w:spacing w:after="0"/>
              <w:rPr>
                <w:sz w:val="20"/>
                <w:szCs w:val="20"/>
                <w:color w:val="auto"/>
              </w:rPr>
            </w:pPr>
            <w:r>
              <w:rPr>
                <w:rFonts w:ascii="Arial" w:cs="Arial" w:eastAsia="Arial" w:hAnsi="Arial"/>
                <w:sz w:val="18"/>
                <w:szCs w:val="18"/>
                <w:color w:val="auto"/>
              </w:rPr>
              <w:t>3.2</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Bylaws of the Registrant, as amended (2)</w:t>
            </w:r>
          </w:p>
        </w:tc>
      </w:tr>
    </w:tbl>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December 10,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December 21, 2009</w:t>
      </w:r>
      <w:r>
        <w:rPr>
          <w:sz w:val="20"/>
          <w:szCs w:val="20"/>
          <w:color w:val="auto"/>
        </w:rPr>
        <w:tab/>
      </w:r>
      <w:r>
        <w:rPr>
          <w:rFonts w:ascii="Arial" w:cs="Arial" w:eastAsia="Arial" w:hAnsi="Arial"/>
          <w:sz w:val="16"/>
          <w:szCs w:val="16"/>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 Ronald C. Foster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Ronald C. Foster</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Vice President of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240" w:top="756" w:right="5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2019-12-10T05:26:47Z</dcterms:created>
  <dcterms:modified xsi:type="dcterms:W3CDTF">2019-12-10T05:26:47Z</dcterms:modified>
</cp:coreProperties>
</file>