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November 16, 2011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2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On November 16, 2011, Micron Technology, Inc. announced that a jury in the California state court antitrust trial of Rambus Inc. v. Micron Technology et al. reached a verdict in its favor, clearing Micron of any and all liability.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600" w:type="dxa"/>
            <w:vAlign w:val="bottom"/>
            <w:gridSpan w:val="2"/>
          </w:tcPr>
          <w:p>
            <w:pPr>
              <w:ind w:left="1360"/>
              <w:spacing w:after="0"/>
              <w:rPr>
                <w:sz w:val="20"/>
                <w:szCs w:val="20"/>
                <w:color w:val="auto"/>
              </w:rPr>
            </w:pPr>
            <w:r>
              <w:rPr>
                <w:rFonts w:ascii="Arial" w:cs="Arial" w:eastAsia="Arial" w:hAnsi="Arial"/>
                <w:sz w:val="17"/>
                <w:szCs w:val="17"/>
                <w:color w:val="auto"/>
              </w:rPr>
              <w:t>(d)</w:t>
            </w:r>
          </w:p>
        </w:tc>
        <w:tc>
          <w:tcPr>
            <w:tcW w:w="9800" w:type="dxa"/>
            <w:vAlign w:val="bottom"/>
            <w:gridSpan w:val="2"/>
          </w:tcPr>
          <w:p>
            <w:pPr>
              <w:ind w:left="40"/>
              <w:spacing w:after="0"/>
              <w:rPr>
                <w:sz w:val="20"/>
                <w:szCs w:val="20"/>
                <w:color w:val="auto"/>
              </w:rPr>
            </w:pPr>
            <w:r>
              <w:rPr>
                <w:rFonts w:ascii="Arial" w:cs="Arial" w:eastAsia="Arial" w:hAnsi="Arial"/>
                <w:sz w:val="17"/>
                <w:szCs w:val="17"/>
                <w:color w:val="auto"/>
              </w:rPr>
              <w:t>Exhibits.</w:t>
            </w:r>
          </w:p>
        </w:tc>
      </w:tr>
      <w:tr>
        <w:trPr>
          <w:trHeight w:val="653"/>
        </w:trPr>
        <w:tc>
          <w:tcPr>
            <w:tcW w:w="1620" w:type="dxa"/>
            <w:vAlign w:val="bottom"/>
            <w:gridSpan w:val="3"/>
          </w:tcPr>
          <w:p>
            <w:pPr>
              <w:jc w:val="right"/>
              <w:ind w:right="780"/>
              <w:spacing w:after="0"/>
              <w:rPr>
                <w:sz w:val="20"/>
                <w:szCs w:val="20"/>
                <w:color w:val="auto"/>
              </w:rPr>
            </w:pPr>
            <w:r>
              <w:rPr>
                <w:rFonts w:ascii="Arial" w:cs="Arial" w:eastAsia="Arial" w:hAnsi="Arial"/>
                <w:sz w:val="17"/>
                <w:szCs w:val="17"/>
                <w:b w:val="1"/>
                <w:bCs w:val="1"/>
                <w:color w:val="auto"/>
                <w:w w:val="92"/>
              </w:rPr>
              <w:t>Exhibit No.</w:t>
            </w:r>
          </w:p>
        </w:tc>
        <w:tc>
          <w:tcPr>
            <w:tcW w:w="160" w:type="dxa"/>
            <w:vAlign w:val="bottom"/>
          </w:tcPr>
          <w:p>
            <w:pPr>
              <w:spacing w:after="0"/>
              <w:rPr>
                <w:sz w:val="24"/>
                <w:szCs w:val="24"/>
                <w:color w:val="auto"/>
              </w:rPr>
            </w:pPr>
          </w:p>
        </w:tc>
        <w:tc>
          <w:tcPr>
            <w:tcW w:w="9640" w:type="dxa"/>
            <w:vAlign w:val="bottom"/>
          </w:tcPr>
          <w:p>
            <w:pPr>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360" w:type="dxa"/>
            <w:vAlign w:val="bottom"/>
            <w:tcBorders>
              <w:top w:val="single" w:sz="8" w:color="auto"/>
            </w:tcBorders>
          </w:tcPr>
          <w:p>
            <w:pPr>
              <w:jc w:val="right"/>
              <w:ind w:right="454"/>
              <w:spacing w:after="0"/>
              <w:rPr>
                <w:sz w:val="20"/>
                <w:szCs w:val="20"/>
                <w:color w:val="auto"/>
              </w:rPr>
            </w:pPr>
            <w:r>
              <w:rPr>
                <w:rFonts w:ascii="Arial" w:cs="Arial" w:eastAsia="Arial" w:hAnsi="Arial"/>
                <w:sz w:val="17"/>
                <w:szCs w:val="17"/>
                <w:color w:val="auto"/>
              </w:rPr>
              <w:t>99.1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issued on November 16, 2011</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3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40" w:type="dxa"/>
            <w:vAlign w:val="bottom"/>
          </w:tcPr>
          <w:p>
            <w:pPr>
              <w:spacing w:after="0"/>
              <w:rPr>
                <w:sz w:val="19"/>
                <w:szCs w:val="19"/>
                <w:color w:val="auto"/>
              </w:rPr>
            </w:pPr>
          </w:p>
        </w:tc>
        <w:tc>
          <w:tcPr>
            <w:tcW w:w="6980" w:type="dxa"/>
            <w:vAlign w:val="bottom"/>
            <w:gridSpan w:val="2"/>
          </w:tcPr>
          <w:p>
            <w:pPr>
              <w:ind w:left="250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440" w:type="dxa"/>
            <w:vAlign w:val="bottom"/>
          </w:tcPr>
          <w:p>
            <w:pPr>
              <w:spacing w:after="0"/>
              <w:rPr>
                <w:sz w:val="20"/>
                <w:szCs w:val="20"/>
                <w:color w:val="auto"/>
              </w:rPr>
            </w:pPr>
            <w:r>
              <w:rPr>
                <w:rFonts w:ascii="Arial" w:cs="Arial" w:eastAsia="Arial" w:hAnsi="Arial"/>
                <w:sz w:val="17"/>
                <w:szCs w:val="17"/>
                <w:color w:val="auto"/>
              </w:rPr>
              <w:t>Date:  November 16, 2011</w:t>
            </w:r>
          </w:p>
        </w:tc>
        <w:tc>
          <w:tcPr>
            <w:tcW w:w="3360" w:type="dxa"/>
            <w:vAlign w:val="bottom"/>
          </w:tcPr>
          <w:p>
            <w:pPr>
              <w:ind w:left="2500"/>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4440" w:type="dxa"/>
            <w:vAlign w:val="bottom"/>
          </w:tcPr>
          <w:p>
            <w:pPr>
              <w:spacing w:after="0"/>
              <w:rPr>
                <w:sz w:val="16"/>
                <w:szCs w:val="16"/>
                <w:color w:val="auto"/>
              </w:rPr>
            </w:pPr>
          </w:p>
        </w:tc>
        <w:tc>
          <w:tcPr>
            <w:tcW w:w="3360" w:type="dxa"/>
            <w:vAlign w:val="bottom"/>
          </w:tcPr>
          <w:p>
            <w:pPr>
              <w:ind w:left="2500"/>
              <w:spacing w:after="0" w:line="194" w:lineRule="exact"/>
              <w:rPr>
                <w:sz w:val="20"/>
                <w:szCs w:val="20"/>
                <w:color w:val="auto"/>
              </w:rPr>
            </w:pPr>
            <w:r>
              <w:rPr>
                <w:rFonts w:ascii="Arial" w:cs="Arial" w:eastAsia="Arial" w:hAnsi="Arial"/>
                <w:sz w:val="17"/>
                <w:szCs w:val="17"/>
                <w:color w:val="auto"/>
              </w:rPr>
              <w:t>Name:</w:t>
            </w:r>
          </w:p>
        </w:tc>
        <w:tc>
          <w:tcPr>
            <w:tcW w:w="36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440" w:type="dxa"/>
            <w:vAlign w:val="bottom"/>
          </w:tcPr>
          <w:p>
            <w:pPr>
              <w:spacing w:after="0"/>
              <w:rPr>
                <w:sz w:val="17"/>
                <w:szCs w:val="17"/>
                <w:color w:val="auto"/>
              </w:rPr>
            </w:pPr>
          </w:p>
        </w:tc>
        <w:tc>
          <w:tcPr>
            <w:tcW w:w="3360" w:type="dxa"/>
            <w:vAlign w:val="bottom"/>
          </w:tcPr>
          <w:p>
            <w:pPr>
              <w:ind w:left="2500"/>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4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7"/>
          <w:szCs w:val="17"/>
          <w:b w:val="1"/>
          <w:bCs w:val="1"/>
          <w:color w:val="auto"/>
        </w:rPr>
        <w:t>INDEX TO EXHIBITS FILED WITH</w:t>
      </w:r>
    </w:p>
    <w:p>
      <w:pPr>
        <w:spacing w:after="0" w:line="28"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NOVEMBER 16, 2011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Exhibit</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18415</wp:posOffset>
            </wp:positionV>
            <wp:extent cx="72529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3"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Press Release issued on November 16,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78105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859"/>
          </w:cols>
          <w:pgMar w:left="600" w:top="49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3460" w:type="dxa"/>
            <w:vAlign w:val="bottom"/>
            <w:gridSpan w:val="3"/>
          </w:tcPr>
          <w:p>
            <w:pPr>
              <w:spacing w:after="0"/>
              <w:rPr>
                <w:sz w:val="20"/>
                <w:szCs w:val="20"/>
                <w:color w:val="auto"/>
              </w:rPr>
            </w:pPr>
            <w:r>
              <w:rPr>
                <w:rFonts w:ascii="Arial" w:cs="Arial" w:eastAsia="Arial" w:hAnsi="Arial"/>
                <w:sz w:val="17"/>
                <w:szCs w:val="17"/>
                <w:b w:val="1"/>
                <w:bCs w:val="1"/>
                <w:color w:val="auto"/>
              </w:rPr>
              <w:t>FOR IMMEDIATE RELEASE</w:t>
            </w:r>
          </w:p>
        </w:tc>
        <w:tc>
          <w:tcPr>
            <w:tcW w:w="10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28"/>
        </w:trPr>
        <w:tc>
          <w:tcPr>
            <w:tcW w:w="3460" w:type="dxa"/>
            <w:vAlign w:val="bottom"/>
            <w:gridSpan w:val="3"/>
          </w:tcPr>
          <w:p>
            <w:pPr>
              <w:spacing w:after="0"/>
              <w:rPr>
                <w:sz w:val="20"/>
                <w:szCs w:val="20"/>
                <w:color w:val="auto"/>
              </w:rPr>
            </w:pPr>
            <w:r>
              <w:rPr>
                <w:rFonts w:ascii="Arial" w:cs="Arial" w:eastAsia="Arial" w:hAnsi="Arial"/>
                <w:sz w:val="17"/>
                <w:szCs w:val="17"/>
                <w:color w:val="auto"/>
              </w:rPr>
              <w:t>Contacts:    Kipp Bedard</w:t>
            </w:r>
          </w:p>
        </w:tc>
        <w:tc>
          <w:tcPr>
            <w:tcW w:w="1080" w:type="dxa"/>
            <w:vAlign w:val="bottom"/>
          </w:tcPr>
          <w:p>
            <w:pPr>
              <w:spacing w:after="0"/>
              <w:rPr>
                <w:sz w:val="24"/>
                <w:szCs w:val="24"/>
                <w:color w:val="auto"/>
              </w:rPr>
            </w:pPr>
          </w:p>
        </w:tc>
        <w:tc>
          <w:tcPr>
            <w:tcW w:w="1700" w:type="dxa"/>
            <w:vAlign w:val="bottom"/>
          </w:tcPr>
          <w:p>
            <w:pPr>
              <w:jc w:val="right"/>
              <w:ind w:right="394"/>
              <w:spacing w:after="0"/>
              <w:rPr>
                <w:sz w:val="20"/>
                <w:szCs w:val="20"/>
                <w:color w:val="auto"/>
              </w:rPr>
            </w:pPr>
            <w:r>
              <w:rPr>
                <w:rFonts w:ascii="Arial" w:cs="Arial" w:eastAsia="Arial" w:hAnsi="Arial"/>
                <w:sz w:val="17"/>
                <w:szCs w:val="17"/>
                <w:color w:val="auto"/>
                <w:w w:val="94"/>
              </w:rPr>
              <w:t>Daniel Francisco</w:t>
            </w:r>
          </w:p>
        </w:tc>
      </w:tr>
      <w:tr>
        <w:trPr>
          <w:trHeight w:val="206"/>
        </w:trPr>
        <w:tc>
          <w:tcPr>
            <w:tcW w:w="94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Investor Relations</w:t>
            </w:r>
          </w:p>
        </w:tc>
        <w:tc>
          <w:tcPr>
            <w:tcW w:w="2780" w:type="dxa"/>
            <w:vAlign w:val="bottom"/>
            <w:gridSpan w:val="2"/>
          </w:tcPr>
          <w:p>
            <w:pPr>
              <w:jc w:val="right"/>
              <w:ind w:right="554"/>
              <w:spacing w:after="0"/>
              <w:rPr>
                <w:sz w:val="20"/>
                <w:szCs w:val="20"/>
                <w:color w:val="auto"/>
              </w:rPr>
            </w:pPr>
            <w:r>
              <w:rPr>
                <w:rFonts w:ascii="Arial" w:cs="Arial" w:eastAsia="Arial" w:hAnsi="Arial"/>
                <w:sz w:val="17"/>
                <w:szCs w:val="17"/>
                <w:color w:val="auto"/>
              </w:rPr>
              <w:t>Media Relations</w:t>
            </w:r>
          </w:p>
        </w:tc>
      </w:tr>
      <w:tr>
        <w:trPr>
          <w:trHeight w:val="180"/>
        </w:trPr>
        <w:tc>
          <w:tcPr>
            <w:tcW w:w="940" w:type="dxa"/>
            <w:vAlign w:val="bottom"/>
          </w:tcPr>
          <w:p>
            <w:pPr>
              <w:spacing w:after="0"/>
              <w:rPr>
                <w:sz w:val="15"/>
                <w:szCs w:val="15"/>
                <w:color w:val="auto"/>
              </w:rPr>
            </w:pPr>
          </w:p>
        </w:tc>
        <w:tc>
          <w:tcPr>
            <w:tcW w:w="154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91"/>
              </w:rPr>
              <w:t>kbedard@micron.com</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91"/>
              </w:rPr>
              <w:t>dfrancisco@micron.com</w:t>
            </w:r>
          </w:p>
        </w:tc>
      </w:tr>
      <w:tr>
        <w:trPr>
          <w:trHeight w:val="224"/>
        </w:trPr>
        <w:tc>
          <w:tcPr>
            <w:tcW w:w="2480" w:type="dxa"/>
            <w:vAlign w:val="bottom"/>
            <w:gridSpan w:val="2"/>
          </w:tcPr>
          <w:p>
            <w:pPr>
              <w:ind w:left="940"/>
              <w:spacing w:after="0"/>
              <w:rPr>
                <w:sz w:val="20"/>
                <w:szCs w:val="20"/>
                <w:color w:val="auto"/>
              </w:rPr>
            </w:pPr>
            <w:r>
              <w:rPr>
                <w:rFonts w:ascii="Arial" w:cs="Arial" w:eastAsia="Arial" w:hAnsi="Arial"/>
                <w:sz w:val="17"/>
                <w:szCs w:val="17"/>
                <w:color w:val="auto"/>
              </w:rPr>
              <w:t>(208) 368-4465</w:t>
            </w:r>
          </w:p>
        </w:tc>
        <w:tc>
          <w:tcPr>
            <w:tcW w:w="980" w:type="dxa"/>
            <w:vAlign w:val="bottom"/>
          </w:tcPr>
          <w:p>
            <w:pPr>
              <w:spacing w:after="0"/>
              <w:rPr>
                <w:sz w:val="19"/>
                <w:szCs w:val="19"/>
                <w:color w:val="auto"/>
              </w:rPr>
            </w:pPr>
          </w:p>
        </w:tc>
        <w:tc>
          <w:tcPr>
            <w:tcW w:w="2780" w:type="dxa"/>
            <w:vAlign w:val="bottom"/>
            <w:gridSpan w:val="2"/>
          </w:tcPr>
          <w:p>
            <w:pPr>
              <w:jc w:val="right"/>
              <w:ind w:right="414"/>
              <w:spacing w:after="0"/>
              <w:rPr>
                <w:sz w:val="20"/>
                <w:szCs w:val="20"/>
                <w:color w:val="auto"/>
              </w:rPr>
            </w:pPr>
            <w:r>
              <w:rPr>
                <w:rFonts w:ascii="Arial" w:cs="Arial" w:eastAsia="Arial" w:hAnsi="Arial"/>
                <w:sz w:val="17"/>
                <w:szCs w:val="17"/>
                <w:color w:val="auto"/>
              </w:rPr>
              <w:t>(208) 368-5584</w:t>
            </w:r>
          </w:p>
        </w:tc>
      </w:tr>
    </w:tbl>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PREVAILS IN CALIFORNIA ANTITRUST TRIAL AGAINST RAMBUS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BOISE, Idaho, Nov. 16, 2011 </w:t>
      </w:r>
      <w:r>
        <w:rPr>
          <w:rFonts w:ascii="Arial" w:cs="Arial" w:eastAsia="Arial" w:hAnsi="Arial"/>
          <w:sz w:val="16"/>
          <w:szCs w:val="16"/>
          <w:color w:val="auto"/>
        </w:rPr>
        <w:t>– Micron Technology, Inc. (NASDAQ: MU) today confirmed that a jury in the California state court antitrust trial of Rambus Inc. v.</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et al. reached a verdict in its favor, clearing Micron of any and all liability.</w:t>
      </w:r>
    </w:p>
    <w:p>
      <w:pPr>
        <w:spacing w:after="0" w:line="233"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“We are very pleased that the jury considered all the evidence at issue in this case and determined that Rambus’ allegations against the Company were completely without merit,” said Steve Appleton, Micron’s Chairman and Chief Executive Officer. “The jury’s verdict validates our assertion that Micron acted in accordance with the law and consistent with its values of innovation and fair competition in the marketplace.”</w:t>
      </w:r>
    </w:p>
    <w:p>
      <w:pPr>
        <w:spacing w:after="0" w:line="200" w:lineRule="exact"/>
        <w:rPr>
          <w:sz w:val="20"/>
          <w:szCs w:val="20"/>
          <w:color w:val="auto"/>
        </w:rPr>
      </w:pPr>
    </w:p>
    <w:p>
      <w:pPr>
        <w:spacing w:after="0" w:line="2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Rambus alleged that Micron, Hynix Semiconductor Inc. and others conspired to keep Rambus-designed DRAM (RDRAM) chips out of the memory market. At trial, Micron presented evidence demonstrating that it was design flaws, higher manufacturing costs and other drawbacks associated with RDRAM along with Rambus’ business practices that prevented RDRAM from gaining wide acceptance in the market. In a trial presided over by Judge James McBride in California Superior Court in San Francisco, a jury found in favor of Micron on all counts.</w:t>
      </w:r>
    </w:p>
    <w:p>
      <w:pPr>
        <w:spacing w:after="0" w:line="205"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sectPr>
      <w:pgSz w:w="11900" w:h="16838" w:orient="portrait"/>
      <w:cols w:equalWidth="0" w:num="1">
        <w:col w:w="11400"/>
      </w:cols>
      <w:pgMar w:left="240" w:top="9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2019-12-10T05:14:56Z</dcterms:created>
  <dcterms:modified xsi:type="dcterms:W3CDTF">2019-12-10T05:14:56Z</dcterms:modified>
</cp:coreProperties>
</file>