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March 29, 2012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0" w:lineRule="exact"/>
        <w:rPr>
          <w:sz w:val="20"/>
          <w:szCs w:val="20"/>
          <w:color w:val="auto"/>
        </w:rPr>
      </w:pPr>
    </w:p>
    <w:p>
      <w:pPr>
        <w:spacing w:after="0" w:line="282"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On March 29, 2012, the Company issued a press release relating to its entering into an agreement with Oracle America Inc. to settle all claims related to a lawsuit between them. A copy of the press release related to this announcement is attached as Exhibit 99.1 hereto.</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46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7"/>
                <w:szCs w:val="17"/>
                <w:b w:val="1"/>
                <w:bCs w:val="1"/>
                <w:color w:val="auto"/>
              </w:rPr>
              <w:t>Financial Statement and Exhibits.</w:t>
            </w:r>
          </w:p>
        </w:tc>
      </w:tr>
      <w:tr>
        <w:trPr>
          <w:trHeight w:val="64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7"/>
                <w:szCs w:val="17"/>
                <w:color w:val="auto"/>
              </w:rPr>
              <w:t>(d) Exhibits.</w:t>
            </w:r>
          </w:p>
        </w:tc>
      </w:tr>
      <w:tr>
        <w:trPr>
          <w:trHeight w:val="887"/>
        </w:trPr>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4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231"/>
        </w:trPr>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No.</w:t>
            </w:r>
          </w:p>
        </w:tc>
        <w:tc>
          <w:tcPr>
            <w:tcW w:w="46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78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99.1</w:t>
            </w:r>
          </w:p>
        </w:tc>
        <w:tc>
          <w:tcPr>
            <w:tcW w:w="460" w:type="dxa"/>
            <w:vAlign w:val="bottom"/>
          </w:tcPr>
          <w:p>
            <w:pPr>
              <w:spacing w:after="0"/>
              <w:rPr>
                <w:sz w:val="18"/>
                <w:szCs w:val="18"/>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March 29,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7100" w:type="dxa"/>
            <w:vAlign w:val="bottom"/>
            <w:gridSpan w:val="3"/>
          </w:tcPr>
          <w:p>
            <w:pPr>
              <w:ind w:left="26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320" w:type="dxa"/>
            <w:vAlign w:val="bottom"/>
          </w:tcPr>
          <w:p>
            <w:pPr>
              <w:spacing w:after="0"/>
              <w:rPr>
                <w:sz w:val="20"/>
                <w:szCs w:val="20"/>
                <w:color w:val="auto"/>
              </w:rPr>
            </w:pPr>
            <w:r>
              <w:rPr>
                <w:rFonts w:ascii="Arial" w:cs="Arial" w:eastAsia="Arial" w:hAnsi="Arial"/>
                <w:sz w:val="17"/>
                <w:szCs w:val="17"/>
                <w:color w:val="auto"/>
              </w:rPr>
              <w:t>Date:   March 29, 2012</w:t>
            </w:r>
          </w:p>
        </w:tc>
        <w:tc>
          <w:tcPr>
            <w:tcW w:w="3220" w:type="dxa"/>
            <w:vAlign w:val="bottom"/>
          </w:tcPr>
          <w:p>
            <w:pPr>
              <w:ind w:left="2620"/>
              <w:spacing w:after="0"/>
              <w:rPr>
                <w:sz w:val="20"/>
                <w:szCs w:val="20"/>
                <w:color w:val="auto"/>
              </w:rPr>
            </w:pPr>
            <w:r>
              <w:rPr>
                <w:rFonts w:ascii="Arial" w:cs="Arial" w:eastAsia="Arial" w:hAnsi="Arial"/>
                <w:sz w:val="17"/>
                <w:szCs w:val="17"/>
                <w:color w:val="auto"/>
              </w:rPr>
              <w:t>By:</w:t>
            </w:r>
          </w:p>
        </w:tc>
        <w:tc>
          <w:tcPr>
            <w:tcW w:w="160" w:type="dxa"/>
            <w:vAlign w:val="bottom"/>
          </w:tcPr>
          <w:p>
            <w:pPr>
              <w:spacing w:after="0"/>
              <w:rPr>
                <w:sz w:val="24"/>
                <w:szCs w:val="24"/>
                <w:color w:val="auto"/>
              </w:rPr>
            </w:pP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Ronald C. Foster</w:t>
            </w:r>
          </w:p>
        </w:tc>
      </w:tr>
      <w:tr>
        <w:trPr>
          <w:trHeight w:val="194"/>
        </w:trPr>
        <w:tc>
          <w:tcPr>
            <w:tcW w:w="4320" w:type="dxa"/>
            <w:vAlign w:val="bottom"/>
          </w:tcPr>
          <w:p>
            <w:pPr>
              <w:spacing w:after="0"/>
              <w:rPr>
                <w:sz w:val="16"/>
                <w:szCs w:val="16"/>
                <w:color w:val="auto"/>
              </w:rPr>
            </w:pPr>
          </w:p>
        </w:tc>
        <w:tc>
          <w:tcPr>
            <w:tcW w:w="3220" w:type="dxa"/>
            <w:vAlign w:val="bottom"/>
          </w:tcPr>
          <w:p>
            <w:pPr>
              <w:ind w:left="2620"/>
              <w:spacing w:after="0" w:line="194" w:lineRule="exact"/>
              <w:rPr>
                <w:sz w:val="20"/>
                <w:szCs w:val="20"/>
                <w:color w:val="auto"/>
              </w:rPr>
            </w:pPr>
            <w:r>
              <w:rPr>
                <w:rFonts w:ascii="Arial" w:cs="Arial" w:eastAsia="Arial" w:hAnsi="Arial"/>
                <w:sz w:val="17"/>
                <w:szCs w:val="17"/>
                <w:color w:val="auto"/>
              </w:rPr>
              <w:t>Name:</w:t>
            </w:r>
          </w:p>
        </w:tc>
        <w:tc>
          <w:tcPr>
            <w:tcW w:w="160" w:type="dxa"/>
            <w:vAlign w:val="bottom"/>
          </w:tcPr>
          <w:p>
            <w:pPr>
              <w:spacing w:after="0"/>
              <w:rPr>
                <w:sz w:val="16"/>
                <w:szCs w:val="16"/>
                <w:color w:val="auto"/>
              </w:rPr>
            </w:pPr>
          </w:p>
        </w:tc>
        <w:tc>
          <w:tcPr>
            <w:tcW w:w="37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320" w:type="dxa"/>
            <w:vAlign w:val="bottom"/>
          </w:tcPr>
          <w:p>
            <w:pPr>
              <w:spacing w:after="0"/>
              <w:rPr>
                <w:sz w:val="17"/>
                <w:szCs w:val="17"/>
                <w:color w:val="auto"/>
              </w:rPr>
            </w:pPr>
          </w:p>
        </w:tc>
        <w:tc>
          <w:tcPr>
            <w:tcW w:w="3220" w:type="dxa"/>
            <w:vAlign w:val="bottom"/>
          </w:tcPr>
          <w:p>
            <w:pPr>
              <w:ind w:left="2620"/>
              <w:spacing w:after="0"/>
              <w:rPr>
                <w:sz w:val="20"/>
                <w:szCs w:val="20"/>
                <w:color w:val="auto"/>
              </w:rPr>
            </w:pPr>
            <w:r>
              <w:rPr>
                <w:rFonts w:ascii="Arial" w:cs="Arial" w:eastAsia="Arial" w:hAnsi="Arial"/>
                <w:sz w:val="17"/>
                <w:szCs w:val="17"/>
                <w:color w:val="auto"/>
              </w:rPr>
              <w:t>Title:</w:t>
            </w:r>
          </w:p>
        </w:tc>
        <w:tc>
          <w:tcPr>
            <w:tcW w:w="388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25741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7593965</wp:posOffset>
            </wp:positionV>
            <wp:extent cx="725741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0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60"/>
        </w:trPr>
        <w:tc>
          <w:tcPr>
            <w:tcW w:w="1240" w:type="dxa"/>
            <w:vAlign w:val="bottom"/>
          </w:tcPr>
          <w:p>
            <w:pPr>
              <w:spacing w:after="0"/>
              <w:rPr>
                <w:sz w:val="20"/>
                <w:szCs w:val="20"/>
                <w:color w:val="auto"/>
              </w:rPr>
            </w:pPr>
            <w:r>
              <w:rPr>
                <w:rFonts w:ascii="Arial" w:cs="Arial" w:eastAsia="Arial" w:hAnsi="Arial"/>
                <w:sz w:val="17"/>
                <w:szCs w:val="17"/>
                <w:color w:val="auto"/>
              </w:rPr>
              <w:t>Contacts:</w:t>
            </w:r>
          </w:p>
        </w:tc>
        <w:tc>
          <w:tcPr>
            <w:tcW w:w="1540" w:type="dxa"/>
            <w:vAlign w:val="bottom"/>
          </w:tcPr>
          <w:p>
            <w:pPr>
              <w:ind w:left="60"/>
              <w:spacing w:after="0"/>
              <w:rPr>
                <w:sz w:val="20"/>
                <w:szCs w:val="20"/>
                <w:color w:val="auto"/>
              </w:rPr>
            </w:pPr>
            <w:r>
              <w:rPr>
                <w:rFonts w:ascii="Arial" w:cs="Arial" w:eastAsia="Arial" w:hAnsi="Arial"/>
                <w:sz w:val="17"/>
                <w:szCs w:val="17"/>
                <w:color w:val="auto"/>
              </w:rPr>
              <w:t>Kipp A Bedard</w:t>
            </w:r>
          </w:p>
        </w:tc>
        <w:tc>
          <w:tcPr>
            <w:tcW w:w="2060" w:type="dxa"/>
            <w:vAlign w:val="bottom"/>
          </w:tcPr>
          <w:p>
            <w:pPr>
              <w:spacing w:after="0"/>
              <w:rPr>
                <w:sz w:val="24"/>
                <w:szCs w:val="24"/>
                <w:color w:val="auto"/>
              </w:rPr>
            </w:pPr>
          </w:p>
        </w:tc>
        <w:tc>
          <w:tcPr>
            <w:tcW w:w="1700" w:type="dxa"/>
            <w:vAlign w:val="bottom"/>
          </w:tcPr>
          <w:p>
            <w:pPr>
              <w:jc w:val="right"/>
              <w:ind w:right="394"/>
              <w:spacing w:after="0"/>
              <w:rPr>
                <w:sz w:val="20"/>
                <w:szCs w:val="20"/>
                <w:color w:val="auto"/>
              </w:rPr>
            </w:pPr>
            <w:r>
              <w:rPr>
                <w:rFonts w:ascii="Arial" w:cs="Arial" w:eastAsia="Arial" w:hAnsi="Arial"/>
                <w:sz w:val="17"/>
                <w:szCs w:val="17"/>
                <w:color w:val="auto"/>
                <w:w w:val="94"/>
              </w:rPr>
              <w:t>Daniel Francisco</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3760" w:type="dxa"/>
            <w:vAlign w:val="bottom"/>
            <w:gridSpan w:val="2"/>
          </w:tcPr>
          <w:p>
            <w:pPr>
              <w:jc w:val="right"/>
              <w:ind w:right="1214"/>
              <w:spacing w:after="0"/>
              <w:rPr>
                <w:sz w:val="20"/>
                <w:szCs w:val="20"/>
                <w:color w:val="auto"/>
              </w:rPr>
            </w:pPr>
            <w:r>
              <w:rPr>
                <w:rFonts w:ascii="Arial" w:cs="Arial" w:eastAsia="Arial" w:hAnsi="Arial"/>
                <w:sz w:val="17"/>
                <w:szCs w:val="17"/>
                <w:color w:val="auto"/>
              </w:rPr>
              <w:t>Micron Technology, Inc.</w:t>
            </w:r>
          </w:p>
        </w:tc>
      </w:tr>
      <w:tr>
        <w:trPr>
          <w:trHeight w:val="206"/>
        </w:trPr>
        <w:tc>
          <w:tcPr>
            <w:tcW w:w="1240" w:type="dxa"/>
            <w:vAlign w:val="bottom"/>
          </w:tcPr>
          <w:p>
            <w:pPr>
              <w:spacing w:after="0"/>
              <w:rPr>
                <w:sz w:val="20"/>
                <w:szCs w:val="20"/>
                <w:color w:val="auto"/>
              </w:rPr>
            </w:pPr>
            <w:r>
              <w:rPr>
                <w:rFonts w:ascii="Arial" w:cs="Arial" w:eastAsia="Arial" w:hAnsi="Arial"/>
                <w:sz w:val="17"/>
                <w:szCs w:val="17"/>
                <w:color w:val="auto"/>
              </w:rPr>
              <w:t>1-208-368-4465</w:t>
            </w:r>
          </w:p>
        </w:tc>
        <w:tc>
          <w:tcPr>
            <w:tcW w:w="1540" w:type="dxa"/>
            <w:vAlign w:val="bottom"/>
          </w:tcPr>
          <w:p>
            <w:pPr>
              <w:spacing w:after="0"/>
              <w:rPr>
                <w:sz w:val="17"/>
                <w:szCs w:val="17"/>
                <w:color w:val="auto"/>
              </w:rPr>
            </w:pPr>
          </w:p>
        </w:tc>
        <w:tc>
          <w:tcPr>
            <w:tcW w:w="3760" w:type="dxa"/>
            <w:vAlign w:val="bottom"/>
            <w:gridSpan w:val="2"/>
          </w:tcPr>
          <w:p>
            <w:pPr>
              <w:jc w:val="right"/>
              <w:ind w:right="1594"/>
              <w:spacing w:after="0"/>
              <w:rPr>
                <w:sz w:val="20"/>
                <w:szCs w:val="20"/>
                <w:color w:val="auto"/>
              </w:rPr>
            </w:pPr>
            <w:r>
              <w:rPr>
                <w:rFonts w:ascii="Arial" w:cs="Arial" w:eastAsia="Arial" w:hAnsi="Arial"/>
                <w:sz w:val="17"/>
                <w:szCs w:val="17"/>
                <w:color w:val="auto"/>
              </w:rPr>
              <w:t>1-208-368-5584</w:t>
            </w:r>
          </w:p>
        </w:tc>
      </w:tr>
      <w:tr>
        <w:trPr>
          <w:trHeight w:val="180"/>
        </w:trPr>
        <w:tc>
          <w:tcPr>
            <w:tcW w:w="1240" w:type="dxa"/>
            <w:vAlign w:val="bottom"/>
          </w:tcPr>
          <w:p>
            <w:pPr>
              <w:spacing w:after="0"/>
              <w:rPr>
                <w:sz w:val="15"/>
                <w:szCs w:val="15"/>
                <w:color w:val="auto"/>
              </w:rPr>
            </w:pPr>
          </w:p>
        </w:tc>
        <w:tc>
          <w:tcPr>
            <w:tcW w:w="154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1"/>
              </w:rPr>
              <w:t>kbedard@micron.com</w:t>
            </w:r>
          </w:p>
        </w:tc>
        <w:tc>
          <w:tcPr>
            <w:tcW w:w="2060" w:type="dxa"/>
            <w:vAlign w:val="bottom"/>
          </w:tcPr>
          <w:p>
            <w:pPr>
              <w:spacing w:after="0"/>
              <w:rPr>
                <w:sz w:val="15"/>
                <w:szCs w:val="15"/>
                <w:color w:val="auto"/>
              </w:rPr>
            </w:pPr>
          </w:p>
        </w:tc>
        <w:tc>
          <w:tcPr>
            <w:tcW w:w="1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1"/>
              </w:rPr>
              <w:t>dfrancisco@micron.com</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Settles Lawsuit with Oracle</w:t>
      </w:r>
    </w:p>
    <w:p>
      <w:pPr>
        <w:spacing w:after="0" w:line="24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color w:val="auto"/>
        </w:rPr>
        <w:t xml:space="preserve">BOISE, Idaho, March 29, 2012 </w:t>
      </w:r>
      <w:r>
        <w:rPr>
          <w:rFonts w:ascii="Arial" w:cs="Arial" w:eastAsia="Arial" w:hAnsi="Arial"/>
          <w:sz w:val="16"/>
          <w:szCs w:val="16"/>
          <w:color w:val="auto"/>
        </w:rPr>
        <w:t>– Micron Technology, Inc. (NASDAQ: MU), announced today that it reached an agreement with Oracle America Inc. (“Oracle”) to</w:t>
      </w:r>
      <w:r>
        <w:rPr>
          <w:rFonts w:ascii="Arial" w:cs="Arial" w:eastAsia="Arial" w:hAnsi="Arial"/>
          <w:sz w:val="16"/>
          <w:szCs w:val="16"/>
          <w:b w:val="1"/>
          <w:bCs w:val="1"/>
          <w:color w:val="auto"/>
        </w:rPr>
        <w:t xml:space="preserve"> </w:t>
      </w:r>
      <w:r>
        <w:rPr>
          <w:rFonts w:ascii="Arial" w:cs="Arial" w:eastAsia="Arial" w:hAnsi="Arial"/>
          <w:sz w:val="16"/>
          <w:szCs w:val="16"/>
          <w:color w:val="auto"/>
        </w:rPr>
        <w:t>settle a lawsuit filed by Oracle against Micron in the U.S. District Court for the Northern District of California. The lawsuit alleged a conspiracy to increase DRAM prices and other violations of federal and state antitrust and unfair competition laws based on purported conduct for the period from Aug. 1, 1998, through at least June 15, 2002, and sought joint and several damages, trebled, as well as restitution, disgorgement, attorneys' fees, costs and injunctive relief. Pursuant to the settlement agreement, the parties agreed to a settlement and release of all claims and a dismissal with prejudice of the litigation.</w:t>
      </w:r>
    </w:p>
    <w:p>
      <w:pPr>
        <w:spacing w:after="0" w:line="190" w:lineRule="exact"/>
        <w:rPr>
          <w:sz w:val="20"/>
          <w:szCs w:val="20"/>
          <w:color w:val="auto"/>
        </w:rPr>
      </w:pPr>
    </w:p>
    <w:p>
      <w:pPr>
        <w:ind w:right="140" w:firstLine="620"/>
        <w:spacing w:after="0" w:line="272" w:lineRule="auto"/>
        <w:rPr>
          <w:sz w:val="20"/>
          <w:szCs w:val="20"/>
          <w:color w:val="auto"/>
        </w:rPr>
      </w:pPr>
      <w:r>
        <w:rPr>
          <w:rFonts w:ascii="Arial" w:cs="Arial" w:eastAsia="Arial" w:hAnsi="Arial"/>
          <w:sz w:val="16"/>
          <w:szCs w:val="16"/>
          <w:color w:val="auto"/>
        </w:rPr>
        <w:t>Under applicable accounting principles, the effect of this settlement on Micron’s results of operations for the second fiscal quarter of 2012 is a reduction in revenue and an increase in the net loss attributable to Micron shareholders of $58 million as compared to the results previously reported on March 22, 2012, with corresponding adjustments to other items included in the company’s results of operations. As a result, for the second quarter of fiscal 2012, Micron’s net loss attributable to its shareholders was $282 million, or $0.29 per diluted share, on net sales of $2.009 billion. The full effect of the settlement on Micron’s results of operations and financial position for the second quarter of fiscal 2012 will be provided in Micron’s Form 10-Q.</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33" w:lineRule="exact"/>
        <w:rPr>
          <w:sz w:val="20"/>
          <w:szCs w:val="20"/>
          <w:color w:val="auto"/>
        </w:rPr>
      </w:pPr>
    </w:p>
    <w:p>
      <w:pPr>
        <w:ind w:right="580" w:firstLine="620"/>
        <w:spacing w:after="0" w:line="262" w:lineRule="auto"/>
        <w:rPr>
          <w:sz w:val="20"/>
          <w:szCs w:val="20"/>
          <w:color w:val="auto"/>
        </w:rPr>
      </w:pPr>
      <w:r>
        <w:rPr>
          <w:rFonts w:ascii="Arial" w:cs="Arial" w:eastAsia="Arial" w:hAnsi="Arial"/>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3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2019-12-09T08:42:15Z</dcterms:created>
  <dcterms:modified xsi:type="dcterms:W3CDTF">2019-12-09T08:42:15Z</dcterms:modified>
</cp:coreProperties>
</file>