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5"/>
          <w:szCs w:val="15"/>
          <w:b w:val="1"/>
          <w:bCs w:val="1"/>
          <w:color w:val="auto"/>
        </w:rPr>
        <w:t>Prospectus Supplement dated October 24, 2002</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 Prospectus filed on January 10, 2002)</w:t>
      </w:r>
    </w:p>
    <w:p>
      <w:pPr>
        <w:spacing w:after="0" w:line="20" w:lineRule="exact"/>
        <w:rPr>
          <w:sz w:val="24"/>
          <w:szCs w:val="24"/>
          <w:color w:val="auto"/>
        </w:rPr>
      </w:pPr>
      <w:r>
        <w:rPr>
          <w:sz w:val="24"/>
          <w:szCs w:val="24"/>
          <w:color w:val="auto"/>
        </w:rPr>
        <w:br w:type="column"/>
      </w:r>
    </w:p>
    <w:p>
      <w:pPr>
        <w:jc w:val="right"/>
        <w:spacing w:after="0"/>
        <w:rPr>
          <w:sz w:val="20"/>
          <w:szCs w:val="20"/>
          <w:color w:val="auto"/>
        </w:rPr>
      </w:pPr>
      <w:r>
        <w:rPr>
          <w:rFonts w:ascii="Arial" w:cs="Arial" w:eastAsia="Arial" w:hAnsi="Arial"/>
          <w:sz w:val="16"/>
          <w:szCs w:val="16"/>
          <w:b w:val="1"/>
          <w:bCs w:val="1"/>
          <w:color w:val="auto"/>
        </w:rPr>
        <w:t>Filed Pursuant to Rule 424(b)(3)</w:t>
      </w:r>
    </w:p>
    <w:p>
      <w:pPr>
        <w:spacing w:after="0" w:line="44"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333-71620</w:t>
      </w:r>
    </w:p>
    <w:p>
      <w:pPr>
        <w:spacing w:after="0" w:line="199" w:lineRule="exact"/>
        <w:rPr>
          <w:sz w:val="24"/>
          <w:szCs w:val="24"/>
          <w:color w:val="auto"/>
        </w:rPr>
      </w:pPr>
    </w:p>
    <w:p>
      <w:pPr>
        <w:sectPr>
          <w:pgSz w:w="11900" w:h="16838" w:orient="portrait"/>
          <w:cols w:equalWidth="0" w:num="2">
            <w:col w:w="8280" w:space="720"/>
            <w:col w:w="2420"/>
          </w:cols>
          <w:pgMar w:left="240" w:top="476" w:right="239" w:bottom="1440" w:gutter="0" w:footer="0" w:header="0"/>
        </w:sectPr>
      </w:pPr>
    </w:p>
    <w:p>
      <w:pPr>
        <w:jc w:val="center"/>
        <w:spacing w:after="0"/>
        <w:rPr>
          <w:sz w:val="20"/>
          <w:szCs w:val="20"/>
          <w:color w:val="auto"/>
        </w:rPr>
      </w:pPr>
      <w:r>
        <w:rPr>
          <w:rFonts w:ascii="Arial" w:cs="Arial" w:eastAsia="Arial" w:hAnsi="Arial"/>
          <w:sz w:val="24"/>
          <w:szCs w:val="24"/>
          <w:b w:val="1"/>
          <w:bCs w:val="1"/>
          <w:color w:val="auto"/>
        </w:rPr>
        <w:t>Micron Technology, Inc.</w:t>
      </w:r>
    </w:p>
    <w:p>
      <w:pPr>
        <w:spacing w:after="0" w:line="29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29,069,767 Shares</w:t>
      </w:r>
    </w:p>
    <w:p>
      <w:pPr>
        <w:spacing w:after="0" w:line="29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Common Stock</w:t>
      </w:r>
    </w:p>
    <w:p>
      <w:pPr>
        <w:spacing w:after="0" w:line="244" w:lineRule="exact"/>
        <w:rPr>
          <w:sz w:val="24"/>
          <w:szCs w:val="24"/>
          <w:color w:val="auto"/>
        </w:rPr>
      </w:pPr>
    </w:p>
    <w:p>
      <w:pPr>
        <w:ind w:right="300" w:firstLine="392"/>
        <w:spacing w:after="0" w:line="268" w:lineRule="auto"/>
        <w:rPr>
          <w:sz w:val="20"/>
          <w:szCs w:val="20"/>
          <w:color w:val="auto"/>
        </w:rPr>
      </w:pPr>
      <w:r>
        <w:rPr>
          <w:rFonts w:ascii="Arial" w:cs="Arial" w:eastAsia="Arial" w:hAnsi="Arial"/>
          <w:sz w:val="18"/>
          <w:szCs w:val="18"/>
          <w:color w:val="auto"/>
        </w:rPr>
        <w:t>This prospectus supplement relates to the resale by the selling stockholders of 29,069,767 shares of our common stock, $0.10 par value, that are issuable upon the exercise of warrants sold initially by us in private placements in July 2001 and August 2001.</w:t>
      </w:r>
    </w:p>
    <w:p>
      <w:pPr>
        <w:spacing w:after="0" w:line="186" w:lineRule="exact"/>
        <w:rPr>
          <w:sz w:val="24"/>
          <w:szCs w:val="24"/>
          <w:color w:val="auto"/>
        </w:rPr>
      </w:pPr>
    </w:p>
    <w:p>
      <w:pPr>
        <w:ind w:right="380" w:firstLine="348"/>
        <w:spacing w:after="0" w:line="268" w:lineRule="auto"/>
        <w:rPr>
          <w:sz w:val="20"/>
          <w:szCs w:val="20"/>
          <w:color w:val="auto"/>
        </w:rPr>
      </w:pPr>
      <w:r>
        <w:rPr>
          <w:rFonts w:ascii="Arial" w:cs="Arial" w:eastAsia="Arial" w:hAnsi="Arial"/>
          <w:sz w:val="18"/>
          <w:szCs w:val="18"/>
          <w:color w:val="auto"/>
        </w:rPr>
        <w:t>This prospectus supplement should be read in conjunction with the prospectus filed on January 10, 2002, together with any amendments or supplements thereto, which is to be delivered with this prospectus supplement.</w:t>
      </w:r>
    </w:p>
    <w:p>
      <w:pPr>
        <w:spacing w:after="0" w:line="186" w:lineRule="exact"/>
        <w:rPr>
          <w:sz w:val="24"/>
          <w:szCs w:val="24"/>
          <w:color w:val="auto"/>
        </w:rPr>
      </w:pPr>
    </w:p>
    <w:p>
      <w:pPr>
        <w:ind w:right="40" w:firstLine="348"/>
        <w:spacing w:after="0" w:line="306" w:lineRule="auto"/>
        <w:rPr>
          <w:sz w:val="20"/>
          <w:szCs w:val="20"/>
          <w:color w:val="auto"/>
        </w:rPr>
      </w:pPr>
      <w:r>
        <w:rPr>
          <w:rFonts w:ascii="Arial" w:cs="Arial" w:eastAsia="Arial" w:hAnsi="Arial"/>
          <w:sz w:val="16"/>
          <w:szCs w:val="16"/>
          <w:color w:val="auto"/>
        </w:rPr>
        <w:t>The information in the table appearing under the heading "Selling Stockholders" commencing on page 12 of the prospectus is hereby amended by adding the information below with respect to persons not previously listed in the prospectus or in any amendments or supplements thereto, and by superceding the information with respect to persons previously listed in the prospectus or in any amendments or supplements thereto that are listed below:</w:t>
      </w:r>
    </w:p>
    <w:p>
      <w:pPr>
        <w:spacing w:after="0" w:line="14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Number of Shares</w:t>
            </w: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6"/>
              </w:rPr>
              <w:t>Number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gridSpan w:val="3"/>
          </w:tcPr>
          <w:p>
            <w:pPr>
              <w:jc w:val="center"/>
              <w:ind w:left="827"/>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Number of</w:t>
            </w:r>
          </w:p>
        </w:tc>
        <w:tc>
          <w:tcPr>
            <w:tcW w:w="218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Beneficially Owned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2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560" w:type="dxa"/>
            <w:vAlign w:val="bottom"/>
            <w:gridSpan w:val="4"/>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Owned Prior to the</w:t>
            </w:r>
          </w:p>
        </w:tc>
        <w:tc>
          <w:tcPr>
            <w:tcW w:w="220" w:type="dxa"/>
            <w:vAlign w:val="bottom"/>
          </w:tcPr>
          <w:p>
            <w:pPr>
              <w:spacing w:after="0"/>
              <w:rPr>
                <w:sz w:val="8"/>
                <w:szCs w:val="8"/>
                <w:color w:val="auto"/>
              </w:rPr>
            </w:pPr>
          </w:p>
        </w:tc>
        <w:tc>
          <w:tcPr>
            <w:tcW w:w="1880" w:type="dxa"/>
            <w:vAlign w:val="bottom"/>
            <w:gridSpan w:val="2"/>
            <w:vMerge w:val="continue"/>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gridSpan w:val="3"/>
            <w:vMerge w:val="restart"/>
          </w:tcPr>
          <w:p>
            <w:pPr>
              <w:jc w:val="center"/>
              <w:ind w:right="860"/>
              <w:spacing w:after="0" w:line="149" w:lineRule="exact"/>
              <w:rPr>
                <w:sz w:val="20"/>
                <w:szCs w:val="20"/>
                <w:color w:val="auto"/>
              </w:rPr>
            </w:pPr>
            <w:r>
              <w:rPr>
                <w:rFonts w:ascii="Arial" w:cs="Arial" w:eastAsia="Arial" w:hAnsi="Arial"/>
                <w:sz w:val="14"/>
                <w:szCs w:val="14"/>
                <w:b w:val="1"/>
                <w:bCs w:val="1"/>
                <w:color w:val="auto"/>
                <w:w w:val="97"/>
              </w:rPr>
              <w:t>After</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2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560" w:type="dxa"/>
            <w:vAlign w:val="bottom"/>
            <w:gridSpan w:val="4"/>
            <w:vMerge w:val="continue"/>
          </w:tcPr>
          <w:p>
            <w:pPr>
              <w:spacing w:after="0"/>
              <w:rPr>
                <w:sz w:val="4"/>
                <w:szCs w:val="4"/>
                <w:color w:val="auto"/>
              </w:rPr>
            </w:pPr>
          </w:p>
        </w:tc>
        <w:tc>
          <w:tcPr>
            <w:tcW w:w="220" w:type="dxa"/>
            <w:vAlign w:val="bottom"/>
          </w:tcPr>
          <w:p>
            <w:pPr>
              <w:spacing w:after="0"/>
              <w:rPr>
                <w:sz w:val="4"/>
                <w:szCs w:val="4"/>
                <w:color w:val="auto"/>
              </w:rPr>
            </w:pPr>
          </w:p>
        </w:tc>
        <w:tc>
          <w:tcPr>
            <w:tcW w:w="18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Shares That</w:t>
            </w:r>
          </w:p>
        </w:tc>
        <w:tc>
          <w:tcPr>
            <w:tcW w:w="840" w:type="dxa"/>
            <w:vAlign w:val="bottom"/>
          </w:tcPr>
          <w:p>
            <w:pPr>
              <w:spacing w:after="0"/>
              <w:rPr>
                <w:sz w:val="4"/>
                <w:szCs w:val="4"/>
                <w:color w:val="auto"/>
              </w:rPr>
            </w:pPr>
          </w:p>
        </w:tc>
        <w:tc>
          <w:tcPr>
            <w:tcW w:w="13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2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60" w:type="dxa"/>
            <w:vAlign w:val="bottom"/>
            <w:gridSpan w:val="3"/>
            <w:vMerge w:val="restart"/>
          </w:tcPr>
          <w:p>
            <w:pPr>
              <w:jc w:val="center"/>
              <w:ind w:left="827"/>
              <w:spacing w:after="0"/>
              <w:rPr>
                <w:sz w:val="20"/>
                <w:szCs w:val="20"/>
                <w:color w:val="auto"/>
              </w:rPr>
            </w:pPr>
            <w:r>
              <w:rPr>
                <w:rFonts w:ascii="Arial" w:cs="Arial" w:eastAsia="Arial" w:hAnsi="Arial"/>
                <w:sz w:val="14"/>
                <w:szCs w:val="14"/>
                <w:b w:val="1"/>
                <w:bCs w:val="1"/>
                <w:color w:val="auto"/>
                <w:w w:val="89"/>
              </w:rPr>
              <w:t>Offering(1)</w:t>
            </w: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80" w:type="dxa"/>
            <w:vAlign w:val="bottom"/>
            <w:gridSpan w:val="2"/>
            <w:vMerge w:val="continue"/>
          </w:tcPr>
          <w:p>
            <w:pPr>
              <w:spacing w:after="0"/>
              <w:rPr>
                <w:sz w:val="8"/>
                <w:szCs w:val="8"/>
                <w:color w:val="auto"/>
              </w:rPr>
            </w:pPr>
          </w:p>
        </w:tc>
        <w:tc>
          <w:tcPr>
            <w:tcW w:w="2180" w:type="dxa"/>
            <w:vAlign w:val="bottom"/>
            <w:gridSpan w:val="4"/>
            <w:vMerge w:val="restart"/>
          </w:tcPr>
          <w:p>
            <w:pPr>
              <w:jc w:val="center"/>
              <w:ind w:right="20"/>
              <w:spacing w:after="0"/>
              <w:rPr>
                <w:sz w:val="20"/>
                <w:szCs w:val="20"/>
                <w:color w:val="auto"/>
              </w:rPr>
            </w:pPr>
            <w:r>
              <w:rPr>
                <w:rFonts w:ascii="Arial" w:cs="Arial" w:eastAsia="Arial" w:hAnsi="Arial"/>
                <w:sz w:val="14"/>
                <w:szCs w:val="14"/>
                <w:b w:val="1"/>
                <w:bCs w:val="1"/>
                <w:color w:val="auto"/>
                <w:w w:val="91"/>
              </w:rPr>
              <w:t>the Offering(3)</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2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60" w:type="dxa"/>
            <w:vAlign w:val="bottom"/>
            <w:gridSpan w:val="3"/>
            <w:vMerge w:val="continue"/>
          </w:tcPr>
          <w:p>
            <w:pPr>
              <w:spacing w:after="0"/>
              <w:rPr>
                <w:sz w:val="6"/>
                <w:szCs w:val="6"/>
                <w:color w:val="auto"/>
              </w:rPr>
            </w:pPr>
          </w:p>
        </w:tc>
        <w:tc>
          <w:tcPr>
            <w:tcW w:w="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May</w:t>
            </w:r>
          </w:p>
        </w:tc>
        <w:tc>
          <w:tcPr>
            <w:tcW w:w="21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2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8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160" w:type="dxa"/>
            <w:vAlign w:val="bottom"/>
            <w:tcBorders>
              <w:bottom w:val="single" w:sz="8" w:color="808080"/>
            </w:tcBorders>
          </w:tcPr>
          <w:p>
            <w:pPr>
              <w:spacing w:after="0"/>
              <w:rPr>
                <w:sz w:val="3"/>
                <w:szCs w:val="3"/>
                <w:color w:val="auto"/>
              </w:rPr>
            </w:pPr>
          </w:p>
        </w:tc>
        <w:tc>
          <w:tcPr>
            <w:tcW w:w="900" w:type="dxa"/>
            <w:vAlign w:val="bottom"/>
            <w:tcBorders>
              <w:bottom w:val="single" w:sz="8" w:color="808080"/>
            </w:tcBorders>
          </w:tcPr>
          <w:p>
            <w:pPr>
              <w:spacing w:after="0"/>
              <w:rPr>
                <w:sz w:val="3"/>
                <w:szCs w:val="3"/>
                <w:color w:val="auto"/>
              </w:rPr>
            </w:pPr>
          </w:p>
        </w:tc>
        <w:tc>
          <w:tcPr>
            <w:tcW w:w="220" w:type="dxa"/>
            <w:vAlign w:val="bottom"/>
            <w:vMerge w:val="restart"/>
          </w:tcPr>
          <w:p>
            <w:pPr>
              <w:spacing w:after="0"/>
              <w:rPr>
                <w:sz w:val="3"/>
                <w:szCs w:val="3"/>
                <w:color w:val="auto"/>
              </w:rPr>
            </w:pPr>
          </w:p>
        </w:tc>
        <w:tc>
          <w:tcPr>
            <w:tcW w:w="188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Be Sold in the</w:t>
            </w:r>
          </w:p>
        </w:tc>
        <w:tc>
          <w:tcPr>
            <w:tcW w:w="84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2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1880" w:type="dxa"/>
            <w:vAlign w:val="bottom"/>
            <w:gridSpan w:val="2"/>
            <w:vMerge w:val="continue"/>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460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660" w:type="dxa"/>
            <w:vAlign w:val="bottom"/>
            <w:gridSpan w:val="3"/>
          </w:tcPr>
          <w:p>
            <w:pPr>
              <w:ind w:left="400"/>
              <w:spacing w:after="0"/>
              <w:rPr>
                <w:sz w:val="20"/>
                <w:szCs w:val="20"/>
                <w:color w:val="auto"/>
              </w:rPr>
            </w:pPr>
            <w:r>
              <w:rPr>
                <w:rFonts w:ascii="Arial" w:cs="Arial" w:eastAsia="Arial" w:hAnsi="Arial"/>
                <w:sz w:val="14"/>
                <w:szCs w:val="14"/>
                <w:b w:val="1"/>
                <w:bCs w:val="1"/>
                <w:color w:val="auto"/>
              </w:rPr>
              <w:t>Number</w:t>
            </w:r>
          </w:p>
        </w:tc>
        <w:tc>
          <w:tcPr>
            <w:tcW w:w="900" w:type="dxa"/>
            <w:vAlign w:val="bottom"/>
          </w:tcPr>
          <w:p>
            <w:pPr>
              <w:jc w:val="right"/>
              <w:ind w:right="119"/>
              <w:spacing w:after="0"/>
              <w:rPr>
                <w:sz w:val="20"/>
                <w:szCs w:val="20"/>
                <w:color w:val="auto"/>
              </w:rPr>
            </w:pPr>
            <w:r>
              <w:rPr>
                <w:rFonts w:ascii="Arial" w:cs="Arial" w:eastAsia="Arial" w:hAnsi="Arial"/>
                <w:sz w:val="14"/>
                <w:szCs w:val="14"/>
                <w:b w:val="1"/>
                <w:bCs w:val="1"/>
                <w:color w:val="auto"/>
                <w:w w:val="90"/>
              </w:rPr>
              <w:t>Percentage</w:t>
            </w:r>
          </w:p>
        </w:tc>
        <w:tc>
          <w:tcPr>
            <w:tcW w:w="220" w:type="dxa"/>
            <w:vAlign w:val="bottom"/>
          </w:tcPr>
          <w:p>
            <w:pPr>
              <w:spacing w:after="0"/>
              <w:rPr>
                <w:sz w:val="15"/>
                <w:szCs w:val="15"/>
                <w:color w:val="auto"/>
              </w:rPr>
            </w:pPr>
          </w:p>
        </w:tc>
        <w:tc>
          <w:tcPr>
            <w:tcW w:w="1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Offering(2)</w:t>
            </w:r>
          </w:p>
        </w:tc>
        <w:tc>
          <w:tcPr>
            <w:tcW w:w="840" w:type="dxa"/>
            <w:vAlign w:val="bottom"/>
          </w:tcPr>
          <w:p>
            <w:pPr>
              <w:jc w:val="right"/>
              <w:ind w:right="106"/>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5"/>
                <w:szCs w:val="15"/>
                <w:color w:val="auto"/>
              </w:rPr>
            </w:pPr>
          </w:p>
        </w:tc>
        <w:tc>
          <w:tcPr>
            <w:tcW w:w="1120" w:type="dxa"/>
            <w:vAlign w:val="bottom"/>
            <w:gridSpan w:val="2"/>
          </w:tcPr>
          <w:p>
            <w:pPr>
              <w:ind w:left="24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2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Deutsche Bank Securities Inc.</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1,147,548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1,147,548</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Wachovia Securities Inc.</w:t>
            </w:r>
          </w:p>
        </w:tc>
        <w:tc>
          <w:tcPr>
            <w:tcW w:w="1280" w:type="dxa"/>
            <w:vAlign w:val="bottom"/>
          </w:tcPr>
          <w:p>
            <w:pPr>
              <w:jc w:val="right"/>
              <w:spacing w:after="0"/>
              <w:rPr>
                <w:sz w:val="20"/>
                <w:szCs w:val="20"/>
                <w:color w:val="auto"/>
              </w:rPr>
            </w:pPr>
            <w:r>
              <w:rPr>
                <w:rFonts w:ascii="Arial" w:cs="Arial" w:eastAsia="Arial" w:hAnsi="Arial"/>
                <w:sz w:val="18"/>
                <w:szCs w:val="18"/>
                <w:color w:val="auto"/>
              </w:rPr>
              <w:t>522,756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522,756</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4539615</wp:posOffset>
            </wp:positionH>
            <wp:positionV relativeFrom="paragraph">
              <wp:posOffset>-691515</wp:posOffset>
            </wp:positionV>
            <wp:extent cx="12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-691515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-691515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-691515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-443230</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-443230</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-443230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-443230</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-443230</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-443230</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-443230</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-443230</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-443230</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-443230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-443230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-443230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4"/>
          <w:szCs w:val="24"/>
          <w:color w:val="auto"/>
        </w:rPr>
      </w:pPr>
    </w:p>
    <w:p>
      <w:pPr>
        <w:ind w:left="540" w:hanging="532"/>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less than 1% of the shares of common stock outstanding.</w:t>
      </w:r>
    </w:p>
    <w:p>
      <w:pPr>
        <w:spacing w:after="0" w:line="252" w:lineRule="exact"/>
        <w:rPr>
          <w:sz w:val="24"/>
          <w:szCs w:val="24"/>
          <w:color w:val="auto"/>
        </w:rPr>
      </w:pPr>
    </w:p>
    <w:p>
      <w:pPr>
        <w:ind w:left="540" w:right="60" w:hanging="532"/>
        <w:spacing w:after="0" w:line="259"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Calculated based on Rule 13d-3(d)(1)(i) of the Exchange Act using 605,060,962 shares of common stock outstanding as of October 10, 2002. In calculating this amount, we treated as outstanding the number of shares of common stock issuable upon exercise of all of that particular holder's warrants. However, we did not assume the exercise of any other holder's warrants.</w:t>
      </w:r>
    </w:p>
    <w:p>
      <w:pPr>
        <w:spacing w:after="0" w:line="207" w:lineRule="exact"/>
        <w:rPr>
          <w:rFonts w:ascii="Arial" w:cs="Arial" w:eastAsia="Arial" w:hAnsi="Arial"/>
          <w:sz w:val="18"/>
          <w:szCs w:val="18"/>
          <w:color w:val="auto"/>
        </w:rPr>
      </w:pPr>
    </w:p>
    <w:p>
      <w:pPr>
        <w:jc w:val="both"/>
        <w:ind w:left="540" w:right="160" w:hanging="532"/>
        <w:spacing w:after="0" w:line="259"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Assumes exercise of all of the holder's warrants and that one share of common stock is issuable upon exercise of each warrant. However, the number of shares of common stock issuable upon exercise of a warrant is subject to adjustment. As a result, the amount of common stock issuable upon exercise of the warrants may increase or decrease in the future.</w:t>
      </w:r>
    </w:p>
    <w:p>
      <w:pPr>
        <w:spacing w:after="0" w:line="207" w:lineRule="exact"/>
        <w:rPr>
          <w:rFonts w:ascii="Arial" w:cs="Arial" w:eastAsia="Arial" w:hAnsi="Arial"/>
          <w:sz w:val="18"/>
          <w:szCs w:val="18"/>
          <w:color w:val="auto"/>
        </w:rPr>
      </w:pPr>
    </w:p>
    <w:p>
      <w:pPr>
        <w:ind w:left="540" w:hanging="53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Assumes the sale of all shares that may be sold in the offering.</w:t>
      </w:r>
    </w:p>
    <w:p>
      <w:pPr>
        <w:spacing w:after="0" w:line="225" w:lineRule="exact"/>
        <w:rPr>
          <w:sz w:val="24"/>
          <w:szCs w:val="24"/>
          <w:color w:val="auto"/>
        </w:rPr>
      </w:pPr>
    </w:p>
    <w:p>
      <w:pPr>
        <w:ind w:right="280" w:firstLine="351"/>
        <w:spacing w:after="0" w:line="332" w:lineRule="auto"/>
        <w:rPr>
          <w:sz w:val="20"/>
          <w:szCs w:val="20"/>
          <w:color w:val="auto"/>
        </w:rPr>
      </w:pPr>
      <w:r>
        <w:rPr>
          <w:rFonts w:ascii="Arial" w:cs="Arial" w:eastAsia="Arial" w:hAnsi="Arial"/>
          <w:sz w:val="16"/>
          <w:szCs w:val="16"/>
          <w:color w:val="auto"/>
        </w:rPr>
        <w:t>Information concerning the selling stockholders is based upon information provided to us by the stockholders. This information may change from time to time and any changed information of which we are apprised will be set forth in future prospectus supplements if and when necessary.</w:t>
      </w:r>
    </w:p>
    <w:p>
      <w:pPr>
        <w:spacing w:after="0" w:line="133" w:lineRule="exact"/>
        <w:rPr>
          <w:sz w:val="24"/>
          <w:szCs w:val="24"/>
          <w:color w:val="auto"/>
        </w:rPr>
      </w:pPr>
    </w:p>
    <w:p>
      <w:pPr>
        <w:ind w:right="60" w:firstLine="351"/>
        <w:spacing w:after="0" w:line="378" w:lineRule="auto"/>
        <w:rPr>
          <w:sz w:val="20"/>
          <w:szCs w:val="20"/>
          <w:color w:val="auto"/>
        </w:rPr>
      </w:pPr>
      <w:r>
        <w:rPr>
          <w:rFonts w:ascii="Arial" w:cs="Arial" w:eastAsia="Arial" w:hAnsi="Arial"/>
          <w:sz w:val="15"/>
          <w:szCs w:val="15"/>
          <w:b w:val="1"/>
          <w:bCs w:val="1"/>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47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2019-12-13T13:01:48Z</dcterms:created>
  <dcterms:modified xsi:type="dcterms:W3CDTF">2019-12-13T13:01:48Z</dcterms:modified>
</cp:coreProperties>
</file>