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6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-231140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4"/>
        </w:trPr>
        <w:tc>
          <w:tcPr>
            <w:tcW w:w="622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59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79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5219700</wp:posOffset>
            </wp:positionH>
            <wp:positionV relativeFrom="paragraph">
              <wp:posOffset>-607695</wp:posOffset>
            </wp:positionV>
            <wp:extent cx="57150" cy="6210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3933190</wp:posOffset>
            </wp:positionH>
            <wp:positionV relativeFrom="paragraph">
              <wp:posOffset>-607695</wp:posOffset>
            </wp:positionV>
            <wp:extent cx="57150" cy="6210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-1688465</wp:posOffset>
            </wp:positionH>
            <wp:positionV relativeFrom="paragraph">
              <wp:posOffset>19685</wp:posOffset>
            </wp:positionV>
            <wp:extent cx="6997700" cy="62909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0" cy="6290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80" w:space="460"/>
            <w:col w:w="8440"/>
          </w:cols>
          <w:pgMar w:left="460" w:top="214" w:right="359" w:bottom="3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Beard Robert P</w:t>
        </w:r>
      </w:hyperlink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8000 S.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MU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10/13/2022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720" w:firstLine="9"/>
        <w:spacing w:after="0" w:line="246" w:lineRule="auto"/>
        <w:tabs>
          <w:tab w:leader="none" w:pos="13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tbl>
      <w:tblPr>
        <w:tblLayout w:type="fixed"/>
        <w:tblInd w:w="19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9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SVP, General Counsel&amp;Secretary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60" w:space="669"/>
            <w:col w:w="3351"/>
          </w:cols>
          <w:pgMar w:left="460" w:top="214" w:right="359" w:bottom="340" w:gutter="0" w:footer="0" w:header="0"/>
          <w:type w:val="continuous"/>
        </w:sectPr>
      </w:pP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</w:tcPr>
          <w:p>
            <w:pPr>
              <w:jc w:val="right"/>
              <w:ind w:righ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9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BOISE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83716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631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10/13/2022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30,806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0.00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42,043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10/13/2022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1,217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0.00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43,260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10/13/2022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0"/>
              </w:rPr>
              <w:t>370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0"/>
                <w:vertAlign w:val="superscript"/>
              </w:rPr>
              <w:t>(3)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52.75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42,890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10/16/2022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1,107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0.00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43,997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10/16/2022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0"/>
              </w:rPr>
              <w:t>336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0"/>
                <w:vertAlign w:val="superscript"/>
              </w:rPr>
              <w:t>(3)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52.72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43,661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80" w:type="dxa"/>
            <w:vAlign w:val="bottom"/>
            <w:gridSpan w:val="1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78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6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6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17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10/13/2022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1,217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1,217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3,654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12,147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10/13/2022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12,147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58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12,147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ind w:right="131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(6)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(6)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7,701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(6)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10/13/2022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7,701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58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7,701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ind w:right="131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(7)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(7)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7,701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(7)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10/13/2022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7,701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58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7,701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ind w:right="131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10/16/2022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1,107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(8)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(8)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1,107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2,214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-2823210</wp:posOffset>
            </wp:positionV>
            <wp:extent cx="28575" cy="28282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828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Award vests 33 1/3% on October 15, 2023, and 1/12 of the total restricted stock award vests quarterly thereafter.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Acquisition resulted from the vesting of an equal number of Restricted Stock Units.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Withholding of shares of common stock to satisfy tax withholding obligations in connection with the vesting of previously granted awards.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vest in equal installments on October 13, 2022, 2023, 2024, and 2025.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40" w:hanging="2"/>
        <w:spacing w:after="0" w:line="234" w:lineRule="auto"/>
        <w:tabs>
          <w:tab w:leader="none" w:pos="16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performance-based restricted stock unit represents the right to receive, following vesting, a percentage of one share of common stock based upon the achievement of pre-established performance goals related to relative total shareholder return over a 3-year period beginning September 2, 2022 and ending August 28, 2025 (subject to a 200% aggregate limit on the total target shares that may be received under the performance-based restricted stock units awarded on October 13, 2022), and certification of such performance by the Compensation Committee.</w:t>
      </w:r>
    </w:p>
    <w:p>
      <w:pPr>
        <w:spacing w:after="0" w:line="2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40" w:hanging="2"/>
        <w:spacing w:after="0" w:line="234" w:lineRule="auto"/>
        <w:tabs>
          <w:tab w:leader="none" w:pos="16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performance-based restricted stock unit represents the right to receive, following vesting, a percentage of one share of common stock based upon the achievement of pre-established performance goals related to NAND delivery and solutions over a 3-year period beginning September 2, 2022 and ending August 28, 2025 (subject to a 200% aggregate limit on the total target shares that may be received under the performance-based restricted stock units awarded on October 13, 2022), and certification of such performance by the Compensation Committee.</w:t>
      </w:r>
    </w:p>
    <w:p>
      <w:pPr>
        <w:spacing w:after="0" w:line="2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40" w:hanging="2"/>
        <w:spacing w:after="0" w:line="234" w:lineRule="auto"/>
        <w:tabs>
          <w:tab w:leader="none" w:pos="16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performance-based restricted stock unit represents the right to receive, following vesting, a percentage of one share of common stock based upon the achievement of pre-established performance goals related to DRAM revenue over a 3-year period beginning September 2, 2022 and ending August 28, 2025 (subject to a 200% aggregate limit on the total target shares that may be received under the performance-based restricted stock units awarded on October 13, 2022), and certification of such performance by the Compensation Committee.</w:t>
      </w:r>
    </w:p>
    <w:p>
      <w:pPr>
        <w:spacing w:after="0" w:line="2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vested or will vest in equal installments on October 16, 2021, 2022, 2023, and 2024.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Mai Lan Bui, Attorney-in-fact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10/17/2022</w:t>
            </w:r>
          </w:p>
        </w:tc>
      </w:tr>
      <w:tr>
        <w:trPr>
          <w:trHeight w:val="20"/>
        </w:trPr>
        <w:tc>
          <w:tcPr>
            <w:tcW w:w="19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both"/>
        <w:ind w:left="40" w:right="3820" w:hanging="2"/>
        <w:spacing w:after="0" w:line="355" w:lineRule="auto"/>
        <w:tabs>
          <w:tab w:leader="none" w:pos="172" w:val="left"/>
        </w:tabs>
        <w:numPr>
          <w:ilvl w:val="0"/>
          <w:numId w:val="3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4" w:right="359" w:bottom="3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02257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2022-10-17T16:04:12Z</dcterms:created>
  <dcterms:modified xsi:type="dcterms:W3CDTF">2022-10-17T16:04:12Z</dcterms:modified>
</cp:coreProperties>
</file>