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45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566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52"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04/15/2024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5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5"/>
              </w:rPr>
              <w:t>9,508</w:t>
            </w:r>
            <w:r>
              <w:rPr>
                <w:rFonts w:ascii="Times New Roman" w:cs="Times New Roman" w:eastAsia="Times New Roman" w:hAnsi="Times New Roman"/>
                <w:sz w:val="21"/>
                <w:szCs w:val="21"/>
                <w:color w:val="008000"/>
                <w:w w:val="9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122.52</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(2)</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9"/>
              </w:rPr>
              <w:t>1,568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119.31</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724,481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9"/>
              </w:rPr>
              <w:t>2,754</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120.75</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721,727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9"/>
              </w:rPr>
              <w:t>2,678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121.47</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04/16/2024</w:t>
            </w:r>
          </w:p>
        </w:tc>
        <w:tc>
          <w:tcPr>
            <w:tcW w:w="1100" w:type="dxa"/>
            <w:vAlign w:val="bottom"/>
          </w:tcPr>
          <w:p>
            <w:pPr>
              <w:spacing w:after="0"/>
              <w:rPr>
                <w:sz w:val="16"/>
                <w:szCs w:val="16"/>
                <w:color w:val="auto"/>
              </w:rPr>
            </w:pPr>
          </w:p>
        </w:tc>
        <w:tc>
          <w:tcPr>
            <w:tcW w:w="4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9"/>
              </w:rPr>
              <w:t>120,284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common stock shares to satisfy tax withholding obligations in connection with the vesting of previously granted awards.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$118.86 to $119.67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$120.09 to $121.08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$121.28 to $122.05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04/17/2024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2024-04-17T18:12:43Z</dcterms:created>
  <dcterms:modified xsi:type="dcterms:W3CDTF">2024-04-17T18:12:43Z</dcterms:modified>
</cp:coreProperties>
</file>