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67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67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ind w:right="-679"/>
        <w:spacing w:after="0"/>
        <w:rPr>
          <w:sz w:val="20"/>
          <w:szCs w:val="20"/>
          <w:color w:val="auto"/>
        </w:rPr>
      </w:pPr>
      <w:r>
        <w:rPr>
          <w:rFonts w:ascii="Arial" w:cs="Arial" w:eastAsia="Arial" w:hAnsi="Arial"/>
          <w:sz w:val="29"/>
          <w:szCs w:val="29"/>
          <w:b w:val="1"/>
          <w:bCs w:val="1"/>
          <w:color w:val="auto"/>
        </w:rPr>
        <w:t>FORM SD</w:t>
      </w:r>
    </w:p>
    <w:p>
      <w:pPr>
        <w:spacing w:after="0" w:line="280"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320675</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3640"/>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1760" w:type="dxa"/>
        <w:tblCellMar>
          <w:top w:w="0" w:type="dxa"/>
          <w:left w:w="0" w:type="dxa"/>
          <w:bottom w:w="0" w:type="dxa"/>
          <w:right w:w="0" w:type="dxa"/>
        </w:tblCellMar>
      </w:tblPr>
      <w:tr>
        <w:trPr>
          <w:trHeight w:val="235"/>
        </w:trPr>
        <w:tc>
          <w:tcPr>
            <w:tcW w:w="4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Delaware</w:t>
            </w:r>
          </w:p>
        </w:tc>
        <w:tc>
          <w:tcPr>
            <w:tcW w:w="3020" w:type="dxa"/>
            <w:vAlign w:val="bottom"/>
          </w:tcPr>
          <w:p>
            <w:pPr>
              <w:jc w:val="right"/>
              <w:ind w:right="1090"/>
              <w:spacing w:after="0"/>
              <w:rPr>
                <w:sz w:val="20"/>
                <w:szCs w:val="20"/>
                <w:color w:val="auto"/>
              </w:rPr>
            </w:pPr>
            <w:r>
              <w:rPr>
                <w:rFonts w:ascii="Arial" w:cs="Arial" w:eastAsia="Arial" w:hAnsi="Arial"/>
                <w:sz w:val="18"/>
                <w:szCs w:val="18"/>
                <w:b w:val="1"/>
                <w:bCs w:val="1"/>
                <w:color w:val="auto"/>
              </w:rPr>
              <w:t>1-10658</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160" w:type="dxa"/>
            <w:vAlign w:val="bottom"/>
          </w:tcPr>
          <w:p>
            <w:pPr>
              <w:spacing w:after="0"/>
              <w:rPr>
                <w:sz w:val="20"/>
                <w:szCs w:val="20"/>
                <w:color w:val="auto"/>
              </w:rPr>
            </w:pPr>
          </w:p>
        </w:tc>
        <w:tc>
          <w:tcPr>
            <w:tcW w:w="3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(Commission File Number)</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1470660</wp:posOffset>
            </wp:positionH>
            <wp:positionV relativeFrom="paragraph">
              <wp:posOffset>6985</wp:posOffset>
            </wp:positionV>
            <wp:extent cx="420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Mark Murphy</w:t>
      </w:r>
    </w:p>
    <w:p>
      <w:pPr>
        <w:jc w:val="center"/>
        <w:ind w:right="-679"/>
        <w:spacing w:after="0" w:line="203" w:lineRule="auto"/>
        <w:rPr>
          <w:sz w:val="20"/>
          <w:szCs w:val="20"/>
          <w:color w:val="auto"/>
        </w:rPr>
      </w:pPr>
      <w:r>
        <w:rPr>
          <w:rFonts w:ascii="Arial" w:cs="Arial" w:eastAsia="Arial" w:hAnsi="Arial"/>
          <w:sz w:val="18"/>
          <w:szCs w:val="18"/>
          <w:b w:val="1"/>
          <w:bCs w:val="1"/>
          <w:color w:val="auto"/>
        </w:rPr>
        <w:t>Executive Vice President and Chief Financial Officer</w:t>
      </w:r>
    </w:p>
    <w:p>
      <w:pPr>
        <w:jc w:val="center"/>
        <w:ind w:right="-679"/>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1565275</wp:posOffset>
            </wp:positionH>
            <wp:positionV relativeFrom="paragraph">
              <wp:posOffset>6350</wp:posOffset>
            </wp:positionV>
            <wp:extent cx="4011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jc w:val="center"/>
        <w:ind w:right="-679"/>
        <w:spacing w:after="0"/>
        <w:rPr>
          <w:sz w:val="20"/>
          <w:szCs w:val="20"/>
          <w:color w:val="auto"/>
        </w:rPr>
      </w:pPr>
      <w:r>
        <w:rPr>
          <w:rFonts w:ascii="Arial" w:cs="Arial" w:eastAsia="Arial" w:hAnsi="Arial"/>
          <w:sz w:val="18"/>
          <w:szCs w:val="18"/>
          <w:color w:val="auto"/>
        </w:rPr>
        <w:t>(Name and telephone number, including area code, of the person to contact in</w:t>
      </w:r>
    </w:p>
    <w:p>
      <w:pPr>
        <w:jc w:val="center"/>
        <w:ind w:right="-679"/>
        <w:spacing w:after="0"/>
        <w:rPr>
          <w:sz w:val="20"/>
          <w:szCs w:val="20"/>
          <w:color w:val="auto"/>
        </w:rPr>
      </w:pPr>
      <w:r>
        <w:rPr>
          <w:rFonts w:ascii="Arial" w:cs="Arial" w:eastAsia="Arial" w:hAnsi="Arial"/>
          <w:sz w:val="18"/>
          <w:szCs w:val="18"/>
          <w:color w:val="auto"/>
        </w:rPr>
        <w:t>connection with this report.)</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indicate the rule pursuant to which this form is being filed:</w:t>
      </w:r>
    </w:p>
    <w:p>
      <w:pPr>
        <w:spacing w:after="0" w:line="25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2023.</w:t>
      </w:r>
    </w:p>
    <w:p>
      <w:pPr>
        <w:spacing w:after="0" w:line="264"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13q-1 under the Securities Exchange Act (17 CFR 240.13q-1) for the fiscal year ended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 w:name="page2"/>
    <w:bookmarkEnd w:id="1"/>
    <w:p>
      <w:pPr>
        <w:ind w:left="3600"/>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2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Conflict Minerals Disclosure and Report.</w:t>
      </w:r>
    </w:p>
    <w:p>
      <w:pPr>
        <w:spacing w:after="0" w:line="3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Rule 13p-1 under the Securities Exchange Act of 1934, as amended (the “Rule”), we conducted a reasonable country of origin inquiry (“RCOI”) to assess whether conflict minerals necessary to the functionality or production of products we manufactured or contracted to manufacture in calendar year 2023 originated in the Democratic Republic of the Congo or an adjoining country (collectively, the “Covered Countries”) or were from recycled or scrap sources. The Rule defines conflict minerals as cassiterite, columbite-tantalite, gold, wolframite, and their derivatives (tin, tantalum, and tungsten).</w:t>
      </w:r>
    </w:p>
    <w:p>
      <w:pPr>
        <w:spacing w:after="0" w:line="20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Based on the results of our RCOI, we have reason to believe that certain conflict minerals contained in our 2023 products may have originated in the Covered Countries and may not have been from recycled or scrap sources. We therefore conducted due diligence on the source and chain of custody of these minerals and prepared a Conflict Minerals Report, filed as Exhibit 1.01 hereto.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56"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A copy of the Conflict Minerals Report for the calendar year ended December 31, 2023 is available on our website at micron.com/about/our-commitment/sourcing-responsibly/responsible-minerals-policy. The content of any website referred to in this Form SD is included for general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only and is not incorporated by reference in this Form SD</w:t>
      </w:r>
      <w:r>
        <w:rPr>
          <w:rFonts w:ascii="Arial" w:cs="Arial" w:eastAsia="Arial" w:hAnsi="Arial"/>
          <w:sz w:val="21"/>
          <w:szCs w:val="21"/>
          <w:color w:val="008080"/>
        </w:rPr>
        <w:t>.</w:t>
      </w:r>
    </w:p>
    <w:p>
      <w:pPr>
        <w:spacing w:after="0" w:line="3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8"/>
          <w:szCs w:val="18"/>
          <w:b w:val="1"/>
          <w:bCs w:val="1"/>
          <w:color w:val="auto"/>
        </w:rPr>
        <w:t>Exhibit.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for the calendar year ended December 31, 2023 is filed as Exhibit 1.01 hereto.</w:t>
      </w:r>
    </w:p>
    <w:p>
      <w:pPr>
        <w:spacing w:after="0" w:line="229"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Section 2 - Resource Extraction Issuer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Section 3 - Exhibits</w:t>
      </w:r>
    </w:p>
    <w:p>
      <w:pPr>
        <w:spacing w:after="0" w:line="21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8"/>
          <w:szCs w:val="18"/>
          <w:b w:val="1"/>
          <w:bCs w:val="1"/>
          <w:color w:val="auto"/>
        </w:rPr>
        <w:t>Exhibits.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Form SD.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FF"/>
        </w:rPr>
        <w:t>Conflict Minerals Report</w:t>
      </w:r>
      <w:r>
        <w:rPr>
          <w:rFonts w:ascii="Arial" w:cs="Arial" w:eastAsia="Arial" w:hAnsi="Arial"/>
          <w:sz w:val="18"/>
          <w:szCs w:val="18"/>
          <w:color w:val="auto"/>
        </w:rPr>
        <w:t xml:space="preserve"> as required by Items 1.01 and 1.02 of this Form SD.</w:t>
      </w:r>
    </w:p>
    <w:p>
      <w:pPr>
        <w:sectPr>
          <w:pgSz w:w="11900" w:h="16838" w:orient="portrait"/>
          <w:cols w:equalWidth="0" w:num="1">
            <w:col w:w="11180"/>
          </w:cols>
          <w:pgMar w:left="320" w:top="1421"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2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820" w:type="dxa"/>
            <w:vAlign w:val="bottom"/>
          </w:tcPr>
          <w:p>
            <w:pPr>
              <w:spacing w:after="0"/>
              <w:rPr>
                <w:sz w:val="21"/>
                <w:szCs w:val="21"/>
                <w:color w:val="auto"/>
              </w:rPr>
            </w:pPr>
          </w:p>
        </w:tc>
        <w:tc>
          <w:tcPr>
            <w:tcW w:w="7400" w:type="dxa"/>
            <w:vAlign w:val="bottom"/>
            <w:gridSpan w:val="2"/>
          </w:tcPr>
          <w:p>
            <w:pPr>
              <w:ind w:left="194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820" w:type="dxa"/>
            <w:vAlign w:val="bottom"/>
          </w:tcPr>
          <w:p>
            <w:pPr>
              <w:spacing w:after="0"/>
              <w:rPr>
                <w:sz w:val="20"/>
                <w:szCs w:val="20"/>
                <w:color w:val="auto"/>
              </w:rPr>
            </w:pPr>
            <w:r>
              <w:rPr>
                <w:rFonts w:ascii="Arial" w:cs="Arial" w:eastAsia="Arial" w:hAnsi="Arial"/>
                <w:sz w:val="18"/>
                <w:szCs w:val="18"/>
                <w:color w:val="auto"/>
                <w:w w:val="98"/>
              </w:rPr>
              <w:t>Date:May 28, 2024</w:t>
            </w:r>
          </w:p>
        </w:tc>
        <w:tc>
          <w:tcPr>
            <w:tcW w:w="2900" w:type="dxa"/>
            <w:vAlign w:val="bottom"/>
          </w:tcPr>
          <w:p>
            <w:pPr>
              <w:ind w:left="194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820" w:type="dxa"/>
            <w:vAlign w:val="bottom"/>
          </w:tcPr>
          <w:p>
            <w:pPr>
              <w:spacing w:after="0"/>
              <w:rPr>
                <w:sz w:val="18"/>
                <w:szCs w:val="18"/>
                <w:color w:val="auto"/>
              </w:rPr>
            </w:pPr>
          </w:p>
        </w:tc>
        <w:tc>
          <w:tcPr>
            <w:tcW w:w="2900" w:type="dxa"/>
            <w:vAlign w:val="bottom"/>
          </w:tcPr>
          <w:p>
            <w:pPr>
              <w:ind w:left="1940"/>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Mark Murphy</w:t>
            </w:r>
          </w:p>
        </w:tc>
      </w:tr>
      <w:tr>
        <w:trPr>
          <w:trHeight w:val="239"/>
        </w:trPr>
        <w:tc>
          <w:tcPr>
            <w:tcW w:w="3820" w:type="dxa"/>
            <w:vAlign w:val="bottom"/>
          </w:tcPr>
          <w:p>
            <w:pPr>
              <w:spacing w:after="0"/>
              <w:rPr>
                <w:sz w:val="20"/>
                <w:szCs w:val="20"/>
                <w:color w:val="auto"/>
              </w:rPr>
            </w:pPr>
          </w:p>
        </w:tc>
        <w:tc>
          <w:tcPr>
            <w:tcW w:w="2900" w:type="dxa"/>
            <w:vAlign w:val="bottom"/>
          </w:tcPr>
          <w:p>
            <w:pPr>
              <w:ind w:left="1940"/>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color w:val="auto"/>
        </w:rPr>
        <w:t>Conflict Minerals Report</w:t>
      </w:r>
    </w:p>
    <w:p>
      <w:pPr>
        <w:spacing w:after="0" w:line="21" w:lineRule="exact"/>
        <w:rPr>
          <w:sz w:val="20"/>
          <w:szCs w:val="20"/>
          <w:color w:val="auto"/>
        </w:rPr>
      </w:pPr>
    </w:p>
    <w:p>
      <w:pPr>
        <w:spacing w:after="0"/>
        <w:rPr>
          <w:sz w:val="20"/>
          <w:szCs w:val="20"/>
          <w:color w:val="auto"/>
        </w:rPr>
      </w:pPr>
      <w:r>
        <w:rPr>
          <w:rFonts w:ascii="Arial" w:cs="Arial" w:eastAsia="Arial" w:hAnsi="Arial"/>
          <w:sz w:val="25"/>
          <w:szCs w:val="25"/>
          <w:color w:val="auto"/>
        </w:rPr>
        <w:t>Calendar Year 2023</w:t>
      </w:r>
    </w:p>
    <w:p>
      <w:pPr>
        <w:spacing w:after="0" w:line="23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We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prepared this Conflict Minerals Report (</w:t>
      </w:r>
      <w:r>
        <w:rPr>
          <w:rFonts w:ascii="Arial" w:cs="Arial" w:eastAsia="Arial" w:hAnsi="Arial"/>
          <w:sz w:val="18"/>
          <w:szCs w:val="18"/>
          <w:b w:val="1"/>
          <w:bCs w:val="1"/>
          <w:color w:val="auto"/>
        </w:rPr>
        <w:t>“CMR”</w:t>
      </w:r>
      <w:r>
        <w:rPr>
          <w:rFonts w:ascii="Arial" w:cs="Arial" w:eastAsia="Arial" w:hAnsi="Arial"/>
          <w:sz w:val="18"/>
          <w:szCs w:val="18"/>
          <w:color w:val="auto"/>
        </w:rPr>
        <w:t xml:space="preserve">) pursuant to Rule 13p-1 under the Securities Exchange Act of 1934, as amended (the </w:t>
      </w:r>
      <w:r>
        <w:rPr>
          <w:rFonts w:ascii="Arial" w:cs="Arial" w:eastAsia="Arial" w:hAnsi="Arial"/>
          <w:sz w:val="18"/>
          <w:szCs w:val="18"/>
          <w:b w:val="1"/>
          <w:bCs w:val="1"/>
          <w:color w:val="auto"/>
        </w:rPr>
        <w:t>“Rule”</w:t>
      </w:r>
      <w:r>
        <w:rPr>
          <w:rFonts w:ascii="Arial" w:cs="Arial" w:eastAsia="Arial" w:hAnsi="Arial"/>
          <w:sz w:val="18"/>
          <w:szCs w:val="18"/>
          <w:color w:val="auto"/>
        </w:rPr>
        <w:t>). This CMR covers the calendar year reporting period ended December 31, 2023</w:t>
      </w:r>
      <w:r>
        <w:rPr>
          <w:rFonts w:ascii="Arial" w:cs="Arial" w:eastAsia="Arial" w:hAnsi="Arial"/>
          <w:sz w:val="23"/>
          <w:szCs w:val="23"/>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and is filed as an exhibit to our Form SD. This</w:t>
      </w:r>
      <w:r>
        <w:rPr>
          <w:rFonts w:ascii="Arial" w:cs="Arial" w:eastAsia="Arial" w:hAnsi="Arial"/>
          <w:sz w:val="18"/>
          <w:szCs w:val="18"/>
          <w:b w:val="1"/>
          <w:bCs w:val="1"/>
          <w:color w:val="auto"/>
        </w:rPr>
        <w:t xml:space="preserve"> </w:t>
      </w:r>
      <w:r>
        <w:rPr>
          <w:rFonts w:ascii="Arial" w:cs="Arial" w:eastAsia="Arial" w:hAnsi="Arial"/>
          <w:sz w:val="18"/>
          <w:szCs w:val="18"/>
          <w:color w:val="auto"/>
        </w:rPr>
        <w:t>CMR includes a description of the measures we have taken to exercise due diligence on the source and chain of custody of conflict minerals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(specifically gold, cassiterite, columbite-tantalite and wolframite and their derivatives tin, tantalum, and tungsten (collectively </w:t>
      </w:r>
      <w:r>
        <w:rPr>
          <w:rFonts w:ascii="Arial" w:cs="Arial" w:eastAsia="Arial" w:hAnsi="Arial"/>
          <w:sz w:val="18"/>
          <w:szCs w:val="18"/>
          <w:b w:val="1"/>
          <w:bCs w:val="1"/>
          <w:color w:val="auto"/>
        </w:rPr>
        <w:t>“3TG”</w:t>
      </w:r>
      <w:r>
        <w:rPr>
          <w:rFonts w:ascii="Arial" w:cs="Arial" w:eastAsia="Arial" w:hAnsi="Arial"/>
          <w:sz w:val="18"/>
          <w:szCs w:val="18"/>
          <w:color w:val="auto"/>
        </w:rPr>
        <w:t xml:space="preserve"> or </w:t>
      </w:r>
      <w:r>
        <w:rPr>
          <w:rFonts w:ascii="Arial" w:cs="Arial" w:eastAsia="Arial" w:hAnsi="Arial"/>
          <w:sz w:val="18"/>
          <w:szCs w:val="18"/>
          <w:b w:val="1"/>
          <w:bCs w:val="1"/>
          <w:color w:val="auto"/>
        </w:rPr>
        <w:t>“conflict minerals”</w:t>
      </w:r>
      <w:r>
        <w:rPr>
          <w:rFonts w:ascii="Arial" w:cs="Arial" w:eastAsia="Arial" w:hAnsi="Arial"/>
          <w:sz w:val="18"/>
          <w:szCs w:val="18"/>
          <w:color w:val="auto"/>
        </w:rPr>
        <w:t>)) necessary to the functionality or production of our memory and storage products manufactured during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2023.</w:t>
      </w: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 of Our Commitment to Responsible Sourcing:</w:t>
      </w:r>
    </w:p>
    <w:p>
      <w:pPr>
        <w:spacing w:after="0" w:line="2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support of global responsible sourcing, we are committed to monitoring our supply chain with a goal to ensure that conflict minerals directly or indirectly supporting civil violence or human rights abuses in the Democratic Republic of the Congo (</w:t>
      </w:r>
      <w:r>
        <w:rPr>
          <w:rFonts w:ascii="Arial" w:cs="Arial" w:eastAsia="Arial" w:hAnsi="Arial"/>
          <w:sz w:val="18"/>
          <w:szCs w:val="18"/>
          <w:b w:val="1"/>
          <w:bCs w:val="1"/>
          <w:color w:val="auto"/>
        </w:rPr>
        <w:t>“DRC”</w:t>
      </w:r>
      <w:r>
        <w:rPr>
          <w:rFonts w:ascii="Arial" w:cs="Arial" w:eastAsia="Arial" w:hAnsi="Arial"/>
          <w:sz w:val="18"/>
          <w:szCs w:val="18"/>
          <w:color w:val="auto"/>
        </w:rPr>
        <w:t>) or adjoining countries (collectively, the “</w:t>
      </w:r>
      <w:r>
        <w:rPr>
          <w:rFonts w:ascii="Arial" w:cs="Arial" w:eastAsia="Arial" w:hAnsi="Arial"/>
          <w:sz w:val="18"/>
          <w:szCs w:val="18"/>
          <w:b w:val="1"/>
          <w:bCs w:val="1"/>
          <w:color w:val="auto"/>
        </w:rPr>
        <w:t>Covered Countries</w:t>
      </w:r>
      <w:r>
        <w:rPr>
          <w:rFonts w:ascii="Arial" w:cs="Arial" w:eastAsia="Arial" w:hAnsi="Arial"/>
          <w:sz w:val="18"/>
          <w:szCs w:val="18"/>
          <w:color w:val="auto"/>
        </w:rPr>
        <w:t>”) are not used in the manufacture of Micron products. We also believe that responsible sourcing means continuing to support stable economic development in the Covered Countries (rather than a Covered Country embargo), and accordingly we do not prohibit our suppliers from using 3TG metals sourced from the Covered Countries. Our conflict mineral supply chain monitoring program is consistent with the Organisation for Economic Co-operation and Development Due Diligence Guidance for Responsible Supply Chains of Minerals from Conflict-Affected and High-Risk Areas (Third Edition) (the “</w:t>
      </w:r>
      <w:r>
        <w:rPr>
          <w:rFonts w:ascii="Arial" w:cs="Arial" w:eastAsia="Arial" w:hAnsi="Arial"/>
          <w:sz w:val="18"/>
          <w:szCs w:val="18"/>
          <w:b w:val="1"/>
          <w:bCs w:val="1"/>
          <w:color w:val="auto"/>
        </w:rPr>
        <w:t>OECD Guidance</w:t>
      </w:r>
      <w:r>
        <w:rPr>
          <w:rFonts w:ascii="Arial" w:cs="Arial" w:eastAsia="Arial" w:hAnsi="Arial"/>
          <w:sz w:val="18"/>
          <w:szCs w:val="18"/>
          <w:color w:val="auto"/>
        </w:rPr>
        <w:t>”) and integrates tools developed by the Responsible Minerals Initiative (</w:t>
      </w:r>
      <w:r>
        <w:rPr>
          <w:rFonts w:ascii="Arial" w:cs="Arial" w:eastAsia="Arial" w:hAnsi="Arial"/>
          <w:sz w:val="18"/>
          <w:szCs w:val="18"/>
          <w:b w:val="1"/>
          <w:bCs w:val="1"/>
          <w:color w:val="auto"/>
        </w:rPr>
        <w:t>“RMI”</w:t>
      </w:r>
      <w:r>
        <w:rPr>
          <w:rFonts w:ascii="Arial" w:cs="Arial" w:eastAsia="Arial" w:hAnsi="Arial"/>
          <w:sz w:val="18"/>
          <w:szCs w:val="18"/>
          <w:color w:val="auto"/>
        </w:rPr>
        <w:t>).</w:t>
      </w:r>
    </w:p>
    <w:p>
      <w:pPr>
        <w:spacing w:after="0" w:line="19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Micron is a founding member of RMI (member ID MICR). We continue to support RMI and its Responsible Minerals</w:t>
      </w:r>
      <w:r>
        <w:rPr>
          <w:rFonts w:ascii="Arial" w:cs="Arial" w:eastAsia="Arial" w:hAnsi="Arial"/>
          <w:sz w:val="22"/>
          <w:szCs w:val="22"/>
          <w:color w:val="auto"/>
          <w:vertAlign w:val="superscript"/>
        </w:rPr>
        <w:t>4</w:t>
      </w:r>
      <w:r>
        <w:rPr>
          <w:rFonts w:ascii="Arial" w:cs="Arial" w:eastAsia="Arial" w:hAnsi="Arial"/>
          <w:sz w:val="17"/>
          <w:szCs w:val="17"/>
          <w:color w:val="auto"/>
        </w:rPr>
        <w:t xml:space="preserve"> third-party auditing program, the Responsible Minerals Assurance Process (</w:t>
      </w:r>
      <w:r>
        <w:rPr>
          <w:rFonts w:ascii="Arial" w:cs="Arial" w:eastAsia="Arial" w:hAnsi="Arial"/>
          <w:sz w:val="17"/>
          <w:szCs w:val="17"/>
          <w:b w:val="1"/>
          <w:bCs w:val="1"/>
          <w:color w:val="auto"/>
        </w:rPr>
        <w:t>“RMAP”</w:t>
      </w:r>
      <w:r>
        <w:rPr>
          <w:rFonts w:ascii="Arial" w:cs="Arial" w:eastAsia="Arial" w:hAnsi="Arial"/>
          <w:sz w:val="17"/>
          <w:szCs w:val="17"/>
          <w:color w:val="auto"/>
        </w:rPr>
        <w:t>), as part of our commitment to drive ethical sourcing of 3TG metals throughout our supply chain. In 2023, we continued working with RMI and provided leadership through multiple RMI leadership working groups, including the Smelter Engagement, Multi-Stakeholder, Gold, Cobalt Task Force, Due Diligence Practices, Minerals Reporting Template, and RMI Plenary Working Groups. The RMI Plenary Working Group is tasked with defining future directions, protocol, procedures, issue resolutions, recognition of other reporting organizations, training, oversight, and smelter and refiner engagements. To learn more about RMI’s initiatives to help companies achieve a responsible minerals supply chain and the RMAP visit responsiblemineralsinitiative.org.</w:t>
      </w:r>
    </w:p>
    <w:p>
      <w:pPr>
        <w:spacing w:after="0" w:line="20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Micron’s Responsible Minerals Policy is published at micron.com/about/our-commitment/sourcing-responsibly/responsible-minerals-policy. To learn more about our responsible minerals supplier requirements, see our Micron Supplier Requirements Standard (</w:t>
      </w:r>
      <w:r>
        <w:rPr>
          <w:rFonts w:ascii="Arial" w:cs="Arial" w:eastAsia="Arial" w:hAnsi="Arial"/>
          <w:sz w:val="18"/>
          <w:szCs w:val="18"/>
          <w:b w:val="1"/>
          <w:bCs w:val="1"/>
          <w:color w:val="auto"/>
        </w:rPr>
        <w:t>“SRS”</w:t>
      </w:r>
      <w:r>
        <w:rPr>
          <w:rFonts w:ascii="Arial" w:cs="Arial" w:eastAsia="Arial" w:hAnsi="Arial"/>
          <w:sz w:val="18"/>
          <w:szCs w:val="18"/>
          <w:color w:val="auto"/>
        </w:rPr>
        <w:t>) at micron.com/about/our-commitment/sourcing-responsibly/suppliers. The content of any website referred to in this Report is included for general information only and is not incorporated by reference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60" w:hanging="652"/>
        <w:spacing w:after="0" w:line="218" w:lineRule="auto"/>
        <w:tabs>
          <w:tab w:leader="none" w:pos="277"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In this CMR, unless otherwise indicated or the context otherwise requires, “we,” “us,” “our,” “Micron,” and the “Company” refers to Micron Technology, Inc. and its subsidiaries.</w:t>
      </w:r>
    </w:p>
    <w:p>
      <w:pPr>
        <w:ind w:left="280" w:hanging="272"/>
        <w:spacing w:after="0" w:line="196" w:lineRule="auto"/>
        <w:tabs>
          <w:tab w:leader="none" w:pos="280"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color w:val="auto"/>
        </w:rPr>
        <w:t>Unless otherwise noted, any designation of years refers to calendar years.</w:t>
      </w:r>
    </w:p>
    <w:p>
      <w:pPr>
        <w:ind w:left="280" w:hanging="272"/>
        <w:spacing w:after="0" w:line="196" w:lineRule="auto"/>
        <w:tabs>
          <w:tab w:leader="none" w:pos="280" w:val="left"/>
        </w:tabs>
        <w:numPr>
          <w:ilvl w:val="0"/>
          <w:numId w:val="5"/>
        </w:numPr>
        <w:rPr>
          <w:rFonts w:ascii="Arial" w:cs="Arial" w:eastAsia="Arial" w:hAnsi="Arial"/>
          <w:sz w:val="23"/>
          <w:szCs w:val="23"/>
          <w:color w:val="auto"/>
          <w:vertAlign w:val="superscript"/>
        </w:rPr>
      </w:pPr>
      <w:r>
        <w:rPr>
          <w:rFonts w:ascii="Arial" w:cs="Arial" w:eastAsia="Arial" w:hAnsi="Arial"/>
          <w:sz w:val="16"/>
          <w:szCs w:val="16"/>
          <w:color w:val="auto"/>
        </w:rPr>
        <w:t>Conflict minerals are those minerals regulated by Section 1502 of the Dodd-Frank Wall Street Reform and Consumer Protection Act.</w:t>
      </w:r>
    </w:p>
    <w:p>
      <w:pPr>
        <w:spacing w:after="0" w:line="11" w:lineRule="exact"/>
        <w:rPr>
          <w:sz w:val="20"/>
          <w:szCs w:val="20"/>
          <w:color w:val="auto"/>
        </w:rPr>
      </w:pPr>
    </w:p>
    <w:p>
      <w:pPr>
        <w:ind w:left="660" w:right="40" w:hanging="652"/>
        <w:spacing w:after="0" w:line="223" w:lineRule="auto"/>
        <w:tabs>
          <w:tab w:leader="none" w:pos="277"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The term “responsible minerals” as used herein refers to a process to verify that relevant smelters or refiners are Conformant with the RMI’s RMAP or an equivalent third-party auditing program.</w:t>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40"/>
          <w:szCs w:val="40"/>
          <w:b w:val="1"/>
          <w:bCs w:val="1"/>
          <w:color w:val="auto"/>
        </w:rPr>
        <w:t>Overview of Micron’s Responsible Minerals Program:</w:t>
      </w:r>
    </w:p>
    <w:p>
      <w:pPr>
        <w:spacing w:after="0" w:line="25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require our suppliers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to source 3TG metals from smelters and refiners validated as Conformant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with responsible minerals sourcing standards (such as the RMAP or standards enacted by the London Bullion Market Association (</w:t>
      </w:r>
      <w:r>
        <w:rPr>
          <w:rFonts w:ascii="Arial" w:cs="Arial" w:eastAsia="Arial" w:hAnsi="Arial"/>
          <w:sz w:val="18"/>
          <w:szCs w:val="18"/>
          <w:b w:val="1"/>
          <w:bCs w:val="1"/>
          <w:color w:val="auto"/>
        </w:rPr>
        <w:t>“LBMA”</w:t>
      </w:r>
      <w:r>
        <w:rPr>
          <w:rFonts w:ascii="Arial" w:cs="Arial" w:eastAsia="Arial" w:hAnsi="Arial"/>
          <w:sz w:val="18"/>
          <w:szCs w:val="18"/>
          <w:color w:val="auto"/>
        </w:rPr>
        <w:t>) or the Responsible Jewellery Council (</w:t>
      </w:r>
      <w:r>
        <w:rPr>
          <w:rFonts w:ascii="Arial" w:cs="Arial" w:eastAsia="Arial" w:hAnsi="Arial"/>
          <w:sz w:val="18"/>
          <w:szCs w:val="18"/>
          <w:b w:val="1"/>
          <w:bCs w:val="1"/>
          <w:color w:val="auto"/>
        </w:rPr>
        <w:t>“RJC”</w:t>
      </w:r>
      <w:r>
        <w:rPr>
          <w:rFonts w:ascii="Arial" w:cs="Arial" w:eastAsia="Arial" w:hAnsi="Arial"/>
          <w:sz w:val="18"/>
          <w:szCs w:val="18"/>
          <w:color w:val="auto"/>
        </w:rPr>
        <w:t>)). To ensure our suppliers meet our SRS requirements for responsible minerals sourcing, we make all suppliers aware of our commitment to responsible sourcing and our expectation that all smelters and refiners in our supply chain are Conformant with responsible minerals sourcing standards; conduct ongoing due diligence on the source and chain of custody of conflict minerals in our supply chain consistent with the OECD Guidance; encourage suppliers to adopt responsible sourcing practices; and collaborate with industry stakeholders through our leadership in the RMI. To further transparency in the conflict mineral supply chain, in addition to publicly reporting the results of our due diligence efforts annually, we share our due diligence results directly with our customers.</w:t>
      </w:r>
    </w:p>
    <w:p>
      <w:pPr>
        <w:spacing w:after="0" w:line="208"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In 2023, we requested that all new suppliers take a Supplier Compliance Training, which helped increase awareness of and focus on our requirement that Micron suppliers may only use Conformant smelters and refiners. All of our applicable suppliers for 2023 provided CMRT responses in response to our requests. As a result of our supplier engagement efforts during 2023, and for the seventh consecutive year, based on the information provided by our suppliers, no supplier within our memory and storage products supply chain reported any smelters or refiners that had a Non-Conformant status with RMI as of December 31, 2023. Only one of our smelters and refiners was listed as Active</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by RMI as of December 31, 2023. As a result of our continued due diligence efforts, the supplier that identified the Active refiner confirmed in 2024 that it would no longer sell us products containing gold processed by that refiner. We also continued to implement our resolution process to quickly identify and work toward removal of smelters and refiners from our supply chain either (a) when they drop out of the RMI, LBMA, or RJC programs and thus become Non-Conformant or (b) when their Conformant status with RMI is no longer valid.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Based on the information provided by our suppliers and our due diligence efforts through December 31, 2023, we identified a total of 211 smelters and refiners we believe were in our memory and storage products supply chain at any point during the year ended December 31, 2023, none of which had a Non-Conformant status with RMI at the time they entered our supply chain. 27 smelters and refiners that were reported to be in our memory and storage products supply chain during 2023 were subsequently determined, on or prior to December 31, 2023, to be inoperative or removed on or prior to December 31, 2023. We determined that 184 smelters and refiners were in our memory and storage products supply chain as of December 31, 2023, of which 183 were validated as Conformant and one was listed as Active with RMI. As described above, as a result of our continued diligence efforts, the Active refiner was removed from our supply chain in 2024.</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Our Outreach to Suppliers and Reasonable Country of Origin Inquiry</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Our goal is to ensure that all 3TG metals in our supply chain are sourced through responsible minerals smelters and refiners. In furtherance of that goal, we collect information at least annually utilizing the RMI Conflict Minerals Reporting Template (“</w:t>
      </w:r>
      <w:r>
        <w:rPr>
          <w:rFonts w:ascii="Arial" w:cs="Arial" w:eastAsia="Arial" w:hAnsi="Arial"/>
          <w:sz w:val="18"/>
          <w:szCs w:val="18"/>
          <w:b w:val="1"/>
          <w:bCs w:val="1"/>
          <w:color w:val="auto"/>
        </w:rPr>
        <w:t>CMRT</w:t>
      </w:r>
      <w:r>
        <w:rPr>
          <w:rFonts w:ascii="Arial" w:cs="Arial" w:eastAsia="Arial" w:hAnsi="Arial"/>
          <w:sz w:val="18"/>
          <w:szCs w:val="18"/>
          <w:color w:val="auto"/>
        </w:rPr>
        <w:t>”) from applicable suppliers regarding their supply chains, including the names and locations of smelters and refiners of 3TG and whether any 3TG are sourced from Covered Countries or from conflict-affected and high-risk areas. We then ask that suppliers review and acknowledge our Responsible Minerals Policy and our SRS, which sets out our expectations that all smelters and refiners in our supply chain are, and remain, validated as Conformant.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60" w:right="240" w:hanging="652"/>
        <w:spacing w:after="0" w:line="226" w:lineRule="auto"/>
        <w:tabs>
          <w:tab w:leader="none" w:pos="277" w:val="left"/>
        </w:tabs>
        <w:numPr>
          <w:ilvl w:val="0"/>
          <w:numId w:val="7"/>
        </w:numPr>
        <w:rPr>
          <w:rFonts w:ascii="Arial" w:cs="Arial" w:eastAsia="Arial" w:hAnsi="Arial"/>
          <w:sz w:val="23"/>
          <w:szCs w:val="23"/>
          <w:color w:val="auto"/>
          <w:vertAlign w:val="superscript"/>
        </w:rPr>
      </w:pPr>
      <w:r>
        <w:rPr>
          <w:rFonts w:ascii="Arial" w:cs="Arial" w:eastAsia="Arial" w:hAnsi="Arial"/>
          <w:sz w:val="16"/>
          <w:szCs w:val="16"/>
          <w:color w:val="auto"/>
        </w:rPr>
        <w:t>The term “supplier(s)” refers to both incumbent and new suppliers and manufacturers that are likely to provide us with products containing 3TG metals that are necessary to the function or manufacture of our memory and storage products. The term “supplier(s)” does not include suppliers and manufacturers to the extent that they supply us with equipment or tools used in manufacturing our products.</w:t>
      </w:r>
    </w:p>
    <w:p>
      <w:pPr>
        <w:ind w:left="280" w:hanging="272"/>
        <w:spacing w:after="0" w:line="205" w:lineRule="auto"/>
        <w:tabs>
          <w:tab w:leader="none" w:pos="28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The term “Conformant” means that a smelter or refiner is verified as Conformant with the RMI’s RMAP or an equivalent third-party auditing program.</w:t>
      </w:r>
    </w:p>
    <w:p>
      <w:pPr>
        <w:spacing w:after="0" w:line="2" w:lineRule="exact"/>
        <w:rPr>
          <w:sz w:val="20"/>
          <w:szCs w:val="20"/>
          <w:color w:val="auto"/>
        </w:rPr>
      </w:pPr>
    </w:p>
    <w:p>
      <w:pPr>
        <w:ind w:left="660" w:right="380" w:hanging="652"/>
        <w:spacing w:after="0" w:line="220" w:lineRule="auto"/>
        <w:tabs>
          <w:tab w:leader="none" w:pos="29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term “Active,” with respect to the RMI, means that a smelter or refiner has committed to undergo an RMAP assessment, completed the relevant documents, and scheduled an on-site assessment.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91" w:right="339" w:bottom="1440" w:gutter="0" w:footer="0" w:header="0"/>
        </w:sectPr>
      </w:pPr>
    </w:p>
    <w:bookmarkStart w:id="5" w:name="page6"/>
    <w:bookmarkEnd w:id="5"/>
    <w:p>
      <w:pPr>
        <w:ind w:right="520"/>
        <w:spacing w:after="0" w:line="253" w:lineRule="auto"/>
        <w:rPr>
          <w:sz w:val="20"/>
          <w:szCs w:val="20"/>
          <w:color w:val="auto"/>
        </w:rPr>
      </w:pPr>
      <w:r>
        <w:rPr>
          <w:rFonts w:ascii="Arial" w:cs="Arial" w:eastAsia="Arial" w:hAnsi="Arial"/>
          <w:sz w:val="18"/>
          <w:szCs w:val="18"/>
          <w:color w:val="auto"/>
        </w:rPr>
        <w:t>In addition, we required that new suppliers in our memory and storage products supply chain participate in our Supplier Lifecycle Performance Management process as they were added to our memory and storage products supply chain throughout the year, and we requested that they complete our formal Supplier Compliance Training program.</w:t>
      </w:r>
    </w:p>
    <w:p>
      <w:pPr>
        <w:spacing w:after="0" w:line="19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make our suppliers aware that smelters and refiners that fail to become Conformant in one or more responsible sourcing auditing programs will be targeted for removal from our memory and storage products supply chain. In addition, the terms and conditions we include with every Micron purchase order further reinforce our responsible sourcing expectations and requirements with direct reference to our SRS.</w:t>
      </w:r>
    </w:p>
    <w:p>
      <w:pPr>
        <w:spacing w:after="0" w:line="2"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Throughout 2023, we worked with our suppliers to help raise awareness of our expectations, provide ongoing education concerning our requirements, and provide training through our risk mitigation and escalation process.</w:t>
      </w:r>
    </w:p>
    <w:p>
      <w:pPr>
        <w:spacing w:after="0" w:line="22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outreach to suppliers, which included our reasonable country of origin inquiry, did not provide us with complete information on the origin of 3TG from smelters and refiners reported to be in our memory and storage products supply chain in 2023. We had reason to believe, however, that at least some sourcing was from the DRC and adjoining countries. Accordingly, we conducted due diligence on the chain and custody of 3TG and prepared this Conflict Minerals Report.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Our Conflict Minerals Due Diligence Program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 Our Conflict Minerals Due Diligence Program Design</w:t>
      </w:r>
    </w:p>
    <w:p>
      <w:pPr>
        <w:spacing w:after="0" w:line="23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have designed our conflict minerals due diligence program in conformance, in all material respects, with the principles of the OECD Guidance and the supplements thereto as applied to downstream companies. As a downstream purchaser of 3TG metals, our due diligence</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program can provide only reasonable, not absolute, assurance regarding the source and chain of custody of the 3TG metals necessary to the functionality or production of our products. Our due diligence processes are based on the necessity of seeking data from our direct suppliers and those suppliers seeking similar information within their supply chains to identify the original sources of the 3TG metals contained in our memory and storage products. We also rely, to a large extent, on information collected and provided by RMI and other third-party auditing programs. Such sources of information may yield inaccurate, incomplete, or over-inclusive information and may be subject to fraud.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Our Conflict Minerals Due Diligence for 2023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2.2.1 Our Management Systems</w:t>
      </w:r>
    </w:p>
    <w:p>
      <w:pPr>
        <w:spacing w:after="0" w:line="2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year ended December 31, 2023, management of our responsible minerals program was provided by a cross-functional Responsible Minerals Steering Team, with representatives from Micron’s Procurement, Supply Chain, Finance, Sales, Sustainability, and Legal departments, headed by a senior Procurement compliance manager. The Steering Team met at least monthly during the year ended December 31, 2023 to review progress towards maintaining our goal of a responsibly-sourced supply chain. Oversight of the Responsible Minerals Steering Team was provided by a cross-functional Responsible Minerals Executive Team comprised of Vice President-level executives, and the Responsible Minerals Executive Team is charged with sponsoring and reviewing our responsible minerals program. The Steering Team reported to the Executive Team on a periodic basis during the year ended December 31, 2023. In addition, our Global Supply Chain Compliance Council, which includes a subset of our Responsible Minerals Executive Team, is charged with direct oversight of our responsible sourcing program. During the year ended December 31, 2023, the Steering Team reported regularly to the Global Supply Chain Compliance Council to review our progress towards our goal of achieving a responsibly-sourced supply chain.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Micron’s Responsible Minerals Policy is published at micron.com/about/our-commitment/sourcing-responsibly/responsible-minerals-policy.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79" w:right="339" w:bottom="1440" w:gutter="0" w:footer="0" w:header="0"/>
        </w:sectPr>
      </w:pPr>
    </w:p>
    <w:bookmarkStart w:id="6" w:name="page7"/>
    <w:bookmarkEnd w:id="6"/>
    <w:p>
      <w:pPr>
        <w:ind w:right="140"/>
        <w:spacing w:after="0" w:line="262" w:lineRule="auto"/>
        <w:rPr>
          <w:sz w:val="20"/>
          <w:szCs w:val="20"/>
          <w:color w:val="auto"/>
        </w:rPr>
      </w:pPr>
      <w:r>
        <w:rPr>
          <w:rFonts w:ascii="Arial" w:cs="Arial" w:eastAsia="Arial" w:hAnsi="Arial"/>
          <w:sz w:val="18"/>
          <w:szCs w:val="18"/>
          <w:color w:val="auto"/>
        </w:rPr>
        <w:t>We also continued to incorporate our responsible minerals supplier requirements (i.e., that suppliers must report 100% of their supply chain and only source from Conformant smelters and refiners) into the terms and conditions of our purchase orders and supplier agreements, and maintained internal and third-party access to our ethics and compliance helpline, which can be used to report issues relating to conflict minerals. Our program included a ten-year record retention policy for our responsible minerals documents.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2.2.2 Our Risk Assessment</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due diligence, as described in this CMR, to try to determine the source and chain of custody of the necessary 3TG metals contained in these memory and storage products. Our management assessment process led us to believe that at least some sourcing is from the DRC and adjoining countries. We were unable to determine the country of origin of some of the necessary 3TG metals contained in memory and storage products we manufactured and sold during the year ended December 31, 2023 and/or whether some of the memory and storage products we manufactured and sold during the year ended December 31, 2023 contained 3TG metals that may have directly or indirectly financed or benefited armed groups in the DRC or an adjoining country.</w:t>
      </w:r>
    </w:p>
    <w:p>
      <w:pPr>
        <w:spacing w:after="0" w:line="2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part of our due diligence process, we collected, screened and analyzed CMRTs from all applicable suppliers for the year ended December 31, 2023. We provided our suppliers with formal notification of Micron’s requirements to convey our expectations that they report to us, within fourteen days of any such occurrence, any changes to their supply chains that would affect their CMRT status.</w:t>
      </w:r>
    </w:p>
    <w:p>
      <w:pPr>
        <w:spacing w:after="0" w:line="198"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We reviewed all CMRT responses and updates received for the year ended December 31, 2023 and determined whether the disclosed smelters or refiners were recognized by RMI or equivalents as processors of 3TG metals, and if so, whether they had been validated as Conformant by these organizations. We reviewed supplier CMRTs for accuracy and overall adherence to our responsible minerals requirements, as delivered through our inquiry letter to suppliers, and we began our risk mitigation (and escalation processes, if necessary) set out in our responsible minerals procedures with suppliers having disclosed any smelters or refiners that were not Conformant.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Other elements of our risk assessment process are described in “Overview of Micron’s Responsible Minerals Program.”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2.2.3 Our Risk Management</w:t>
      </w:r>
    </w:p>
    <w:p>
      <w:pPr>
        <w:spacing w:after="0" w:line="23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If a supplier delivers a CMRT that includes smelters or refiners not listed as Conformant, we implement our risk mitigation procedures, beginning with direct outreach to the supplier and escalating discussions up the management structure of our respective companies. We work with these suppliers throughout the risk mitigation process to provide awareness of Micron’s goal to only source from Conformant smelters or refiners. 27 smelters and refiners that were reported to be in our memory and storage products supply chain during 2023 were subsequently determined, on or prior to December 31, 2023, to be inoperative or removed. As of December 31, 2023, one refiner in our memory and storage products supply chain was listed as Active with RMI. As described above, as a result of our continued diligence efforts, the Active refiner was removed from our supply chain in 2024.</w:t>
      </w:r>
    </w:p>
    <w:p>
      <w:pPr>
        <w:spacing w:after="0" w:line="2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members of multiple RMI working groups, including the RMI Smelter Engagement Working Group, which was tasked with identifying and influencing smelters and refiners in the supply chains of RMI members to join the RMAP and become validated as responsibly sourced. Micron also has additional RMI formal representation and leadership positions on multiple RMI working groups, including the Multi-Stakeholder, Due Diligence Practices, Minerals Reporting Template, Gold, Cobalt Task Force, and RMI Plenary Working Groups. Through our membership dues, we provide funding to DRC in-region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2.2.4 Smelter and Refiner Auditing</w:t>
      </w:r>
    </w:p>
    <w:p>
      <w:pPr>
        <w:spacing w:after="0" w:line="25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we do not source necessary 3TG metals directly from smelters or refiners, we rely on independent third-party auditing programs, such as the RMAP, LBMA, and RJC to coordinate audits of smelters and refiners in our memory and storage products supply chain.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2.2.5 Reporting</w:t>
      </w:r>
    </w:p>
    <w:p>
      <w:pPr>
        <w:spacing w:after="0" w:line="250"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We report our annual conflict minerals due diligence results in our responsible minerals program to the U.S. Securities and Exchange Commission through the Form SD and the CMR. We make the CMR available on our company website.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Our Product Descriptions</w:t>
      </w:r>
    </w:p>
    <w:p>
      <w:pPr>
        <w:spacing w:after="0" w:line="2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dynamic random access memory (“</w:t>
      </w:r>
      <w:r>
        <w:rPr>
          <w:rFonts w:ascii="Arial" w:cs="Arial" w:eastAsia="Arial" w:hAnsi="Arial"/>
          <w:sz w:val="18"/>
          <w:szCs w:val="18"/>
          <w:b w:val="1"/>
          <w:bCs w:val="1"/>
          <w:color w:val="auto"/>
        </w:rPr>
        <w:t>DRAM</w:t>
      </w:r>
      <w:r>
        <w:rPr>
          <w:rFonts w:ascii="Arial" w:cs="Arial" w:eastAsia="Arial" w:hAnsi="Arial"/>
          <w:sz w:val="18"/>
          <w:szCs w:val="18"/>
          <w:color w:val="auto"/>
        </w:rPr>
        <w:t>”), NAND, and NOR (both as described below). We sell our products into various markets through our business units in numerous forms, including components, modules, solid state drives (“</w:t>
      </w:r>
      <w:r>
        <w:rPr>
          <w:rFonts w:ascii="Arial" w:cs="Arial" w:eastAsia="Arial" w:hAnsi="Arial"/>
          <w:sz w:val="18"/>
          <w:szCs w:val="18"/>
          <w:b w:val="1"/>
          <w:bCs w:val="1"/>
          <w:color w:val="auto"/>
        </w:rPr>
        <w:t>SSDs</w:t>
      </w:r>
      <w:r>
        <w:rPr>
          <w:rFonts w:ascii="Arial" w:cs="Arial" w:eastAsia="Arial" w:hAnsi="Arial"/>
          <w:sz w:val="18"/>
          <w:szCs w:val="18"/>
          <w:color w:val="auto"/>
        </w:rPr>
        <w:t>”), managed NAND, Multi-Chip Packages, and wafers. Our system-level solutions, including SSDs and managed NAND, combine NAND, a controller, firmware, and in some cases DRAM. During the year ended December 31, 2023, we manufactured or contracted to manufacture the following types of memory and storage products containing 3TG metals.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DRAM</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DRAM products are dynamic random access memory semiconductor devices with low latency that provide high-speed data retrieval with a variety of performance characteristics. DRAM products lose content when power is turned off (“</w:t>
      </w:r>
      <w:r>
        <w:rPr>
          <w:rFonts w:ascii="Arial" w:cs="Arial" w:eastAsia="Arial" w:hAnsi="Arial"/>
          <w:sz w:val="18"/>
          <w:szCs w:val="18"/>
          <w:b w:val="1"/>
          <w:bCs w:val="1"/>
          <w:color w:val="auto"/>
        </w:rPr>
        <w:t>volatile</w:t>
      </w:r>
      <w:r>
        <w:rPr>
          <w:rFonts w:ascii="Arial" w:cs="Arial" w:eastAsia="Arial" w:hAnsi="Arial"/>
          <w:sz w:val="18"/>
          <w:szCs w:val="18"/>
          <w:color w:val="auto"/>
        </w:rPr>
        <w:t>”) and are most commonly used in client, cloud server, enterprise, networking, graphics, industrial, and automotive markets. Low-power 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NAND</w:t>
      </w:r>
    </w:p>
    <w:p>
      <w:pPr>
        <w:spacing w:after="0" w:line="250"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NAND products are non-volatile, re-writeable semiconductor storage devices that provide high-capacity, low-cost storage with a 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w:t>
      </w:r>
    </w:p>
    <w:p>
      <w:pPr>
        <w:spacing w:after="0" w:line="25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NOR products are non-volatile re-writable semiconductor memory devices that provide fast read speeds. NOR is most commonly used for reliable code storage (e.g., boot, application, operating system, and execute-in-place code in an embedded system) and for frequently changing small data storage and is ideal for automotive, industrial, and consumer applications.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Due Diligence Review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Reported Smelters and Refiners Used to Process 3TG Metals</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Throughout 2023, we worked with our suppliers in an effort to source only from smelters and refiners that were validated as Conformant with a responsibly-sourced auditing program. We identified 211 smelters and refiners that are recognized by RMI, LBMA, or RJC to be processors of 3TG metals and that we believe were potentially in our memory and storage products supply chain for the year ended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95" w:right="359" w:bottom="1440" w:gutter="0" w:footer="0" w:header="0"/>
        </w:sectPr>
      </w:pPr>
    </w:p>
    <w:bookmarkStart w:id="8" w:name="page9"/>
    <w:bookmarkEnd w:id="8"/>
    <w:p>
      <w:pPr>
        <w:spacing w:after="0" w:line="244" w:lineRule="auto"/>
        <w:rPr>
          <w:sz w:val="20"/>
          <w:szCs w:val="20"/>
          <w:color w:val="auto"/>
        </w:rPr>
      </w:pPr>
      <w:r>
        <w:rPr>
          <w:rFonts w:ascii="Arial" w:cs="Arial" w:eastAsia="Arial" w:hAnsi="Arial"/>
          <w:sz w:val="18"/>
          <w:szCs w:val="18"/>
          <w:color w:val="auto"/>
        </w:rPr>
        <w:t>December 31, 2023, none of which had a Non-Conformant status with RMI at the time they entered our supply chain. 27 smelters and refiners that were reported to be in our memory and storage products supply chain during 2023 were subsequently determined, on or prior to December 31, 2023, to be inoperative or removed. We determined that 184 smelters and refiners were in our memory and storage products supply chain as of December 31, 2023, of which 183 were validated as Conformant and one was listed as Active with RMI. As described above, as a result of our continued diligence efforts, the Active refiner was removed from our supply chain in 2024.</w:t>
      </w:r>
    </w:p>
    <w:p>
      <w:pPr>
        <w:spacing w:after="0" w:line="2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Many of our suppliers reported smelter and refiner information at the company level rather than limiting their responses to smelters and refiners associated with products sold to Micron. As a result, some reported smelters and refiners may not be associated with our memory and storage products. Appendix A sets forth a list of the names and locations of all of the potential smelters and refiners in our memory and storage products supply chain as reported by our suppliers for the year ended December 31, 2023.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Aggregated Countries of Origin of 3TG Metals</w:t>
      </w: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due diligence efforts did not result in sufficient information to conclusively determine the countries of origin of all necessary 3TG metals in our products. Appendix B sets forth a list of potential countries of origin of 3TG metals that may be in our products based on information provided to us by our suppliers and RMI, all of which information is available to us (and is therefore being disclosed) on an aggregated basis only for RMAP Conformant smelters.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Mine or Location of Origin</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RMI has an established audit protocol to assess whether smelters and refiners of 3TG metals employed policies, practices, and procedures to source responsibly-sourced minerals. RMI, through the RMAP, collects and provides access for its members to certain information regarding the origin of minerals processed at RMAP responsibly-sourced smelters and refiners.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required the suppliers in our memory and storage products supply chain to complete the RMI CMRT. We reviewed the supplier</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responses as well as information available through the RMI on the mine or location of origin of 3TG metals processed by these smelters and refiners collectively. Our suppliers’ responses and the RMI’s information did not provide sufficiently detailed information for us to determine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mine or location of origin of the necessary 3TG in our products for the calendar year 2023.</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2024 Due Diligence Improvement Measures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During the 2024 reporting year, Micron intends to:</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engage with and provide active participation and leadership in the various RMI working groups;</w:t>
      </w:r>
    </w:p>
    <w:p>
      <w:pPr>
        <w:spacing w:after="0" w:line="252"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proactively engage with all suppliers in an effort to accomplish our goal that all smelters and refiners in our supply chain are Conformant;</w:t>
      </w:r>
    </w:p>
    <w:p>
      <w:pPr>
        <w:spacing w:after="0" w:line="179"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refine and improve our responsible minerals program to ensure quick remediation, including removal, of any smelter or refiner that loses Conformant status; and</w:t>
      </w:r>
    </w:p>
    <w:p>
      <w:pPr>
        <w:spacing w:after="0" w:line="179"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responsible minerals program to ensure responsible sourcing of additional minerals beyond 3TG and include more geographies as practicable in line with industry standards and RMI capabilities and programs.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ind w:right="80"/>
        <w:spacing w:after="0" w:line="385" w:lineRule="auto"/>
        <w:rPr>
          <w:sz w:val="20"/>
          <w:szCs w:val="20"/>
          <w:color w:val="auto"/>
        </w:rPr>
      </w:pPr>
      <w:r>
        <w:rPr>
          <w:rFonts w:ascii="Arial" w:cs="Arial" w:eastAsia="Arial" w:hAnsi="Arial"/>
          <w:sz w:val="18"/>
          <w:szCs w:val="18"/>
          <w:i w:val="1"/>
          <w:iCs w:val="1"/>
          <w:color w:val="auto"/>
        </w:rPr>
        <w:t>This Conflict Minerals Report contains forward looking statements related to our conflict minerals due diligence programs for 2024. We wish to caution you that such statements are predictions and that actual events or results may differ materially. Although we believe that the expectations reflected in the forward-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1079" w:right="399" w:bottom="1440" w:gutter="0" w:footer="0" w:header="0"/>
        </w:sectPr>
      </w:pPr>
    </w:p>
    <w:bookmarkStart w:id="9" w:name="page10"/>
    <w:bookmarkEnd w:id="9"/>
    <w:p>
      <w:pPr>
        <w:spacing w:after="0" w:line="394" w:lineRule="auto"/>
        <w:rPr>
          <w:sz w:val="20"/>
          <w:szCs w:val="20"/>
          <w:color w:val="auto"/>
        </w:rPr>
      </w:pPr>
      <w:r>
        <w:rPr>
          <w:rFonts w:ascii="Arial" w:cs="Arial" w:eastAsia="Arial" w:hAnsi="Arial"/>
          <w:sz w:val="18"/>
          <w:szCs w:val="18"/>
          <w:i w:val="1"/>
          <w:iCs w:val="1"/>
          <w:color w:val="auto"/>
        </w:rPr>
        <w:t>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1149" w:right="679" w:bottom="1440" w:gutter="0" w:footer="0" w:header="0"/>
        </w:sectPr>
      </w:pPr>
    </w:p>
    <w:bookmarkStart w:id="10" w:name="page11"/>
    <w:bookmarkEnd w:id="10"/>
    <w:p>
      <w:pPr>
        <w:spacing w:after="0"/>
        <w:rPr>
          <w:sz w:val="20"/>
          <w:szCs w:val="20"/>
          <w:color w:val="auto"/>
        </w:rPr>
      </w:pPr>
      <w:r>
        <w:rPr>
          <w:rFonts w:ascii="Arial" w:cs="Arial" w:eastAsia="Arial" w:hAnsi="Arial"/>
          <w:sz w:val="40"/>
          <w:szCs w:val="40"/>
          <w:b w:val="1"/>
          <w:bCs w:val="1"/>
          <w:color w:val="auto"/>
        </w:rPr>
        <w:t>Appendix A</w:t>
      </w:r>
    </w:p>
    <w:p>
      <w:pPr>
        <w:spacing w:after="0" w:line="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Reported 3TG Smelters and Refiners List</w:t>
      </w:r>
    </w:p>
    <w:p>
      <w:pPr>
        <w:spacing w:after="0" w:line="2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This table provides the names and locations of all of the potential 3TG smelters and refiners in our memory and storage products supply chain that were reported by our suppliers for the year ended December 31, 2023. The smelter and refiner names and locations appear as they are listed in the RMI Smelter Database as of January 26, 2024. We cannot confirm which of the smelters and refiners in this table processed the necessary 3TG metals contained in our products, as many of our suppliers identified all smelters and refiners in their total supply chain rather than just those smelters and refiners associated with products sold to us.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5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Smelter or Refinery Name</w:t>
            </w:r>
          </w:p>
        </w:tc>
        <w:tc>
          <w:tcPr>
            <w:tcW w:w="35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Location</w:t>
            </w:r>
          </w:p>
        </w:tc>
      </w:tr>
      <w:tr>
        <w:trPr>
          <w:trHeight w:val="34"/>
        </w:trPr>
        <w:tc>
          <w:tcPr>
            <w:tcW w:w="1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8853 S.p.A.*</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Italy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Advanced Chemical Company**</w:t>
            </w:r>
          </w:p>
        </w:tc>
        <w:tc>
          <w:tcPr>
            <w:tcW w:w="3560" w:type="dxa"/>
            <w:vAlign w:val="bottom"/>
          </w:tcPr>
          <w:p>
            <w:pPr>
              <w:ind w:left="600"/>
              <w:spacing w:after="0"/>
              <w:rPr>
                <w:sz w:val="20"/>
                <w:szCs w:val="20"/>
                <w:color w:val="auto"/>
              </w:rPr>
            </w:pPr>
            <w:r>
              <w:rPr>
                <w:rFonts w:ascii="Arial" w:cs="Arial" w:eastAsia="Arial" w:hAnsi="Arial"/>
                <w:sz w:val="18"/>
                <w:szCs w:val="18"/>
                <w:color w:val="auto"/>
              </w:rPr>
              <w:t>United States</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Agosi AG</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Germany</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Aida Chemical Industries Co., Ltd.</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Al Etihad Gold Refinery DMCC*</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United Arab Emirates</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Almalyk Mining and Metallurgical Complex (AMMC)</w:t>
            </w:r>
          </w:p>
        </w:tc>
        <w:tc>
          <w:tcPr>
            <w:tcW w:w="3560" w:type="dxa"/>
            <w:vAlign w:val="bottom"/>
          </w:tcPr>
          <w:p>
            <w:pPr>
              <w:ind w:left="600"/>
              <w:spacing w:after="0"/>
              <w:rPr>
                <w:sz w:val="20"/>
                <w:szCs w:val="20"/>
                <w:color w:val="auto"/>
              </w:rPr>
            </w:pPr>
            <w:r>
              <w:rPr>
                <w:rFonts w:ascii="Arial" w:cs="Arial" w:eastAsia="Arial" w:hAnsi="Arial"/>
                <w:sz w:val="18"/>
                <w:szCs w:val="18"/>
                <w:color w:val="auto"/>
              </w:rPr>
              <w:t>Uzbekistan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AngloGold Ashanti Corrego do Sitio Mineracao</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Brazil</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Argor-Heraeus S.A.</w:t>
            </w:r>
          </w:p>
        </w:tc>
        <w:tc>
          <w:tcPr>
            <w:tcW w:w="3560" w:type="dxa"/>
            <w:vAlign w:val="bottom"/>
          </w:tcPr>
          <w:p>
            <w:pPr>
              <w:ind w:left="600"/>
              <w:spacing w:after="0"/>
              <w:rPr>
                <w:sz w:val="20"/>
                <w:szCs w:val="20"/>
                <w:color w:val="auto"/>
              </w:rPr>
            </w:pPr>
            <w:r>
              <w:rPr>
                <w:rFonts w:ascii="Arial" w:cs="Arial" w:eastAsia="Arial" w:hAnsi="Arial"/>
                <w:sz w:val="18"/>
                <w:szCs w:val="18"/>
                <w:color w:val="auto"/>
              </w:rPr>
              <w:t>Switzerland</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Asahi Pretec Corp.</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Asahi Refining Canada Ltd.</w:t>
            </w:r>
          </w:p>
        </w:tc>
        <w:tc>
          <w:tcPr>
            <w:tcW w:w="3560" w:type="dxa"/>
            <w:vAlign w:val="bottom"/>
          </w:tcPr>
          <w:p>
            <w:pPr>
              <w:ind w:left="600"/>
              <w:spacing w:after="0"/>
              <w:rPr>
                <w:sz w:val="20"/>
                <w:szCs w:val="20"/>
                <w:color w:val="auto"/>
              </w:rPr>
            </w:pPr>
            <w:r>
              <w:rPr>
                <w:rFonts w:ascii="Arial" w:cs="Arial" w:eastAsia="Arial" w:hAnsi="Arial"/>
                <w:sz w:val="18"/>
                <w:szCs w:val="18"/>
                <w:color w:val="auto"/>
              </w:rPr>
              <w:t>Canada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Asahi Refining USA Inc.</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United States</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Aurubis AG</w:t>
            </w:r>
          </w:p>
        </w:tc>
        <w:tc>
          <w:tcPr>
            <w:tcW w:w="3560" w:type="dxa"/>
            <w:vAlign w:val="bottom"/>
          </w:tcPr>
          <w:p>
            <w:pPr>
              <w:ind w:left="600"/>
              <w:spacing w:after="0"/>
              <w:rPr>
                <w:sz w:val="20"/>
                <w:szCs w:val="20"/>
                <w:color w:val="auto"/>
              </w:rPr>
            </w:pPr>
            <w:r>
              <w:rPr>
                <w:rFonts w:ascii="Arial" w:cs="Arial" w:eastAsia="Arial" w:hAnsi="Arial"/>
                <w:sz w:val="18"/>
                <w:szCs w:val="18"/>
                <w:color w:val="auto"/>
              </w:rPr>
              <w:t>Germany</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Bangalore Refinery*</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India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Bangko Sentral ng Pilipinas (Central Bank of the Philippines)</w:t>
            </w:r>
          </w:p>
        </w:tc>
        <w:tc>
          <w:tcPr>
            <w:tcW w:w="3560" w:type="dxa"/>
            <w:vAlign w:val="bottom"/>
          </w:tcPr>
          <w:p>
            <w:pPr>
              <w:ind w:left="600"/>
              <w:spacing w:after="0"/>
              <w:rPr>
                <w:sz w:val="20"/>
                <w:szCs w:val="20"/>
                <w:color w:val="auto"/>
              </w:rPr>
            </w:pPr>
            <w:r>
              <w:rPr>
                <w:rFonts w:ascii="Arial" w:cs="Arial" w:eastAsia="Arial" w:hAnsi="Arial"/>
                <w:sz w:val="18"/>
                <w:szCs w:val="18"/>
                <w:color w:val="auto"/>
              </w:rPr>
              <w:t>Philippines</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Boliden Ronnskar</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Sweden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C. Hafner GmbH + Co. KG</w:t>
            </w:r>
          </w:p>
        </w:tc>
        <w:tc>
          <w:tcPr>
            <w:tcW w:w="3560" w:type="dxa"/>
            <w:vAlign w:val="bottom"/>
          </w:tcPr>
          <w:p>
            <w:pPr>
              <w:ind w:left="600"/>
              <w:spacing w:after="0"/>
              <w:rPr>
                <w:sz w:val="20"/>
                <w:szCs w:val="20"/>
                <w:color w:val="auto"/>
              </w:rPr>
            </w:pPr>
            <w:r>
              <w:rPr>
                <w:rFonts w:ascii="Arial" w:cs="Arial" w:eastAsia="Arial" w:hAnsi="Arial"/>
                <w:sz w:val="18"/>
                <w:szCs w:val="18"/>
                <w:color w:val="auto"/>
              </w:rPr>
              <w:t>Germany</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CCR Refinery - Glencore Canada Corporation</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Canada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Cendres + Metaux S.A.*</w:t>
            </w:r>
          </w:p>
        </w:tc>
        <w:tc>
          <w:tcPr>
            <w:tcW w:w="3560" w:type="dxa"/>
            <w:vAlign w:val="bottom"/>
          </w:tcPr>
          <w:p>
            <w:pPr>
              <w:ind w:left="600"/>
              <w:spacing w:after="0"/>
              <w:rPr>
                <w:sz w:val="20"/>
                <w:szCs w:val="20"/>
                <w:color w:val="auto"/>
              </w:rPr>
            </w:pPr>
            <w:r>
              <w:rPr>
                <w:rFonts w:ascii="Arial" w:cs="Arial" w:eastAsia="Arial" w:hAnsi="Arial"/>
                <w:sz w:val="18"/>
                <w:szCs w:val="18"/>
                <w:color w:val="auto"/>
              </w:rPr>
              <w:t>Switzerland</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Chimet S.p.A.</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Italy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Dowa</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Emirates Gold DMCC*</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United Arab Emirates</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Gold Refinery of Zijin Mining Group Co., Ltd.</w:t>
            </w:r>
          </w:p>
        </w:tc>
        <w:tc>
          <w:tcPr>
            <w:tcW w:w="3560" w:type="dxa"/>
            <w:vAlign w:val="bottom"/>
          </w:tcPr>
          <w:p>
            <w:pPr>
              <w:ind w:left="600"/>
              <w:spacing w:after="0"/>
              <w:rPr>
                <w:sz w:val="20"/>
                <w:szCs w:val="20"/>
                <w:color w:val="auto"/>
              </w:rPr>
            </w:pPr>
            <w:r>
              <w:rPr>
                <w:rFonts w:ascii="Arial" w:cs="Arial" w:eastAsia="Arial" w:hAnsi="Arial"/>
                <w:sz w:val="18"/>
                <w:szCs w:val="18"/>
                <w:color w:val="auto"/>
              </w:rPr>
              <w:t>China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Heimerle + Meule GmbH</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Germany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Heraeus Germany GmbH Co. KG</w:t>
            </w:r>
          </w:p>
        </w:tc>
        <w:tc>
          <w:tcPr>
            <w:tcW w:w="3560" w:type="dxa"/>
            <w:vAlign w:val="bottom"/>
          </w:tcPr>
          <w:p>
            <w:pPr>
              <w:ind w:left="600"/>
              <w:spacing w:after="0"/>
              <w:rPr>
                <w:sz w:val="20"/>
                <w:szCs w:val="20"/>
                <w:color w:val="auto"/>
              </w:rPr>
            </w:pPr>
            <w:r>
              <w:rPr>
                <w:rFonts w:ascii="Arial" w:cs="Arial" w:eastAsia="Arial" w:hAnsi="Arial"/>
                <w:sz w:val="18"/>
                <w:szCs w:val="18"/>
                <w:color w:val="auto"/>
              </w:rPr>
              <w:t>Germany</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Heraeus Metals Hong Kong Ltd.</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Inner Mongolia Qiankun Gold and Silver Refinery Share Co., Ltd.</w:t>
            </w:r>
          </w:p>
        </w:tc>
        <w:tc>
          <w:tcPr>
            <w:tcW w:w="3560" w:type="dxa"/>
            <w:vAlign w:val="bottom"/>
          </w:tcPr>
          <w:p>
            <w:pPr>
              <w:ind w:left="600"/>
              <w:spacing w:after="0"/>
              <w:rPr>
                <w:sz w:val="20"/>
                <w:szCs w:val="20"/>
                <w:color w:val="auto"/>
              </w:rPr>
            </w:pPr>
            <w:r>
              <w:rPr>
                <w:rFonts w:ascii="Arial" w:cs="Arial" w:eastAsia="Arial" w:hAnsi="Arial"/>
                <w:sz w:val="18"/>
                <w:szCs w:val="18"/>
                <w:color w:val="auto"/>
              </w:rPr>
              <w:t>China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Ishifuku Metal Industry Co., Ltd.</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Istanbul Gold Refinery</w:t>
            </w:r>
          </w:p>
        </w:tc>
        <w:tc>
          <w:tcPr>
            <w:tcW w:w="3560" w:type="dxa"/>
            <w:vAlign w:val="bottom"/>
          </w:tcPr>
          <w:p>
            <w:pPr>
              <w:ind w:left="600"/>
              <w:spacing w:after="0"/>
              <w:rPr>
                <w:sz w:val="20"/>
                <w:szCs w:val="20"/>
                <w:color w:val="auto"/>
              </w:rPr>
            </w:pPr>
            <w:r>
              <w:rPr>
                <w:rFonts w:ascii="Arial" w:cs="Arial" w:eastAsia="Arial" w:hAnsi="Arial"/>
                <w:sz w:val="18"/>
                <w:szCs w:val="18"/>
                <w:color w:val="auto"/>
              </w:rPr>
              <w:t>Turkey</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Italpreziosi</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Italy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Japan Mint</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Jiangxi Copper Co., Ltd.</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China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15" w:right="339" w:bottom="1440" w:gutter="0" w:footer="0" w:header="0"/>
        </w:sectPr>
      </w:pPr>
    </w:p>
    <w:bookmarkStart w:id="11" w:name="page12"/>
    <w:bookmarkEnd w:id="1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44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Smelter or Refinery Name</w:t>
            </w:r>
          </w:p>
        </w:tc>
        <w:tc>
          <w:tcPr>
            <w:tcW w:w="36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Location</w:t>
            </w: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JX Nippon Mining &amp; Metals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Kazzinc</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Kazakhstan</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Kennecott Utah Copper LLC</w:t>
            </w:r>
          </w:p>
        </w:tc>
        <w:tc>
          <w:tcPr>
            <w:tcW w:w="3620" w:type="dxa"/>
            <w:vAlign w:val="bottom"/>
          </w:tcPr>
          <w:p>
            <w:pPr>
              <w:ind w:left="660"/>
              <w:spacing w:after="0"/>
              <w:rPr>
                <w:sz w:val="20"/>
                <w:szCs w:val="20"/>
                <w:color w:val="auto"/>
              </w:rPr>
            </w:pPr>
            <w:r>
              <w:rPr>
                <w:rFonts w:ascii="Arial" w:cs="Arial" w:eastAsia="Arial" w:hAnsi="Arial"/>
                <w:sz w:val="18"/>
                <w:szCs w:val="18"/>
                <w:color w:val="auto"/>
              </w:rPr>
              <w:t>United States</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KGHM Polska Miedz Spolka Akcyjna</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Poland</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Kojima Chemicals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Korea Zinc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South Korea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L'Orfebre S.A.</w:t>
            </w:r>
          </w:p>
        </w:tc>
        <w:tc>
          <w:tcPr>
            <w:tcW w:w="3620" w:type="dxa"/>
            <w:vAlign w:val="bottom"/>
          </w:tcPr>
          <w:p>
            <w:pPr>
              <w:ind w:left="660"/>
              <w:spacing w:after="0"/>
              <w:rPr>
                <w:sz w:val="20"/>
                <w:szCs w:val="20"/>
                <w:color w:val="auto"/>
              </w:rPr>
            </w:pPr>
            <w:r>
              <w:rPr>
                <w:rFonts w:ascii="Arial" w:cs="Arial" w:eastAsia="Arial" w:hAnsi="Arial"/>
                <w:sz w:val="18"/>
                <w:szCs w:val="18"/>
                <w:color w:val="auto"/>
              </w:rPr>
              <w:t>Andorra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LS MnM Inc.</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South Korea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LT Metal Ltd.</w:t>
            </w:r>
          </w:p>
        </w:tc>
        <w:tc>
          <w:tcPr>
            <w:tcW w:w="3620" w:type="dxa"/>
            <w:vAlign w:val="bottom"/>
          </w:tcPr>
          <w:p>
            <w:pPr>
              <w:ind w:left="660"/>
              <w:spacing w:after="0"/>
              <w:rPr>
                <w:sz w:val="20"/>
                <w:szCs w:val="20"/>
                <w:color w:val="auto"/>
              </w:rPr>
            </w:pPr>
            <w:r>
              <w:rPr>
                <w:rFonts w:ascii="Arial" w:cs="Arial" w:eastAsia="Arial" w:hAnsi="Arial"/>
                <w:sz w:val="18"/>
                <w:szCs w:val="18"/>
                <w:color w:val="auto"/>
              </w:rPr>
              <w:t>South Korea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Matsuda Sangyo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Metal Concentrators SA (Pty) Ltd.</w:t>
            </w:r>
          </w:p>
        </w:tc>
        <w:tc>
          <w:tcPr>
            <w:tcW w:w="3620" w:type="dxa"/>
            <w:vAlign w:val="bottom"/>
          </w:tcPr>
          <w:p>
            <w:pPr>
              <w:ind w:left="660"/>
              <w:spacing w:after="0"/>
              <w:rPr>
                <w:sz w:val="20"/>
                <w:szCs w:val="20"/>
                <w:color w:val="auto"/>
              </w:rPr>
            </w:pPr>
            <w:r>
              <w:rPr>
                <w:rFonts w:ascii="Arial" w:cs="Arial" w:eastAsia="Arial" w:hAnsi="Arial"/>
                <w:sz w:val="18"/>
                <w:szCs w:val="18"/>
                <w:color w:val="auto"/>
              </w:rPr>
              <w:t>South Africa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Metalor Technologies (Hong Kong)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China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Metalor Technologies (Singapore) Pte., Ltd.</w:t>
            </w:r>
          </w:p>
        </w:tc>
        <w:tc>
          <w:tcPr>
            <w:tcW w:w="3620" w:type="dxa"/>
            <w:vAlign w:val="bottom"/>
          </w:tcPr>
          <w:p>
            <w:pPr>
              <w:ind w:left="660"/>
              <w:spacing w:after="0"/>
              <w:rPr>
                <w:sz w:val="20"/>
                <w:szCs w:val="20"/>
                <w:color w:val="auto"/>
              </w:rPr>
            </w:pPr>
            <w:r>
              <w:rPr>
                <w:rFonts w:ascii="Arial" w:cs="Arial" w:eastAsia="Arial" w:hAnsi="Arial"/>
                <w:sz w:val="18"/>
                <w:szCs w:val="18"/>
                <w:color w:val="auto"/>
              </w:rPr>
              <w:t>Singapore</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Metalor Technologies (Suzhou)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Metalor Technologies S.A.</w:t>
            </w:r>
          </w:p>
        </w:tc>
        <w:tc>
          <w:tcPr>
            <w:tcW w:w="3620" w:type="dxa"/>
            <w:vAlign w:val="bottom"/>
          </w:tcPr>
          <w:p>
            <w:pPr>
              <w:ind w:left="660"/>
              <w:spacing w:after="0"/>
              <w:rPr>
                <w:sz w:val="20"/>
                <w:szCs w:val="20"/>
                <w:color w:val="auto"/>
              </w:rPr>
            </w:pPr>
            <w:r>
              <w:rPr>
                <w:rFonts w:ascii="Arial" w:cs="Arial" w:eastAsia="Arial" w:hAnsi="Arial"/>
                <w:sz w:val="18"/>
                <w:szCs w:val="18"/>
                <w:color w:val="auto"/>
              </w:rPr>
              <w:t>Switzerland</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Metalor USA Refining Corporation</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United States</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Metalurgica Met-Mex Penoles S.A. De C.V.</w:t>
            </w:r>
          </w:p>
        </w:tc>
        <w:tc>
          <w:tcPr>
            <w:tcW w:w="3620" w:type="dxa"/>
            <w:vAlign w:val="bottom"/>
          </w:tcPr>
          <w:p>
            <w:pPr>
              <w:ind w:left="660"/>
              <w:spacing w:after="0"/>
              <w:rPr>
                <w:sz w:val="20"/>
                <w:szCs w:val="20"/>
                <w:color w:val="auto"/>
              </w:rPr>
            </w:pPr>
            <w:r>
              <w:rPr>
                <w:rFonts w:ascii="Arial" w:cs="Arial" w:eastAsia="Arial" w:hAnsi="Arial"/>
                <w:sz w:val="18"/>
                <w:szCs w:val="18"/>
                <w:color w:val="auto"/>
              </w:rPr>
              <w:t>Mexico</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Mitsubishi Materials Corporation</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Mitsui Mining and Smelting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MKS PAMP SA</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Switzerland</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MMTC-PAMP India Pvt., Ltd.</w:t>
            </w:r>
          </w:p>
        </w:tc>
        <w:tc>
          <w:tcPr>
            <w:tcW w:w="3620" w:type="dxa"/>
            <w:vAlign w:val="bottom"/>
          </w:tcPr>
          <w:p>
            <w:pPr>
              <w:ind w:left="660"/>
              <w:spacing w:after="0"/>
              <w:rPr>
                <w:sz w:val="20"/>
                <w:szCs w:val="20"/>
                <w:color w:val="auto"/>
              </w:rPr>
            </w:pPr>
            <w:r>
              <w:rPr>
                <w:rFonts w:ascii="Arial" w:cs="Arial" w:eastAsia="Arial" w:hAnsi="Arial"/>
                <w:sz w:val="18"/>
                <w:szCs w:val="18"/>
                <w:color w:val="auto"/>
              </w:rPr>
              <w:t>India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Nadir Metal Rafineri San. Ve Tic. A.S.</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Turkey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Navoi Mining and Metallurgical Combinat</w:t>
            </w:r>
          </w:p>
        </w:tc>
        <w:tc>
          <w:tcPr>
            <w:tcW w:w="3620" w:type="dxa"/>
            <w:vAlign w:val="bottom"/>
          </w:tcPr>
          <w:p>
            <w:pPr>
              <w:ind w:left="660"/>
              <w:spacing w:after="0"/>
              <w:rPr>
                <w:sz w:val="20"/>
                <w:szCs w:val="20"/>
                <w:color w:val="auto"/>
              </w:rPr>
            </w:pPr>
            <w:r>
              <w:rPr>
                <w:rFonts w:ascii="Arial" w:cs="Arial" w:eastAsia="Arial" w:hAnsi="Arial"/>
                <w:sz w:val="18"/>
                <w:szCs w:val="18"/>
                <w:color w:val="auto"/>
              </w:rPr>
              <w:t>Uzbekistan</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NH Recytech Company</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South Korea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Nihon Material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Ogussa Osterreichische Gold- und Silber-Scheideanstalt GmbH</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Austria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Planta Recuperadora de Metales SpA</w:t>
            </w:r>
          </w:p>
        </w:tc>
        <w:tc>
          <w:tcPr>
            <w:tcW w:w="3620" w:type="dxa"/>
            <w:vAlign w:val="bottom"/>
          </w:tcPr>
          <w:p>
            <w:pPr>
              <w:ind w:left="660"/>
              <w:spacing w:after="0"/>
              <w:rPr>
                <w:sz w:val="20"/>
                <w:szCs w:val="20"/>
                <w:color w:val="auto"/>
              </w:rPr>
            </w:pPr>
            <w:r>
              <w:rPr>
                <w:rFonts w:ascii="Arial" w:cs="Arial" w:eastAsia="Arial" w:hAnsi="Arial"/>
                <w:sz w:val="18"/>
                <w:szCs w:val="18"/>
                <w:color w:val="auto"/>
              </w:rPr>
              <w:t>Chile</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PT Aneka Tambang (Persero) Tbk</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PX Precinox S.A.</w:t>
            </w:r>
          </w:p>
        </w:tc>
        <w:tc>
          <w:tcPr>
            <w:tcW w:w="3620" w:type="dxa"/>
            <w:vAlign w:val="bottom"/>
          </w:tcPr>
          <w:p>
            <w:pPr>
              <w:ind w:left="660"/>
              <w:spacing w:after="0"/>
              <w:rPr>
                <w:sz w:val="20"/>
                <w:szCs w:val="20"/>
                <w:color w:val="auto"/>
              </w:rPr>
            </w:pPr>
            <w:r>
              <w:rPr>
                <w:rFonts w:ascii="Arial" w:cs="Arial" w:eastAsia="Arial" w:hAnsi="Arial"/>
                <w:sz w:val="18"/>
                <w:szCs w:val="18"/>
                <w:color w:val="auto"/>
              </w:rPr>
              <w:t>Switzerland</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Rand Refinery (Pty)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South Africa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Royal Canadian Mint</w:t>
            </w:r>
          </w:p>
        </w:tc>
        <w:tc>
          <w:tcPr>
            <w:tcW w:w="3620" w:type="dxa"/>
            <w:vAlign w:val="bottom"/>
          </w:tcPr>
          <w:p>
            <w:pPr>
              <w:ind w:left="660"/>
              <w:spacing w:after="0"/>
              <w:rPr>
                <w:sz w:val="20"/>
                <w:szCs w:val="20"/>
                <w:color w:val="auto"/>
              </w:rPr>
            </w:pPr>
            <w:r>
              <w:rPr>
                <w:rFonts w:ascii="Arial" w:cs="Arial" w:eastAsia="Arial" w:hAnsi="Arial"/>
                <w:sz w:val="18"/>
                <w:szCs w:val="18"/>
                <w:color w:val="auto"/>
              </w:rPr>
              <w:t>Canada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SAAMP*</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France</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Safimet S.p.A*</w:t>
            </w:r>
          </w:p>
        </w:tc>
        <w:tc>
          <w:tcPr>
            <w:tcW w:w="3620" w:type="dxa"/>
            <w:vAlign w:val="bottom"/>
          </w:tcPr>
          <w:p>
            <w:pPr>
              <w:ind w:left="660"/>
              <w:spacing w:after="0"/>
              <w:rPr>
                <w:sz w:val="20"/>
                <w:szCs w:val="20"/>
                <w:color w:val="auto"/>
              </w:rPr>
            </w:pPr>
            <w:r>
              <w:rPr>
                <w:rFonts w:ascii="Arial" w:cs="Arial" w:eastAsia="Arial" w:hAnsi="Arial"/>
                <w:sz w:val="18"/>
                <w:szCs w:val="18"/>
                <w:color w:val="auto"/>
              </w:rPr>
              <w:t>Italy</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SAFINA A.S.</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Czechia (Czech Republic)</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Samduck Precious Metals*</w:t>
            </w:r>
          </w:p>
        </w:tc>
        <w:tc>
          <w:tcPr>
            <w:tcW w:w="3620" w:type="dxa"/>
            <w:vAlign w:val="bottom"/>
          </w:tcPr>
          <w:p>
            <w:pPr>
              <w:ind w:left="660"/>
              <w:spacing w:after="0"/>
              <w:rPr>
                <w:sz w:val="20"/>
                <w:szCs w:val="20"/>
                <w:color w:val="auto"/>
              </w:rPr>
            </w:pPr>
            <w:r>
              <w:rPr>
                <w:rFonts w:ascii="Arial" w:cs="Arial" w:eastAsia="Arial" w:hAnsi="Arial"/>
                <w:sz w:val="18"/>
                <w:szCs w:val="18"/>
                <w:color w:val="auto"/>
              </w:rPr>
              <w:t>South Korea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SEMPSA Joyeria Plateria S.A.</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Spain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Shandong Gold Smelting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Shandong Zhaojin Gold &amp; Silver Refinery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Sichuan Tianze Precious Metals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Singway Technology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Taiwan</w:t>
            </w:r>
          </w:p>
        </w:tc>
      </w:tr>
      <w:tr>
        <w:trPr>
          <w:trHeight w:val="23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Solar Applied Materials Technology Corp.</w:t>
            </w:r>
          </w:p>
        </w:tc>
        <w:tc>
          <w:tcPr>
            <w:tcW w:w="3620" w:type="dxa"/>
            <w:vAlign w:val="bottom"/>
          </w:tcPr>
          <w:p>
            <w:pPr>
              <w:ind w:left="660"/>
              <w:spacing w:after="0"/>
              <w:rPr>
                <w:sz w:val="20"/>
                <w:szCs w:val="20"/>
                <w:color w:val="auto"/>
              </w:rPr>
            </w:pPr>
            <w:r>
              <w:rPr>
                <w:rFonts w:ascii="Arial" w:cs="Arial" w:eastAsia="Arial" w:hAnsi="Arial"/>
                <w:sz w:val="18"/>
                <w:szCs w:val="18"/>
                <w:color w:val="auto"/>
              </w:rPr>
              <w:t>Taiwan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0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39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Location</w:t>
            </w:r>
          </w:p>
        </w:tc>
      </w:tr>
      <w:tr>
        <w:trPr>
          <w:trHeight w:val="34"/>
        </w:trPr>
        <w:tc>
          <w:tcPr>
            <w:tcW w:w="13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Sumitomo Metal Mining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00" w:type="dxa"/>
            <w:vAlign w:val="bottom"/>
          </w:tcPr>
          <w:p>
            <w:pPr>
              <w:ind w:left="560"/>
              <w:spacing w:after="0"/>
              <w:rPr>
                <w:sz w:val="20"/>
                <w:szCs w:val="20"/>
                <w:color w:val="auto"/>
              </w:rPr>
            </w:pPr>
            <w:r>
              <w:rPr>
                <w:rFonts w:ascii="Arial" w:cs="Arial" w:eastAsia="Arial" w:hAnsi="Arial"/>
                <w:sz w:val="18"/>
                <w:szCs w:val="18"/>
                <w:color w:val="auto"/>
              </w:rPr>
              <w:t>T.C.A S.p.A</w:t>
            </w:r>
          </w:p>
        </w:tc>
        <w:tc>
          <w:tcPr>
            <w:tcW w:w="3920" w:type="dxa"/>
            <w:vAlign w:val="bottom"/>
          </w:tcPr>
          <w:p>
            <w:pPr>
              <w:ind w:left="960"/>
              <w:spacing w:after="0"/>
              <w:rPr>
                <w:sz w:val="20"/>
                <w:szCs w:val="20"/>
                <w:color w:val="auto"/>
              </w:rPr>
            </w:pPr>
            <w:r>
              <w:rPr>
                <w:rFonts w:ascii="Arial" w:cs="Arial" w:eastAsia="Arial" w:hAnsi="Arial"/>
                <w:sz w:val="18"/>
                <w:szCs w:val="18"/>
                <w:color w:val="auto"/>
              </w:rPr>
              <w:t>Italy</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Tanaka Kikinzoku Kogyo K.K.</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00" w:type="dxa"/>
            <w:vAlign w:val="bottom"/>
          </w:tcPr>
          <w:p>
            <w:pPr>
              <w:ind w:left="560"/>
              <w:spacing w:after="0"/>
              <w:rPr>
                <w:sz w:val="20"/>
                <w:szCs w:val="20"/>
                <w:color w:val="auto"/>
              </w:rPr>
            </w:pPr>
            <w:r>
              <w:rPr>
                <w:rFonts w:ascii="Arial" w:cs="Arial" w:eastAsia="Arial" w:hAnsi="Arial"/>
                <w:sz w:val="18"/>
                <w:szCs w:val="18"/>
                <w:color w:val="auto"/>
              </w:rPr>
              <w:t>Tokuriki Honten Co., Ltd.</w:t>
            </w:r>
          </w:p>
        </w:tc>
        <w:tc>
          <w:tcPr>
            <w:tcW w:w="3920" w:type="dxa"/>
            <w:vAlign w:val="bottom"/>
          </w:tcPr>
          <w:p>
            <w:pPr>
              <w:ind w:left="960"/>
              <w:spacing w:after="0"/>
              <w:rPr>
                <w:sz w:val="20"/>
                <w:szCs w:val="20"/>
                <w:color w:val="auto"/>
              </w:rPr>
            </w:pPr>
            <w:r>
              <w:rPr>
                <w:rFonts w:ascii="Arial" w:cs="Arial" w:eastAsia="Arial" w:hAnsi="Arial"/>
                <w:sz w:val="18"/>
                <w:szCs w:val="18"/>
                <w:color w:val="auto"/>
              </w:rPr>
              <w:t>Japan</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TOO Tau-Ken-Altyn</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Kazakhstan</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00" w:type="dxa"/>
            <w:vAlign w:val="bottom"/>
          </w:tcPr>
          <w:p>
            <w:pPr>
              <w:ind w:left="560"/>
              <w:spacing w:after="0"/>
              <w:rPr>
                <w:sz w:val="20"/>
                <w:szCs w:val="20"/>
                <w:color w:val="auto"/>
              </w:rPr>
            </w:pPr>
            <w:r>
              <w:rPr>
                <w:rFonts w:ascii="Arial" w:cs="Arial" w:eastAsia="Arial" w:hAnsi="Arial"/>
                <w:sz w:val="18"/>
                <w:szCs w:val="18"/>
                <w:color w:val="auto"/>
              </w:rPr>
              <w:t>Torecom</w:t>
            </w:r>
          </w:p>
        </w:tc>
        <w:tc>
          <w:tcPr>
            <w:tcW w:w="3920" w:type="dxa"/>
            <w:vAlign w:val="bottom"/>
          </w:tcPr>
          <w:p>
            <w:pPr>
              <w:ind w:left="960"/>
              <w:spacing w:after="0"/>
              <w:rPr>
                <w:sz w:val="20"/>
                <w:szCs w:val="20"/>
                <w:color w:val="auto"/>
              </w:rPr>
            </w:pPr>
            <w:r>
              <w:rPr>
                <w:rFonts w:ascii="Arial" w:cs="Arial" w:eastAsia="Arial" w:hAnsi="Arial"/>
                <w:sz w:val="18"/>
                <w:szCs w:val="18"/>
                <w:color w:val="auto"/>
              </w:rPr>
              <w:t>South Korea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Umicore Precious Metals Thailand*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Thailand</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00" w:type="dxa"/>
            <w:vAlign w:val="bottom"/>
          </w:tcPr>
          <w:p>
            <w:pPr>
              <w:ind w:left="560"/>
              <w:spacing w:after="0"/>
              <w:rPr>
                <w:sz w:val="20"/>
                <w:szCs w:val="20"/>
                <w:color w:val="auto"/>
              </w:rPr>
            </w:pPr>
            <w:r>
              <w:rPr>
                <w:rFonts w:ascii="Arial" w:cs="Arial" w:eastAsia="Arial" w:hAnsi="Arial"/>
                <w:sz w:val="18"/>
                <w:szCs w:val="18"/>
                <w:color w:val="auto"/>
              </w:rPr>
              <w:t>Umicore S.A. Business Unit Precious Metals Refining</w:t>
            </w:r>
          </w:p>
        </w:tc>
        <w:tc>
          <w:tcPr>
            <w:tcW w:w="3920" w:type="dxa"/>
            <w:vAlign w:val="bottom"/>
          </w:tcPr>
          <w:p>
            <w:pPr>
              <w:ind w:left="960"/>
              <w:spacing w:after="0"/>
              <w:rPr>
                <w:sz w:val="20"/>
                <w:szCs w:val="20"/>
                <w:color w:val="auto"/>
              </w:rPr>
            </w:pPr>
            <w:r>
              <w:rPr>
                <w:rFonts w:ascii="Arial" w:cs="Arial" w:eastAsia="Arial" w:hAnsi="Arial"/>
                <w:sz w:val="18"/>
                <w:szCs w:val="18"/>
                <w:color w:val="auto"/>
              </w:rPr>
              <w:t>Belgium</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United Precious Metal Refining, Inc.*</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00" w:type="dxa"/>
            <w:vAlign w:val="bottom"/>
          </w:tcPr>
          <w:p>
            <w:pPr>
              <w:ind w:left="560"/>
              <w:spacing w:after="0"/>
              <w:rPr>
                <w:sz w:val="20"/>
                <w:szCs w:val="20"/>
                <w:color w:val="auto"/>
              </w:rPr>
            </w:pPr>
            <w:r>
              <w:rPr>
                <w:rFonts w:ascii="Arial" w:cs="Arial" w:eastAsia="Arial" w:hAnsi="Arial"/>
                <w:sz w:val="18"/>
                <w:szCs w:val="18"/>
                <w:color w:val="auto"/>
              </w:rPr>
              <w:t>Valcambi S.A.</w:t>
            </w:r>
          </w:p>
        </w:tc>
        <w:tc>
          <w:tcPr>
            <w:tcW w:w="3920" w:type="dxa"/>
            <w:vAlign w:val="bottom"/>
          </w:tcPr>
          <w:p>
            <w:pPr>
              <w:ind w:left="960"/>
              <w:spacing w:after="0"/>
              <w:rPr>
                <w:sz w:val="20"/>
                <w:szCs w:val="20"/>
                <w:color w:val="auto"/>
              </w:rPr>
            </w:pPr>
            <w:r>
              <w:rPr>
                <w:rFonts w:ascii="Arial" w:cs="Arial" w:eastAsia="Arial" w:hAnsi="Arial"/>
                <w:sz w:val="18"/>
                <w:szCs w:val="18"/>
                <w:color w:val="auto"/>
              </w:rPr>
              <w:t>Switzerland</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Western Australian Mint (T/a The Perth Mint)</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Australia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00" w:type="dxa"/>
            <w:vAlign w:val="bottom"/>
          </w:tcPr>
          <w:p>
            <w:pPr>
              <w:ind w:left="560"/>
              <w:spacing w:after="0"/>
              <w:rPr>
                <w:sz w:val="20"/>
                <w:szCs w:val="20"/>
                <w:color w:val="auto"/>
              </w:rPr>
            </w:pPr>
            <w:r>
              <w:rPr>
                <w:rFonts w:ascii="Arial" w:cs="Arial" w:eastAsia="Arial" w:hAnsi="Arial"/>
                <w:sz w:val="18"/>
                <w:szCs w:val="18"/>
                <w:color w:val="auto"/>
              </w:rPr>
              <w:t>WIELAND Edelmetalle GmbH*</w:t>
            </w:r>
          </w:p>
        </w:tc>
        <w:tc>
          <w:tcPr>
            <w:tcW w:w="3920" w:type="dxa"/>
            <w:vAlign w:val="bottom"/>
          </w:tcPr>
          <w:p>
            <w:pPr>
              <w:ind w:left="960"/>
              <w:spacing w:after="0"/>
              <w:rPr>
                <w:sz w:val="20"/>
                <w:szCs w:val="20"/>
                <w:color w:val="auto"/>
              </w:rPr>
            </w:pPr>
            <w:r>
              <w:rPr>
                <w:rFonts w:ascii="Arial" w:cs="Arial" w:eastAsia="Arial" w:hAnsi="Arial"/>
                <w:sz w:val="18"/>
                <w:szCs w:val="18"/>
                <w:color w:val="auto"/>
              </w:rPr>
              <w:t>Germany</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Zhongyuan Gold Smelter of Zhongjin Gold Corporation</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AMG Brasil</w:t>
            </w:r>
          </w:p>
        </w:tc>
        <w:tc>
          <w:tcPr>
            <w:tcW w:w="3920" w:type="dxa"/>
            <w:vAlign w:val="bottom"/>
          </w:tcPr>
          <w:p>
            <w:pPr>
              <w:ind w:left="96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Changsha South Tantalum Niobium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D Block Metals, LLC</w:t>
            </w:r>
          </w:p>
        </w:tc>
        <w:tc>
          <w:tcPr>
            <w:tcW w:w="3920" w:type="dxa"/>
            <w:vAlign w:val="bottom"/>
          </w:tcPr>
          <w:p>
            <w:pPr>
              <w:ind w:left="96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Exotech Inc.*</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F&amp;X Electro-Materials Ltd.</w:t>
            </w:r>
          </w:p>
        </w:tc>
        <w:tc>
          <w:tcPr>
            <w:tcW w:w="3920" w:type="dxa"/>
            <w:vAlign w:val="bottom"/>
          </w:tcPr>
          <w:p>
            <w:pPr>
              <w:ind w:left="9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FIR Metals &amp; Resource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Global Advanced Metals Aizu*</w:t>
            </w:r>
          </w:p>
        </w:tc>
        <w:tc>
          <w:tcPr>
            <w:tcW w:w="3920" w:type="dxa"/>
            <w:vAlign w:val="bottom"/>
          </w:tcPr>
          <w:p>
            <w:pPr>
              <w:ind w:left="960"/>
              <w:spacing w:after="0"/>
              <w:rPr>
                <w:sz w:val="20"/>
                <w:szCs w:val="20"/>
                <w:color w:val="auto"/>
              </w:rPr>
            </w:pPr>
            <w:r>
              <w:rPr>
                <w:rFonts w:ascii="Arial" w:cs="Arial" w:eastAsia="Arial" w:hAnsi="Arial"/>
                <w:sz w:val="18"/>
                <w:szCs w:val="18"/>
                <w:color w:val="auto"/>
              </w:rPr>
              <w:t>Japan</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Global Advanced Metals Boyertown</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Hengyang King Xing Lifeng New Materials Co., Ltd.</w:t>
            </w:r>
          </w:p>
        </w:tc>
        <w:tc>
          <w:tcPr>
            <w:tcW w:w="3920" w:type="dxa"/>
            <w:vAlign w:val="bottom"/>
          </w:tcPr>
          <w:p>
            <w:pPr>
              <w:ind w:left="9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Jiangxi Dinghai Tantalum &amp; Niobium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Jiangxi Tuohong New Raw Material</w:t>
            </w:r>
          </w:p>
        </w:tc>
        <w:tc>
          <w:tcPr>
            <w:tcW w:w="3920" w:type="dxa"/>
            <w:vAlign w:val="bottom"/>
          </w:tcPr>
          <w:p>
            <w:pPr>
              <w:ind w:left="9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JiuJiang JinXin Nonferrous Metals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Jiujiang Tanbre Co., Ltd.</w:t>
            </w:r>
          </w:p>
        </w:tc>
        <w:tc>
          <w:tcPr>
            <w:tcW w:w="3920" w:type="dxa"/>
            <w:vAlign w:val="bottom"/>
          </w:tcPr>
          <w:p>
            <w:pPr>
              <w:ind w:left="9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Jiujiang Zhongao Tantalum &amp; Niobium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KEMET de Mexico</w:t>
            </w:r>
          </w:p>
        </w:tc>
        <w:tc>
          <w:tcPr>
            <w:tcW w:w="3920" w:type="dxa"/>
            <w:vAlign w:val="bottom"/>
          </w:tcPr>
          <w:p>
            <w:pPr>
              <w:ind w:left="960"/>
              <w:spacing w:after="0"/>
              <w:rPr>
                <w:sz w:val="20"/>
                <w:szCs w:val="20"/>
                <w:color w:val="auto"/>
              </w:rPr>
            </w:pPr>
            <w:r>
              <w:rPr>
                <w:rFonts w:ascii="Arial" w:cs="Arial" w:eastAsia="Arial" w:hAnsi="Arial"/>
                <w:sz w:val="18"/>
                <w:szCs w:val="18"/>
                <w:color w:val="auto"/>
              </w:rPr>
              <w:t>Mexico</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Materion Newton Inc.</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Metallurgical Products India Pvt., Ltd.</w:t>
            </w:r>
          </w:p>
        </w:tc>
        <w:tc>
          <w:tcPr>
            <w:tcW w:w="3920" w:type="dxa"/>
            <w:vAlign w:val="bottom"/>
          </w:tcPr>
          <w:p>
            <w:pPr>
              <w:ind w:left="960"/>
              <w:spacing w:after="0"/>
              <w:rPr>
                <w:sz w:val="20"/>
                <w:szCs w:val="20"/>
                <w:color w:val="auto"/>
              </w:rPr>
            </w:pPr>
            <w:r>
              <w:rPr>
                <w:rFonts w:ascii="Arial" w:cs="Arial" w:eastAsia="Arial" w:hAnsi="Arial"/>
                <w:sz w:val="18"/>
                <w:szCs w:val="18"/>
                <w:color w:val="auto"/>
              </w:rPr>
              <w:t>India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Mineracao Taboca S.A.</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Brazil</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Mitsui Mining and Smelting Co., Ltd.</w:t>
            </w:r>
          </w:p>
        </w:tc>
        <w:tc>
          <w:tcPr>
            <w:tcW w:w="3920" w:type="dxa"/>
            <w:vAlign w:val="bottom"/>
          </w:tcPr>
          <w:p>
            <w:pPr>
              <w:ind w:left="96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Ningxia Orient Tantalum Industry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NPM Silmet AS</w:t>
            </w:r>
          </w:p>
        </w:tc>
        <w:tc>
          <w:tcPr>
            <w:tcW w:w="3920" w:type="dxa"/>
            <w:vAlign w:val="bottom"/>
          </w:tcPr>
          <w:p>
            <w:pPr>
              <w:ind w:left="960"/>
              <w:spacing w:after="0"/>
              <w:rPr>
                <w:sz w:val="20"/>
                <w:szCs w:val="20"/>
                <w:color w:val="auto"/>
              </w:rPr>
            </w:pPr>
            <w:r>
              <w:rPr>
                <w:rFonts w:ascii="Arial" w:cs="Arial" w:eastAsia="Arial" w:hAnsi="Arial"/>
                <w:sz w:val="18"/>
                <w:szCs w:val="18"/>
                <w:color w:val="auto"/>
              </w:rPr>
              <w:t>Estonia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QSIL Metals Hermsdorf GmbH*</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Germany</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Resind Industria e Comercio Ltda.</w:t>
            </w:r>
          </w:p>
        </w:tc>
        <w:tc>
          <w:tcPr>
            <w:tcW w:w="3920" w:type="dxa"/>
            <w:vAlign w:val="bottom"/>
          </w:tcPr>
          <w:p>
            <w:pPr>
              <w:ind w:left="96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RFH Yancheng Jinye New Material Technology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TANIOBIS Co., Ltd.</w:t>
            </w:r>
          </w:p>
        </w:tc>
        <w:tc>
          <w:tcPr>
            <w:tcW w:w="3920" w:type="dxa"/>
            <w:vAlign w:val="bottom"/>
          </w:tcPr>
          <w:p>
            <w:pPr>
              <w:ind w:left="960"/>
              <w:spacing w:after="0"/>
              <w:rPr>
                <w:sz w:val="20"/>
                <w:szCs w:val="20"/>
                <w:color w:val="auto"/>
              </w:rPr>
            </w:pPr>
            <w:r>
              <w:rPr>
                <w:rFonts w:ascii="Arial" w:cs="Arial" w:eastAsia="Arial" w:hAnsi="Arial"/>
                <w:sz w:val="18"/>
                <w:szCs w:val="18"/>
                <w:color w:val="auto"/>
              </w:rPr>
              <w:t>Thailand</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TANIOBIS GmbH</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Germany</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TANIOBIS Japan Co., Ltd.</w:t>
            </w:r>
          </w:p>
        </w:tc>
        <w:tc>
          <w:tcPr>
            <w:tcW w:w="3920" w:type="dxa"/>
            <w:vAlign w:val="bottom"/>
          </w:tcPr>
          <w:p>
            <w:pPr>
              <w:ind w:left="96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TANIOBIS Smelting GmbH &amp; Co. KG</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Germany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58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408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Location</w:t>
            </w:r>
          </w:p>
        </w:tc>
      </w:tr>
      <w:tr>
        <w:trPr>
          <w:trHeight w:val="263"/>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tcPr>
          <w:p>
            <w:pPr>
              <w:ind w:left="560"/>
              <w:spacing w:after="0"/>
              <w:rPr>
                <w:sz w:val="20"/>
                <w:szCs w:val="20"/>
                <w:color w:val="auto"/>
              </w:rPr>
            </w:pPr>
            <w:r>
              <w:rPr>
                <w:rFonts w:ascii="Arial" w:cs="Arial" w:eastAsia="Arial" w:hAnsi="Arial"/>
                <w:sz w:val="18"/>
                <w:szCs w:val="18"/>
                <w:color w:val="auto"/>
              </w:rPr>
              <w:t>Telex Metals</w:t>
            </w:r>
          </w:p>
        </w:tc>
        <w:tc>
          <w:tcPr>
            <w:tcW w:w="4080" w:type="dxa"/>
            <w:vAlign w:val="bottom"/>
          </w:tcPr>
          <w:p>
            <w:pPr>
              <w:ind w:left="112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Ulba Metallurgical Plant JSC</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Kazakhstan</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tcPr>
          <w:p>
            <w:pPr>
              <w:ind w:left="560"/>
              <w:spacing w:after="0"/>
              <w:rPr>
                <w:sz w:val="20"/>
                <w:szCs w:val="20"/>
                <w:color w:val="auto"/>
              </w:rPr>
            </w:pPr>
            <w:r>
              <w:rPr>
                <w:rFonts w:ascii="Arial" w:cs="Arial" w:eastAsia="Arial" w:hAnsi="Arial"/>
                <w:sz w:val="18"/>
                <w:szCs w:val="18"/>
                <w:color w:val="auto"/>
              </w:rPr>
              <w:t>XIMEI RESOURCES (GUANGDONG) LIMITED</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XinXing HaoRong Electronic Material Co.,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tcPr>
          <w:p>
            <w:pPr>
              <w:ind w:left="560"/>
              <w:spacing w:after="0"/>
              <w:rPr>
                <w:sz w:val="20"/>
                <w:szCs w:val="20"/>
                <w:color w:val="auto"/>
              </w:rPr>
            </w:pPr>
            <w:r>
              <w:rPr>
                <w:rFonts w:ascii="Arial" w:cs="Arial" w:eastAsia="Arial" w:hAnsi="Arial"/>
                <w:sz w:val="18"/>
                <w:szCs w:val="18"/>
                <w:color w:val="auto"/>
              </w:rPr>
              <w:t>Yanling Jincheng Tantalum &amp; Niobium Co., Ltd.</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Alpha</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Aurubis Beerse</w:t>
            </w:r>
          </w:p>
        </w:tc>
        <w:tc>
          <w:tcPr>
            <w:tcW w:w="4080" w:type="dxa"/>
            <w:vAlign w:val="bottom"/>
          </w:tcPr>
          <w:p>
            <w:pPr>
              <w:ind w:left="1120"/>
              <w:spacing w:after="0"/>
              <w:rPr>
                <w:sz w:val="20"/>
                <w:szCs w:val="20"/>
                <w:color w:val="auto"/>
              </w:rPr>
            </w:pPr>
            <w:r>
              <w:rPr>
                <w:rFonts w:ascii="Arial" w:cs="Arial" w:eastAsia="Arial" w:hAnsi="Arial"/>
                <w:sz w:val="18"/>
                <w:szCs w:val="18"/>
                <w:color w:val="auto"/>
              </w:rPr>
              <w:t>Belgium</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Aurubis Berango</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Spain</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Chenzhou Yunxiang Mining and Metallurgy Co., Ltd.</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Chifeng Dajingzi Tin Industry Co.,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China Tin Group Co., Ltd.</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CV Ayi Jaya</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CV Venus Inti Perkasa</w:t>
            </w:r>
          </w:p>
        </w:tc>
        <w:tc>
          <w:tcPr>
            <w:tcW w:w="408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DS Myanmar</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Myanmar</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EM Vinto</w:t>
            </w:r>
          </w:p>
        </w:tc>
        <w:tc>
          <w:tcPr>
            <w:tcW w:w="4080" w:type="dxa"/>
            <w:vAlign w:val="bottom"/>
          </w:tcPr>
          <w:p>
            <w:pPr>
              <w:ind w:left="1120"/>
              <w:spacing w:after="0"/>
              <w:rPr>
                <w:sz w:val="20"/>
                <w:szCs w:val="20"/>
                <w:color w:val="auto"/>
              </w:rPr>
            </w:pPr>
            <w:r>
              <w:rPr>
                <w:rFonts w:ascii="Arial" w:cs="Arial" w:eastAsia="Arial" w:hAnsi="Arial"/>
                <w:sz w:val="18"/>
                <w:szCs w:val="18"/>
                <w:color w:val="auto"/>
              </w:rPr>
              <w:t>Bolivia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Estanho de Rondonia S.A.</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Fabrica Auricchio Industria e Comercio Ltda.</w:t>
            </w:r>
          </w:p>
        </w:tc>
        <w:tc>
          <w:tcPr>
            <w:tcW w:w="4080" w:type="dxa"/>
            <w:vAlign w:val="bottom"/>
          </w:tcPr>
          <w:p>
            <w:pPr>
              <w:ind w:left="1120"/>
              <w:spacing w:after="0"/>
              <w:rPr>
                <w:sz w:val="20"/>
                <w:szCs w:val="20"/>
                <w:color w:val="auto"/>
              </w:rPr>
            </w:pPr>
            <w:r>
              <w:rPr>
                <w:rFonts w:ascii="Arial" w:cs="Arial" w:eastAsia="Arial" w:hAnsi="Arial"/>
                <w:sz w:val="18"/>
                <w:szCs w:val="18"/>
                <w:color w:val="auto"/>
              </w:rPr>
              <w:t>Brazil</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Fenix Metals</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Poland</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Gejiu Non-Ferrous Metal Processing Co., Ltd.</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Gejiu Zili Mining And Metallurgy Co.,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Guangdong Hanhe Non-Ferrous Metal Co., Ltd.</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HuiChang Hill Tin Industry Co.,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Jiangxi New Nanshan Technology Ltd.</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Luna Smelter,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Rwanda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Ma'anshan Weitai Tin Co., Ltd.*</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Magnu's Minerais Metais e Ligas Ltda.</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Malaysia Smelting Corporation (MSC)</w:t>
            </w:r>
          </w:p>
        </w:tc>
        <w:tc>
          <w:tcPr>
            <w:tcW w:w="4080" w:type="dxa"/>
            <w:vAlign w:val="bottom"/>
          </w:tcPr>
          <w:p>
            <w:pPr>
              <w:ind w:left="1120"/>
              <w:spacing w:after="0"/>
              <w:rPr>
                <w:sz w:val="20"/>
                <w:szCs w:val="20"/>
                <w:color w:val="auto"/>
              </w:rPr>
            </w:pPr>
            <w:r>
              <w:rPr>
                <w:rFonts w:ascii="Arial" w:cs="Arial" w:eastAsia="Arial" w:hAnsi="Arial"/>
                <w:sz w:val="18"/>
                <w:szCs w:val="18"/>
                <w:color w:val="auto"/>
              </w:rPr>
              <w:t>Malaysia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Metallic Resources, Inc.</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Mineracao Taboca S.A.</w:t>
            </w:r>
          </w:p>
        </w:tc>
        <w:tc>
          <w:tcPr>
            <w:tcW w:w="4080" w:type="dxa"/>
            <w:vAlign w:val="bottom"/>
          </w:tcPr>
          <w:p>
            <w:pPr>
              <w:ind w:left="112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Minsur</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Peru</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Operaciones Metalurgicas S.A.</w:t>
            </w:r>
          </w:p>
        </w:tc>
        <w:tc>
          <w:tcPr>
            <w:tcW w:w="4080" w:type="dxa"/>
            <w:vAlign w:val="bottom"/>
          </w:tcPr>
          <w:p>
            <w:pPr>
              <w:ind w:left="1120"/>
              <w:spacing w:after="0"/>
              <w:rPr>
                <w:sz w:val="20"/>
                <w:szCs w:val="20"/>
                <w:color w:val="auto"/>
              </w:rPr>
            </w:pPr>
            <w:r>
              <w:rPr>
                <w:rFonts w:ascii="Arial" w:cs="Arial" w:eastAsia="Arial" w:hAnsi="Arial"/>
                <w:sz w:val="18"/>
                <w:szCs w:val="18"/>
                <w:color w:val="auto"/>
              </w:rPr>
              <w:t>Bolivia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Aries Kencana Sejahtera</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PT Artha Cipta Langgeng</w:t>
            </w:r>
          </w:p>
        </w:tc>
        <w:tc>
          <w:tcPr>
            <w:tcW w:w="408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ATD Makmur Mandiri Jaya</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PT Babel Inti Perkasa</w:t>
            </w:r>
          </w:p>
        </w:tc>
        <w:tc>
          <w:tcPr>
            <w:tcW w:w="408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Babel Surya Alam Lestari</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PT Bangka Serumpun</w:t>
            </w:r>
          </w:p>
        </w:tc>
        <w:tc>
          <w:tcPr>
            <w:tcW w:w="408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Bukit Timah</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PT Cipta Persada Mulia</w:t>
            </w:r>
          </w:p>
        </w:tc>
        <w:tc>
          <w:tcPr>
            <w:tcW w:w="408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Menara Cipta Mulia</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Indonesia</w:t>
            </w:r>
          </w:p>
        </w:tc>
      </w:tr>
      <w:tr>
        <w:trPr>
          <w:trHeight w:val="23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PT Mitra Stania Prima</w:t>
            </w:r>
          </w:p>
        </w:tc>
        <w:tc>
          <w:tcPr>
            <w:tcW w:w="4080" w:type="dxa"/>
            <w:vAlign w:val="bottom"/>
          </w:tcPr>
          <w:p>
            <w:pPr>
              <w:ind w:left="1120"/>
              <w:spacing w:after="0"/>
              <w:rPr>
                <w:sz w:val="20"/>
                <w:szCs w:val="20"/>
                <w:color w:val="auto"/>
              </w:rPr>
            </w:pPr>
            <w:r>
              <w:rPr>
                <w:rFonts w:ascii="Arial" w:cs="Arial" w:eastAsia="Arial" w:hAnsi="Arial"/>
                <w:sz w:val="18"/>
                <w:szCs w:val="18"/>
                <w:color w:val="auto"/>
              </w:rPr>
              <w:t>Indonesia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8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3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34"/>
        </w:trPr>
        <w:tc>
          <w:tcPr>
            <w:tcW w:w="13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Mitra Sukses Globalindo</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PT Prima Timah Utama</w:t>
            </w:r>
          </w:p>
        </w:tc>
        <w:tc>
          <w:tcPr>
            <w:tcW w:w="306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Putera Sarana Shakti (PT PSS)</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PT Rajawali Rimba Perkasa</w:t>
            </w:r>
          </w:p>
        </w:tc>
        <w:tc>
          <w:tcPr>
            <w:tcW w:w="306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Rajehan Ariq</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PT Refined Bangka Tin</w:t>
            </w:r>
          </w:p>
        </w:tc>
        <w:tc>
          <w:tcPr>
            <w:tcW w:w="306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Sariwiguna Binasentosa</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PT Stanindo Inti Perkasa</w:t>
            </w:r>
          </w:p>
        </w:tc>
        <w:tc>
          <w:tcPr>
            <w:tcW w:w="306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Sukses Inti Makmur (SIM)</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PT Timah Nusantara</w:t>
            </w:r>
          </w:p>
        </w:tc>
        <w:tc>
          <w:tcPr>
            <w:tcW w:w="306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Timah Tbk Kundur</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PT Timah Tbk Mentok</w:t>
            </w:r>
          </w:p>
        </w:tc>
        <w:tc>
          <w:tcPr>
            <w:tcW w:w="306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Tinindo Inter Nusa</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PT Tommy Utama</w:t>
            </w:r>
          </w:p>
        </w:tc>
        <w:tc>
          <w:tcPr>
            <w:tcW w:w="306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Resind Industria e Comercio Ltda.</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Rui Da Hung</w:t>
            </w:r>
          </w:p>
        </w:tc>
        <w:tc>
          <w:tcPr>
            <w:tcW w:w="3060" w:type="dxa"/>
            <w:vAlign w:val="bottom"/>
          </w:tcPr>
          <w:p>
            <w:pPr>
              <w:ind w:left="10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Soft Metais Ltda.*</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Thaisarco</w:t>
            </w:r>
          </w:p>
        </w:tc>
        <w:tc>
          <w:tcPr>
            <w:tcW w:w="3060" w:type="dxa"/>
            <w:vAlign w:val="bottom"/>
          </w:tcPr>
          <w:p>
            <w:pPr>
              <w:ind w:left="10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Tin Smelting Branch of Yunnan Tin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White Solder Metalurgia e Mineracao Ltda.</w:t>
            </w:r>
          </w:p>
        </w:tc>
        <w:tc>
          <w:tcPr>
            <w:tcW w:w="3060" w:type="dxa"/>
            <w:vAlign w:val="bottom"/>
          </w:tcPr>
          <w:p>
            <w:pPr>
              <w:ind w:left="1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Yunnan Chengfeng Non-ferrous Metals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A.L.M.T. Corp.</w:t>
            </w:r>
          </w:p>
        </w:tc>
        <w:tc>
          <w:tcPr>
            <w:tcW w:w="3060" w:type="dxa"/>
            <w:vAlign w:val="bottom"/>
          </w:tcPr>
          <w:p>
            <w:pPr>
              <w:ind w:left="1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ACL Metais Eireli*</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Asia Tungsten Products Vietnam Ltd.</w:t>
            </w:r>
          </w:p>
        </w:tc>
        <w:tc>
          <w:tcPr>
            <w:tcW w:w="3060" w:type="dxa"/>
            <w:vAlign w:val="bottom"/>
          </w:tcPr>
          <w:p>
            <w:pPr>
              <w:ind w:left="100"/>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China Molybdenum Tungsten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Chongyi Zhangyuan Tungsten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Cronimet Brasil Ltda</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Fujian Ganmin RareMetal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Fujian Xinlu Tungsten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Ganzhou Haichuang Tungsten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Ganzhou Huaxing Tungsten Products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Ganzhou Jiangwu Ferrotungsten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Ganzhou Seadragon W &amp; Mo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Global Tungsten &amp; Powders LLC</w:t>
            </w:r>
          </w:p>
        </w:tc>
        <w:tc>
          <w:tcPr>
            <w:tcW w:w="306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Guangdong Xianglu Tungsten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H.C. Starck Tungsten GmbH</w:t>
            </w:r>
          </w:p>
        </w:tc>
        <w:tc>
          <w:tcPr>
            <w:tcW w:w="3060" w:type="dxa"/>
            <w:vAlign w:val="bottom"/>
          </w:tcPr>
          <w:p>
            <w:pPr>
              <w:ind w:left="10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Hunan Chenzhou Mining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Hunan Jintai New Material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5"/>
        </w:trPr>
        <w:tc>
          <w:tcPr>
            <w:tcW w:w="132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line="176" w:lineRule="exact"/>
              <w:rPr>
                <w:sz w:val="20"/>
                <w:szCs w:val="20"/>
                <w:color w:val="auto"/>
              </w:rPr>
            </w:pPr>
            <w:r>
              <w:rPr>
                <w:rFonts w:ascii="Arial" w:cs="Arial" w:eastAsia="Arial" w:hAnsi="Arial"/>
                <w:sz w:val="18"/>
                <w:szCs w:val="18"/>
                <w:color w:val="auto"/>
              </w:rPr>
              <w:t>Hunan Shizhuyuan Nonferrous Metals Co., Ltd. Chenzhou Tungsten Products</w:t>
            </w:r>
          </w:p>
        </w:tc>
        <w:tc>
          <w:tcPr>
            <w:tcW w:w="3060" w:type="dxa"/>
            <w:vAlign w:val="bottom"/>
            <w:vMerge w:val="restart"/>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53"/>
        </w:trPr>
        <w:tc>
          <w:tcPr>
            <w:tcW w:w="1320" w:type="dxa"/>
            <w:vAlign w:val="bottom"/>
            <w:vMerge w:val="continue"/>
            <w:shd w:val="clear" w:color="auto" w:fill="DBDBDB"/>
          </w:tcPr>
          <w:p>
            <w:pPr>
              <w:spacing w:after="0"/>
              <w:rPr>
                <w:sz w:val="13"/>
                <w:szCs w:val="13"/>
                <w:color w:val="auto"/>
              </w:rPr>
            </w:pPr>
          </w:p>
        </w:tc>
        <w:tc>
          <w:tcPr>
            <w:tcW w:w="6860" w:type="dxa"/>
            <w:vAlign w:val="bottom"/>
            <w:vMerge w:val="restart"/>
            <w:shd w:val="clear" w:color="auto" w:fill="DBDBDB"/>
          </w:tcPr>
          <w:p>
            <w:pPr>
              <w:ind w:left="560"/>
              <w:spacing w:after="0"/>
              <w:rPr>
                <w:sz w:val="20"/>
                <w:szCs w:val="20"/>
                <w:color w:val="auto"/>
              </w:rPr>
            </w:pPr>
            <w:r>
              <w:rPr>
                <w:rFonts w:ascii="Arial" w:cs="Arial" w:eastAsia="Arial" w:hAnsi="Arial"/>
                <w:sz w:val="18"/>
                <w:szCs w:val="18"/>
                <w:color w:val="auto"/>
              </w:rPr>
              <w:t>Branch</w:t>
            </w:r>
          </w:p>
        </w:tc>
        <w:tc>
          <w:tcPr>
            <w:tcW w:w="3060" w:type="dxa"/>
            <w:vAlign w:val="bottom"/>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320" w:type="dxa"/>
            <w:vAlign w:val="bottom"/>
            <w:shd w:val="clear" w:color="auto" w:fill="DBDBDB"/>
          </w:tcPr>
          <w:p>
            <w:pPr>
              <w:spacing w:after="0"/>
              <w:rPr>
                <w:sz w:val="7"/>
                <w:szCs w:val="7"/>
                <w:color w:val="auto"/>
              </w:rPr>
            </w:pPr>
          </w:p>
        </w:tc>
        <w:tc>
          <w:tcPr>
            <w:tcW w:w="6860" w:type="dxa"/>
            <w:vAlign w:val="bottom"/>
            <w:vMerge w:val="continue"/>
            <w:shd w:val="clear" w:color="auto" w:fill="DBDBDB"/>
          </w:tcPr>
          <w:p>
            <w:pPr>
              <w:spacing w:after="0"/>
              <w:rPr>
                <w:sz w:val="7"/>
                <w:szCs w:val="7"/>
                <w:color w:val="auto"/>
              </w:rPr>
            </w:pPr>
          </w:p>
        </w:tc>
        <w:tc>
          <w:tcPr>
            <w:tcW w:w="306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Japan New Metals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Jiangwu H.C. Starck Tungsten Products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3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35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Location</w:t>
            </w:r>
          </w:p>
        </w:tc>
      </w:tr>
      <w:tr>
        <w:trPr>
          <w:trHeight w:val="264"/>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tcPr>
          <w:p>
            <w:pPr>
              <w:ind w:left="560"/>
              <w:spacing w:after="0"/>
              <w:rPr>
                <w:sz w:val="20"/>
                <w:szCs w:val="20"/>
                <w:color w:val="auto"/>
              </w:rPr>
            </w:pPr>
            <w:r>
              <w:rPr>
                <w:rFonts w:ascii="Arial" w:cs="Arial" w:eastAsia="Arial" w:hAnsi="Arial"/>
                <w:sz w:val="18"/>
                <w:szCs w:val="18"/>
                <w:color w:val="auto"/>
              </w:rPr>
              <w:t>Jiangxi Gan Bei Tungsten Co., Ltd.</w:t>
            </w:r>
          </w:p>
        </w:tc>
        <w:tc>
          <w:tcPr>
            <w:tcW w:w="3580" w:type="dxa"/>
            <w:vAlign w:val="bottom"/>
          </w:tcPr>
          <w:p>
            <w:pPr>
              <w:ind w:left="6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Jiangxi Tonggu Non-ferrous Metallurgical &amp; Chemical Co., Ltd.</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tcPr>
          <w:p>
            <w:pPr>
              <w:ind w:left="560"/>
              <w:spacing w:after="0"/>
              <w:rPr>
                <w:sz w:val="20"/>
                <w:szCs w:val="20"/>
                <w:color w:val="auto"/>
              </w:rPr>
            </w:pPr>
            <w:r>
              <w:rPr>
                <w:rFonts w:ascii="Arial" w:cs="Arial" w:eastAsia="Arial" w:hAnsi="Arial"/>
                <w:sz w:val="18"/>
                <w:szCs w:val="18"/>
                <w:color w:val="auto"/>
              </w:rPr>
              <w:t>Jiangxi Xinsheng Tungsten Industry Co., Ltd.</w:t>
            </w:r>
          </w:p>
        </w:tc>
        <w:tc>
          <w:tcPr>
            <w:tcW w:w="3580" w:type="dxa"/>
            <w:vAlign w:val="bottom"/>
          </w:tcPr>
          <w:p>
            <w:pPr>
              <w:ind w:left="6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Jiangxi Yaosheng Tungsten Co., Ltd.</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tcPr>
          <w:p>
            <w:pPr>
              <w:ind w:left="560"/>
              <w:spacing w:after="0"/>
              <w:rPr>
                <w:sz w:val="20"/>
                <w:szCs w:val="20"/>
                <w:color w:val="auto"/>
              </w:rPr>
            </w:pPr>
            <w:r>
              <w:rPr>
                <w:rFonts w:ascii="Arial" w:cs="Arial" w:eastAsia="Arial" w:hAnsi="Arial"/>
                <w:sz w:val="18"/>
                <w:szCs w:val="18"/>
                <w:color w:val="auto"/>
              </w:rPr>
              <w:t>Kennametal Fallon</w:t>
            </w:r>
          </w:p>
        </w:tc>
        <w:tc>
          <w:tcPr>
            <w:tcW w:w="3580" w:type="dxa"/>
            <w:vAlign w:val="bottom"/>
          </w:tcPr>
          <w:p>
            <w:pPr>
              <w:ind w:left="62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Kennametal Huntsville</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tcPr>
          <w:p>
            <w:pPr>
              <w:ind w:left="560"/>
              <w:spacing w:after="0"/>
              <w:rPr>
                <w:sz w:val="20"/>
                <w:szCs w:val="20"/>
                <w:color w:val="auto"/>
              </w:rPr>
            </w:pPr>
            <w:r>
              <w:rPr>
                <w:rFonts w:ascii="Arial" w:cs="Arial" w:eastAsia="Arial" w:hAnsi="Arial"/>
                <w:sz w:val="18"/>
                <w:szCs w:val="18"/>
                <w:color w:val="auto"/>
              </w:rPr>
              <w:t>Malipo Haiyu Tungsten Co., Ltd.</w:t>
            </w:r>
          </w:p>
        </w:tc>
        <w:tc>
          <w:tcPr>
            <w:tcW w:w="3580" w:type="dxa"/>
            <w:vAlign w:val="bottom"/>
          </w:tcPr>
          <w:p>
            <w:pPr>
              <w:ind w:left="6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Masan High-Tech Materials</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Vietnam</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tcPr>
          <w:p>
            <w:pPr>
              <w:ind w:left="560"/>
              <w:spacing w:after="0"/>
              <w:rPr>
                <w:sz w:val="20"/>
                <w:szCs w:val="20"/>
                <w:color w:val="auto"/>
              </w:rPr>
            </w:pPr>
            <w:r>
              <w:rPr>
                <w:rFonts w:ascii="Arial" w:cs="Arial" w:eastAsia="Arial" w:hAnsi="Arial"/>
                <w:sz w:val="18"/>
                <w:szCs w:val="18"/>
                <w:color w:val="auto"/>
              </w:rPr>
              <w:t>Moliren Ltd.†</w:t>
            </w:r>
          </w:p>
        </w:tc>
        <w:tc>
          <w:tcPr>
            <w:tcW w:w="3580" w:type="dxa"/>
            <w:vAlign w:val="bottom"/>
          </w:tcPr>
          <w:p>
            <w:pPr>
              <w:ind w:left="620"/>
              <w:spacing w:after="0"/>
              <w:rPr>
                <w:sz w:val="20"/>
                <w:szCs w:val="20"/>
                <w:color w:val="auto"/>
              </w:rPr>
            </w:pPr>
            <w:r>
              <w:rPr>
                <w:rFonts w:ascii="Arial" w:cs="Arial" w:eastAsia="Arial" w:hAnsi="Arial"/>
                <w:sz w:val="18"/>
                <w:szCs w:val="18"/>
                <w:color w:val="auto"/>
              </w:rPr>
              <w:t>Russia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Niagara Refining LLC</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tcPr>
          <w:p>
            <w:pPr>
              <w:ind w:left="560"/>
              <w:spacing w:after="0"/>
              <w:rPr>
                <w:sz w:val="20"/>
                <w:szCs w:val="20"/>
                <w:color w:val="auto"/>
              </w:rPr>
            </w:pPr>
            <w:r>
              <w:rPr>
                <w:rFonts w:ascii="Arial" w:cs="Arial" w:eastAsia="Arial" w:hAnsi="Arial"/>
                <w:sz w:val="18"/>
                <w:szCs w:val="18"/>
                <w:color w:val="auto"/>
              </w:rPr>
              <w:t>Philippine Chuangxin Industrial Co., Inc.</w:t>
            </w:r>
          </w:p>
        </w:tc>
        <w:tc>
          <w:tcPr>
            <w:tcW w:w="3580" w:type="dxa"/>
            <w:vAlign w:val="bottom"/>
          </w:tcPr>
          <w:p>
            <w:pPr>
              <w:ind w:left="620"/>
              <w:spacing w:after="0"/>
              <w:rPr>
                <w:sz w:val="20"/>
                <w:szCs w:val="20"/>
                <w:color w:val="auto"/>
              </w:rPr>
            </w:pPr>
            <w:r>
              <w:rPr>
                <w:rFonts w:ascii="Arial" w:cs="Arial" w:eastAsia="Arial" w:hAnsi="Arial"/>
                <w:sz w:val="18"/>
                <w:szCs w:val="18"/>
                <w:color w:val="auto"/>
              </w:rPr>
              <w:t>Philippines</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TANIOBIS Smelting GmbH &amp; Co. KG</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Germany</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tcPr>
          <w:p>
            <w:pPr>
              <w:ind w:left="560"/>
              <w:spacing w:after="0"/>
              <w:rPr>
                <w:sz w:val="20"/>
                <w:szCs w:val="20"/>
                <w:color w:val="auto"/>
              </w:rPr>
            </w:pPr>
            <w:r>
              <w:rPr>
                <w:rFonts w:ascii="Arial" w:cs="Arial" w:eastAsia="Arial" w:hAnsi="Arial"/>
                <w:sz w:val="18"/>
                <w:szCs w:val="18"/>
                <w:color w:val="auto"/>
              </w:rPr>
              <w:t>Wolfram Bergbau und Hutten AG</w:t>
            </w:r>
          </w:p>
        </w:tc>
        <w:tc>
          <w:tcPr>
            <w:tcW w:w="3580" w:type="dxa"/>
            <w:vAlign w:val="bottom"/>
          </w:tcPr>
          <w:p>
            <w:pPr>
              <w:ind w:left="620"/>
              <w:spacing w:after="0"/>
              <w:rPr>
                <w:sz w:val="20"/>
                <w:szCs w:val="20"/>
                <w:color w:val="auto"/>
              </w:rPr>
            </w:pPr>
            <w:r>
              <w:rPr>
                <w:rFonts w:ascii="Arial" w:cs="Arial" w:eastAsia="Arial" w:hAnsi="Arial"/>
                <w:sz w:val="18"/>
                <w:szCs w:val="18"/>
                <w:color w:val="auto"/>
              </w:rPr>
              <w:t>Austria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Xiamen Tungsten (H.C.) Co., Ltd.</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tcPr>
          <w:p>
            <w:pPr>
              <w:ind w:left="560"/>
              <w:spacing w:after="0"/>
              <w:rPr>
                <w:sz w:val="20"/>
                <w:szCs w:val="20"/>
                <w:color w:val="auto"/>
              </w:rPr>
            </w:pPr>
            <w:r>
              <w:rPr>
                <w:rFonts w:ascii="Arial" w:cs="Arial" w:eastAsia="Arial" w:hAnsi="Arial"/>
                <w:sz w:val="18"/>
                <w:szCs w:val="18"/>
                <w:color w:val="auto"/>
              </w:rPr>
              <w:t>Xiamen Tungsten Co., Ltd.</w:t>
            </w:r>
          </w:p>
        </w:tc>
        <w:tc>
          <w:tcPr>
            <w:tcW w:w="3580" w:type="dxa"/>
            <w:vAlign w:val="bottom"/>
          </w:tcPr>
          <w:p>
            <w:pPr>
              <w:ind w:left="6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Xinfeng Huarui Tungsten &amp; Molybdenum New Material Co., Ltd.*</w:t>
            </w:r>
          </w:p>
        </w:tc>
        <w:tc>
          <w:tcPr>
            <w:tcW w:w="3580" w:type="dxa"/>
            <w:vAlign w:val="bottom"/>
            <w:shd w:val="clear" w:color="auto" w:fill="DBDBDB"/>
          </w:tcPr>
          <w:p>
            <w:pPr>
              <w:ind w:left="620"/>
              <w:spacing w:after="0"/>
              <w:rPr>
                <w:sz w:val="20"/>
                <w:szCs w:val="20"/>
                <w:color w:val="auto"/>
              </w:rPr>
            </w:pPr>
            <w:r>
              <w:rPr>
                <w:rFonts w:ascii="Arial" w:cs="Arial" w:eastAsia="Arial" w:hAnsi="Arial"/>
                <w:sz w:val="18"/>
                <w:szCs w:val="18"/>
                <w:color w:val="auto"/>
              </w:rPr>
              <w:t>China</w:t>
            </w:r>
          </w:p>
        </w:tc>
      </w:tr>
    </w:tbl>
    <w:p>
      <w:pPr>
        <w:spacing w:after="0" w:line="319"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smelter/refiner was reported to be in our memory and storage products supply chain during 2023 and was subsequently determined,</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on or prior to December 31, 2023, to be inoperative or removed. Up-to-date information on the validation status of smelters and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refiners participating in the RMAP is available at responsiblemineralsinitiative.org/smelters-refiners-lists.</w:t>
      </w:r>
    </w:p>
    <w:p>
      <w:pPr>
        <w:ind w:left="660" w:right="540" w:hanging="652"/>
        <w:spacing w:after="0" w:line="242"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refiner was listed as Active with RMI as of December 31, 2023. As described in the Conflict Minerals Report, as a result of our continued diligence efforts, the Active refiner was removed from our supply chain in 2024.</w:t>
      </w:r>
    </w:p>
    <w:p>
      <w:pPr>
        <w:spacing w:after="0" w:line="1" w:lineRule="exact"/>
        <w:rPr>
          <w:sz w:val="20"/>
          <w:szCs w:val="20"/>
          <w:color w:val="auto"/>
        </w:rPr>
      </w:pPr>
    </w:p>
    <w:p>
      <w:pPr>
        <w:ind w:left="660" w:right="380" w:hanging="652"/>
        <w:spacing w:after="0" w:line="266" w:lineRule="auto"/>
        <w:tabs>
          <w:tab w:leader="none" w:pos="3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smelter was removed from our supply chain on or prior to December 31, 2023 due to sanctions imposed on Russia and resulting changes to the smelter’s RMAP conformance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Arial" w:cs="Arial" w:eastAsia="Arial" w:hAnsi="Arial"/>
          <w:sz w:val="40"/>
          <w:szCs w:val="40"/>
          <w:b w:val="1"/>
          <w:bCs w:val="1"/>
          <w:color w:val="auto"/>
        </w:rPr>
        <w:t>Appendix B</w:t>
      </w:r>
    </w:p>
    <w:p>
      <w:pPr>
        <w:spacing w:after="0" w:line="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Aggregated Countries of Origin List</w:t>
      </w:r>
    </w:p>
    <w:p>
      <w:pPr>
        <w:spacing w:after="0" w:line="23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table sets forth an aggregated list of countries (or regions) of origin for 3TG metals that may be in our products based on information available from RMI on countries of origin for smelters or refiners that have been validated as Conformant with the RMAP. Due to confidential business information concerns, RMI provides this country of origin information on an aggregated basis. This table reflects information available from RMI as of December 31,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Algeria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Ecuador</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Liechtenstein</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Saudi Arabia</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Andorra</w:t>
            </w:r>
          </w:p>
        </w:tc>
        <w:tc>
          <w:tcPr>
            <w:tcW w:w="2360" w:type="dxa"/>
            <w:vAlign w:val="bottom"/>
          </w:tcPr>
          <w:p>
            <w:pPr>
              <w:ind w:left="360"/>
              <w:spacing w:after="0"/>
              <w:rPr>
                <w:sz w:val="20"/>
                <w:szCs w:val="20"/>
                <w:color w:val="auto"/>
              </w:rPr>
            </w:pPr>
            <w:r>
              <w:rPr>
                <w:rFonts w:ascii="Arial" w:cs="Arial" w:eastAsia="Arial" w:hAnsi="Arial"/>
                <w:sz w:val="18"/>
                <w:szCs w:val="18"/>
                <w:color w:val="auto"/>
              </w:rPr>
              <w:t>Egypt</w:t>
            </w:r>
          </w:p>
        </w:tc>
        <w:tc>
          <w:tcPr>
            <w:tcW w:w="3040" w:type="dxa"/>
            <w:vAlign w:val="bottom"/>
          </w:tcPr>
          <w:p>
            <w:pPr>
              <w:ind w:left="800"/>
              <w:spacing w:after="0"/>
              <w:rPr>
                <w:sz w:val="20"/>
                <w:szCs w:val="20"/>
                <w:color w:val="auto"/>
              </w:rPr>
            </w:pPr>
            <w:r>
              <w:rPr>
                <w:rFonts w:ascii="Arial" w:cs="Arial" w:eastAsia="Arial" w:hAnsi="Arial"/>
                <w:sz w:val="18"/>
                <w:szCs w:val="18"/>
                <w:color w:val="auto"/>
              </w:rPr>
              <w:t>Lithuania</w:t>
            </w:r>
          </w:p>
        </w:tc>
        <w:tc>
          <w:tcPr>
            <w:tcW w:w="3360" w:type="dxa"/>
            <w:vAlign w:val="bottom"/>
          </w:tcPr>
          <w:p>
            <w:pPr>
              <w:ind w:left="580"/>
              <w:spacing w:after="0"/>
              <w:rPr>
                <w:sz w:val="20"/>
                <w:szCs w:val="20"/>
                <w:color w:val="auto"/>
              </w:rPr>
            </w:pPr>
            <w:r>
              <w:rPr>
                <w:rFonts w:ascii="Arial" w:cs="Arial" w:eastAsia="Arial" w:hAnsi="Arial"/>
                <w:sz w:val="18"/>
                <w:szCs w:val="18"/>
                <w:color w:val="auto"/>
              </w:rPr>
              <w:t>Senegal</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Antigua and Barbuda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El Salvador</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Luxembourg</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Serbia</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Argentina</w:t>
            </w:r>
          </w:p>
        </w:tc>
        <w:tc>
          <w:tcPr>
            <w:tcW w:w="2360" w:type="dxa"/>
            <w:vAlign w:val="bottom"/>
          </w:tcPr>
          <w:p>
            <w:pPr>
              <w:ind w:left="360"/>
              <w:spacing w:after="0"/>
              <w:rPr>
                <w:sz w:val="20"/>
                <w:szCs w:val="20"/>
                <w:color w:val="auto"/>
              </w:rPr>
            </w:pPr>
            <w:r>
              <w:rPr>
                <w:rFonts w:ascii="Arial" w:cs="Arial" w:eastAsia="Arial" w:hAnsi="Arial"/>
                <w:sz w:val="18"/>
                <w:szCs w:val="18"/>
                <w:color w:val="auto"/>
              </w:rPr>
              <w:t>Estonia</w:t>
            </w:r>
          </w:p>
        </w:tc>
        <w:tc>
          <w:tcPr>
            <w:tcW w:w="3040" w:type="dxa"/>
            <w:vAlign w:val="bottom"/>
          </w:tcPr>
          <w:p>
            <w:pPr>
              <w:ind w:left="800"/>
              <w:spacing w:after="0"/>
              <w:rPr>
                <w:sz w:val="20"/>
                <w:szCs w:val="20"/>
                <w:color w:val="auto"/>
              </w:rPr>
            </w:pPr>
            <w:r>
              <w:rPr>
                <w:rFonts w:ascii="Arial" w:cs="Arial" w:eastAsia="Arial" w:hAnsi="Arial"/>
                <w:sz w:val="18"/>
                <w:szCs w:val="18"/>
                <w:color w:val="auto"/>
              </w:rPr>
              <w:t>Macau</w:t>
            </w:r>
          </w:p>
        </w:tc>
        <w:tc>
          <w:tcPr>
            <w:tcW w:w="3360" w:type="dxa"/>
            <w:vAlign w:val="bottom"/>
          </w:tcPr>
          <w:p>
            <w:pPr>
              <w:ind w:left="580"/>
              <w:spacing w:after="0"/>
              <w:rPr>
                <w:sz w:val="20"/>
                <w:szCs w:val="20"/>
                <w:color w:val="auto"/>
              </w:rPr>
            </w:pPr>
            <w:r>
              <w:rPr>
                <w:rFonts w:ascii="Arial" w:cs="Arial" w:eastAsia="Arial" w:hAnsi="Arial"/>
                <w:sz w:val="18"/>
                <w:szCs w:val="18"/>
                <w:color w:val="auto"/>
              </w:rPr>
              <w:t>Sierra Leone</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Australia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Fiji</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Madagascar</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Singapore</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Austria</w:t>
            </w:r>
          </w:p>
        </w:tc>
        <w:tc>
          <w:tcPr>
            <w:tcW w:w="2360" w:type="dxa"/>
            <w:vAlign w:val="bottom"/>
          </w:tcPr>
          <w:p>
            <w:pPr>
              <w:ind w:left="360"/>
              <w:spacing w:after="0"/>
              <w:rPr>
                <w:sz w:val="20"/>
                <w:szCs w:val="20"/>
                <w:color w:val="auto"/>
              </w:rPr>
            </w:pPr>
            <w:r>
              <w:rPr>
                <w:rFonts w:ascii="Arial" w:cs="Arial" w:eastAsia="Arial" w:hAnsi="Arial"/>
                <w:sz w:val="18"/>
                <w:szCs w:val="18"/>
                <w:color w:val="auto"/>
              </w:rPr>
              <w:t>Finland</w:t>
            </w:r>
          </w:p>
        </w:tc>
        <w:tc>
          <w:tcPr>
            <w:tcW w:w="3040" w:type="dxa"/>
            <w:vAlign w:val="bottom"/>
          </w:tcPr>
          <w:p>
            <w:pPr>
              <w:ind w:left="800"/>
              <w:spacing w:after="0"/>
              <w:rPr>
                <w:sz w:val="20"/>
                <w:szCs w:val="20"/>
                <w:color w:val="auto"/>
              </w:rPr>
            </w:pPr>
            <w:r>
              <w:rPr>
                <w:rFonts w:ascii="Arial" w:cs="Arial" w:eastAsia="Arial" w:hAnsi="Arial"/>
                <w:sz w:val="18"/>
                <w:szCs w:val="18"/>
                <w:color w:val="auto"/>
              </w:rPr>
              <w:t>Malaysia</w:t>
            </w:r>
          </w:p>
        </w:tc>
        <w:tc>
          <w:tcPr>
            <w:tcW w:w="3360" w:type="dxa"/>
            <w:vAlign w:val="bottom"/>
          </w:tcPr>
          <w:p>
            <w:pPr>
              <w:ind w:left="580"/>
              <w:spacing w:after="0"/>
              <w:rPr>
                <w:sz w:val="20"/>
                <w:szCs w:val="20"/>
                <w:color w:val="auto"/>
              </w:rPr>
            </w:pPr>
            <w:r>
              <w:rPr>
                <w:rFonts w:ascii="Arial" w:cs="Arial" w:eastAsia="Arial" w:hAnsi="Arial"/>
                <w:sz w:val="18"/>
                <w:szCs w:val="18"/>
                <w:color w:val="auto"/>
              </w:rPr>
              <w:t>Sint Maarten</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Azerbaijan</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France</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Mali</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Slovakia</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Bahamas</w:t>
            </w:r>
          </w:p>
        </w:tc>
        <w:tc>
          <w:tcPr>
            <w:tcW w:w="2360" w:type="dxa"/>
            <w:vAlign w:val="bottom"/>
          </w:tcPr>
          <w:p>
            <w:pPr>
              <w:ind w:left="360"/>
              <w:spacing w:after="0"/>
              <w:rPr>
                <w:sz w:val="20"/>
                <w:szCs w:val="20"/>
                <w:color w:val="auto"/>
              </w:rPr>
            </w:pPr>
            <w:r>
              <w:rPr>
                <w:rFonts w:ascii="Arial" w:cs="Arial" w:eastAsia="Arial" w:hAnsi="Arial"/>
                <w:sz w:val="18"/>
                <w:szCs w:val="18"/>
                <w:color w:val="auto"/>
              </w:rPr>
              <w:t>French Guiana</w:t>
            </w:r>
          </w:p>
        </w:tc>
        <w:tc>
          <w:tcPr>
            <w:tcW w:w="3040" w:type="dxa"/>
            <w:vAlign w:val="bottom"/>
          </w:tcPr>
          <w:p>
            <w:pPr>
              <w:ind w:left="800"/>
              <w:spacing w:after="0"/>
              <w:rPr>
                <w:sz w:val="20"/>
                <w:szCs w:val="20"/>
                <w:color w:val="auto"/>
              </w:rPr>
            </w:pPr>
            <w:r>
              <w:rPr>
                <w:rFonts w:ascii="Arial" w:cs="Arial" w:eastAsia="Arial" w:hAnsi="Arial"/>
                <w:sz w:val="18"/>
                <w:szCs w:val="18"/>
                <w:color w:val="auto"/>
              </w:rPr>
              <w:t>Malta</w:t>
            </w:r>
          </w:p>
        </w:tc>
        <w:tc>
          <w:tcPr>
            <w:tcW w:w="3360" w:type="dxa"/>
            <w:vAlign w:val="bottom"/>
          </w:tcPr>
          <w:p>
            <w:pPr>
              <w:ind w:left="580"/>
              <w:spacing w:after="0"/>
              <w:rPr>
                <w:sz w:val="20"/>
                <w:szCs w:val="20"/>
                <w:color w:val="auto"/>
              </w:rPr>
            </w:pPr>
            <w:r>
              <w:rPr>
                <w:rFonts w:ascii="Arial" w:cs="Arial" w:eastAsia="Arial" w:hAnsi="Arial"/>
                <w:sz w:val="18"/>
                <w:szCs w:val="18"/>
                <w:color w:val="auto"/>
              </w:rPr>
              <w:t>Slovenia</w:t>
            </w:r>
          </w:p>
        </w:tc>
      </w:t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Bangladesh</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Georgia</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Mauritania</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South Africa</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Barbados</w:t>
            </w:r>
          </w:p>
        </w:tc>
        <w:tc>
          <w:tcPr>
            <w:tcW w:w="2360" w:type="dxa"/>
            <w:vAlign w:val="bottom"/>
          </w:tcPr>
          <w:p>
            <w:pPr>
              <w:ind w:left="360"/>
              <w:spacing w:after="0"/>
              <w:rPr>
                <w:sz w:val="20"/>
                <w:szCs w:val="20"/>
                <w:color w:val="auto"/>
              </w:rPr>
            </w:pPr>
            <w:r>
              <w:rPr>
                <w:rFonts w:ascii="Arial" w:cs="Arial" w:eastAsia="Arial" w:hAnsi="Arial"/>
                <w:sz w:val="18"/>
                <w:szCs w:val="18"/>
                <w:color w:val="auto"/>
              </w:rPr>
              <w:t>Germany</w:t>
            </w:r>
          </w:p>
        </w:tc>
        <w:tc>
          <w:tcPr>
            <w:tcW w:w="3040" w:type="dxa"/>
            <w:vAlign w:val="bottom"/>
          </w:tcPr>
          <w:p>
            <w:pPr>
              <w:ind w:left="800"/>
              <w:spacing w:after="0"/>
              <w:rPr>
                <w:sz w:val="20"/>
                <w:szCs w:val="20"/>
                <w:color w:val="auto"/>
              </w:rPr>
            </w:pPr>
            <w:r>
              <w:rPr>
                <w:rFonts w:ascii="Arial" w:cs="Arial" w:eastAsia="Arial" w:hAnsi="Arial"/>
                <w:sz w:val="18"/>
                <w:szCs w:val="18"/>
                <w:color w:val="auto"/>
              </w:rPr>
              <w:t>Mauritius</w:t>
            </w:r>
          </w:p>
        </w:tc>
        <w:tc>
          <w:tcPr>
            <w:tcW w:w="3360" w:type="dxa"/>
            <w:vAlign w:val="bottom"/>
          </w:tcPr>
          <w:p>
            <w:pPr>
              <w:ind w:left="580"/>
              <w:spacing w:after="0"/>
              <w:rPr>
                <w:sz w:val="20"/>
                <w:szCs w:val="20"/>
                <w:color w:val="auto"/>
              </w:rPr>
            </w:pPr>
            <w:r>
              <w:rPr>
                <w:rFonts w:ascii="Arial" w:cs="Arial" w:eastAsia="Arial" w:hAnsi="Arial"/>
                <w:sz w:val="18"/>
                <w:szCs w:val="18"/>
                <w:color w:val="auto"/>
              </w:rPr>
              <w:t>South Korea</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Belarus</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Ghana</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Mexico</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Spain</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Belgium</w:t>
            </w:r>
          </w:p>
        </w:tc>
        <w:tc>
          <w:tcPr>
            <w:tcW w:w="2360" w:type="dxa"/>
            <w:vAlign w:val="bottom"/>
          </w:tcPr>
          <w:p>
            <w:pPr>
              <w:ind w:left="360"/>
              <w:spacing w:after="0"/>
              <w:rPr>
                <w:sz w:val="20"/>
                <w:szCs w:val="20"/>
                <w:color w:val="auto"/>
              </w:rPr>
            </w:pPr>
            <w:r>
              <w:rPr>
                <w:rFonts w:ascii="Arial" w:cs="Arial" w:eastAsia="Arial" w:hAnsi="Arial"/>
                <w:sz w:val="18"/>
                <w:szCs w:val="18"/>
                <w:color w:val="auto"/>
              </w:rPr>
              <w:t>Greece</w:t>
            </w:r>
          </w:p>
        </w:tc>
        <w:tc>
          <w:tcPr>
            <w:tcW w:w="3040" w:type="dxa"/>
            <w:vAlign w:val="bottom"/>
          </w:tcPr>
          <w:p>
            <w:pPr>
              <w:ind w:left="800"/>
              <w:spacing w:after="0"/>
              <w:rPr>
                <w:sz w:val="20"/>
                <w:szCs w:val="20"/>
                <w:color w:val="auto"/>
              </w:rPr>
            </w:pPr>
            <w:r>
              <w:rPr>
                <w:rFonts w:ascii="Arial" w:cs="Arial" w:eastAsia="Arial" w:hAnsi="Arial"/>
                <w:sz w:val="18"/>
                <w:szCs w:val="18"/>
                <w:color w:val="auto"/>
              </w:rPr>
              <w:t>Monaco</w:t>
            </w:r>
          </w:p>
        </w:tc>
        <w:tc>
          <w:tcPr>
            <w:tcW w:w="3360" w:type="dxa"/>
            <w:vAlign w:val="bottom"/>
          </w:tcPr>
          <w:p>
            <w:pPr>
              <w:ind w:left="580"/>
              <w:spacing w:after="0"/>
              <w:rPr>
                <w:sz w:val="20"/>
                <w:szCs w:val="20"/>
                <w:color w:val="auto"/>
              </w:rPr>
            </w:pPr>
            <w:r>
              <w:rPr>
                <w:rFonts w:ascii="Arial" w:cs="Arial" w:eastAsia="Arial" w:hAnsi="Arial"/>
                <w:sz w:val="18"/>
                <w:szCs w:val="18"/>
                <w:color w:val="auto"/>
              </w:rPr>
              <w:t>St Vincent and Grenadines</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Benin</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Grenada</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Mongolia</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Sudan</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Bolivia</w:t>
            </w:r>
          </w:p>
        </w:tc>
        <w:tc>
          <w:tcPr>
            <w:tcW w:w="2360" w:type="dxa"/>
            <w:vAlign w:val="bottom"/>
          </w:tcPr>
          <w:p>
            <w:pPr>
              <w:ind w:left="360"/>
              <w:spacing w:after="0"/>
              <w:rPr>
                <w:sz w:val="20"/>
                <w:szCs w:val="20"/>
                <w:color w:val="auto"/>
              </w:rPr>
            </w:pPr>
            <w:r>
              <w:rPr>
                <w:rFonts w:ascii="Arial" w:cs="Arial" w:eastAsia="Arial" w:hAnsi="Arial"/>
                <w:sz w:val="18"/>
                <w:szCs w:val="18"/>
                <w:color w:val="auto"/>
              </w:rPr>
              <w:t>Guatemala</w:t>
            </w:r>
          </w:p>
        </w:tc>
        <w:tc>
          <w:tcPr>
            <w:tcW w:w="3040" w:type="dxa"/>
            <w:vAlign w:val="bottom"/>
          </w:tcPr>
          <w:p>
            <w:pPr>
              <w:ind w:left="800"/>
              <w:spacing w:after="0"/>
              <w:rPr>
                <w:sz w:val="20"/>
                <w:szCs w:val="20"/>
                <w:color w:val="auto"/>
              </w:rPr>
            </w:pPr>
            <w:r>
              <w:rPr>
                <w:rFonts w:ascii="Arial" w:cs="Arial" w:eastAsia="Arial" w:hAnsi="Arial"/>
                <w:sz w:val="18"/>
                <w:szCs w:val="18"/>
                <w:color w:val="auto"/>
              </w:rPr>
              <w:t>Morocco</w:t>
            </w:r>
          </w:p>
        </w:tc>
        <w:tc>
          <w:tcPr>
            <w:tcW w:w="3360" w:type="dxa"/>
            <w:vAlign w:val="bottom"/>
          </w:tcPr>
          <w:p>
            <w:pPr>
              <w:ind w:left="580"/>
              <w:spacing w:after="0"/>
              <w:rPr>
                <w:sz w:val="20"/>
                <w:szCs w:val="20"/>
                <w:color w:val="auto"/>
              </w:rPr>
            </w:pPr>
            <w:r>
              <w:rPr>
                <w:rFonts w:ascii="Arial" w:cs="Arial" w:eastAsia="Arial" w:hAnsi="Arial"/>
                <w:sz w:val="18"/>
                <w:szCs w:val="18"/>
                <w:color w:val="auto"/>
              </w:rPr>
              <w:t>Suriname</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Bosnia and Herzegovina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Guinea</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Mozambique</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Sweden</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Botswana</w:t>
            </w:r>
          </w:p>
        </w:tc>
        <w:tc>
          <w:tcPr>
            <w:tcW w:w="2360" w:type="dxa"/>
            <w:vAlign w:val="bottom"/>
          </w:tcPr>
          <w:p>
            <w:pPr>
              <w:ind w:left="360"/>
              <w:spacing w:after="0"/>
              <w:rPr>
                <w:sz w:val="20"/>
                <w:szCs w:val="20"/>
                <w:color w:val="auto"/>
              </w:rPr>
            </w:pPr>
            <w:r>
              <w:rPr>
                <w:rFonts w:ascii="Arial" w:cs="Arial" w:eastAsia="Arial" w:hAnsi="Arial"/>
                <w:sz w:val="18"/>
                <w:szCs w:val="18"/>
                <w:color w:val="auto"/>
              </w:rPr>
              <w:t>Guyana</w:t>
            </w:r>
          </w:p>
        </w:tc>
        <w:tc>
          <w:tcPr>
            <w:tcW w:w="3040" w:type="dxa"/>
            <w:vAlign w:val="bottom"/>
          </w:tcPr>
          <w:p>
            <w:pPr>
              <w:ind w:left="800"/>
              <w:spacing w:after="0"/>
              <w:rPr>
                <w:sz w:val="20"/>
                <w:szCs w:val="20"/>
                <w:color w:val="auto"/>
              </w:rPr>
            </w:pPr>
            <w:r>
              <w:rPr>
                <w:rFonts w:ascii="Arial" w:cs="Arial" w:eastAsia="Arial" w:hAnsi="Arial"/>
                <w:sz w:val="18"/>
                <w:szCs w:val="18"/>
                <w:color w:val="auto"/>
              </w:rPr>
              <w:t>Myanmar</w:t>
            </w:r>
          </w:p>
        </w:tc>
        <w:tc>
          <w:tcPr>
            <w:tcW w:w="3360" w:type="dxa"/>
            <w:vAlign w:val="bottom"/>
          </w:tcPr>
          <w:p>
            <w:pPr>
              <w:ind w:left="580"/>
              <w:spacing w:after="0"/>
              <w:rPr>
                <w:sz w:val="20"/>
                <w:szCs w:val="20"/>
                <w:color w:val="auto"/>
              </w:rPr>
            </w:pPr>
            <w:r>
              <w:rPr>
                <w:rFonts w:ascii="Arial" w:cs="Arial" w:eastAsia="Arial" w:hAnsi="Arial"/>
                <w:sz w:val="18"/>
                <w:szCs w:val="18"/>
                <w:color w:val="auto"/>
              </w:rPr>
              <w:t>Switzerland</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Brazil</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Honduras</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Namibia</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Tajikistan</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Bulgaria</w:t>
            </w:r>
          </w:p>
        </w:tc>
        <w:tc>
          <w:tcPr>
            <w:tcW w:w="2360" w:type="dxa"/>
            <w:vAlign w:val="bottom"/>
          </w:tcPr>
          <w:p>
            <w:pPr>
              <w:ind w:left="360"/>
              <w:spacing w:after="0"/>
              <w:rPr>
                <w:sz w:val="20"/>
                <w:szCs w:val="20"/>
                <w:color w:val="auto"/>
              </w:rPr>
            </w:pPr>
            <w:r>
              <w:rPr>
                <w:rFonts w:ascii="Arial" w:cs="Arial" w:eastAsia="Arial" w:hAnsi="Arial"/>
                <w:sz w:val="18"/>
                <w:szCs w:val="18"/>
                <w:color w:val="auto"/>
              </w:rPr>
              <w:t>Hong Kong</w:t>
            </w:r>
          </w:p>
        </w:tc>
        <w:tc>
          <w:tcPr>
            <w:tcW w:w="3040" w:type="dxa"/>
            <w:vAlign w:val="bottom"/>
          </w:tcPr>
          <w:p>
            <w:pPr>
              <w:ind w:left="800"/>
              <w:spacing w:after="0"/>
              <w:rPr>
                <w:sz w:val="20"/>
                <w:szCs w:val="20"/>
                <w:color w:val="auto"/>
              </w:rPr>
            </w:pPr>
            <w:r>
              <w:rPr>
                <w:rFonts w:ascii="Arial" w:cs="Arial" w:eastAsia="Arial" w:hAnsi="Arial"/>
                <w:sz w:val="18"/>
                <w:szCs w:val="18"/>
                <w:color w:val="auto"/>
              </w:rPr>
              <w:t>Netherlands</w:t>
            </w:r>
          </w:p>
        </w:tc>
        <w:tc>
          <w:tcPr>
            <w:tcW w:w="3360" w:type="dxa"/>
            <w:vAlign w:val="bottom"/>
          </w:tcPr>
          <w:p>
            <w:pPr>
              <w:ind w:left="580"/>
              <w:spacing w:after="0"/>
              <w:rPr>
                <w:sz w:val="20"/>
                <w:szCs w:val="20"/>
                <w:color w:val="auto"/>
              </w:rPr>
            </w:pPr>
            <w:r>
              <w:rPr>
                <w:rFonts w:ascii="Arial" w:cs="Arial" w:eastAsia="Arial" w:hAnsi="Arial"/>
                <w:sz w:val="18"/>
                <w:szCs w:val="18"/>
                <w:color w:val="auto"/>
              </w:rPr>
              <w:t>Tanzania</w:t>
            </w:r>
          </w:p>
        </w:tc>
      </w:t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Burkina Faso</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Hungary</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New Zealand</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Thailand</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Burundi</w:t>
            </w:r>
          </w:p>
        </w:tc>
        <w:tc>
          <w:tcPr>
            <w:tcW w:w="2360" w:type="dxa"/>
            <w:vAlign w:val="bottom"/>
          </w:tcPr>
          <w:p>
            <w:pPr>
              <w:ind w:left="360"/>
              <w:spacing w:after="0"/>
              <w:rPr>
                <w:sz w:val="20"/>
                <w:szCs w:val="20"/>
                <w:color w:val="auto"/>
              </w:rPr>
            </w:pPr>
            <w:r>
              <w:rPr>
                <w:rFonts w:ascii="Arial" w:cs="Arial" w:eastAsia="Arial" w:hAnsi="Arial"/>
                <w:sz w:val="18"/>
                <w:szCs w:val="18"/>
                <w:color w:val="auto"/>
              </w:rPr>
              <w:t>Iceland</w:t>
            </w:r>
          </w:p>
        </w:tc>
        <w:tc>
          <w:tcPr>
            <w:tcW w:w="3040" w:type="dxa"/>
            <w:vAlign w:val="bottom"/>
          </w:tcPr>
          <w:p>
            <w:pPr>
              <w:ind w:left="800"/>
              <w:spacing w:after="0"/>
              <w:rPr>
                <w:sz w:val="20"/>
                <w:szCs w:val="20"/>
                <w:color w:val="auto"/>
              </w:rPr>
            </w:pPr>
            <w:r>
              <w:rPr>
                <w:rFonts w:ascii="Arial" w:cs="Arial" w:eastAsia="Arial" w:hAnsi="Arial"/>
                <w:sz w:val="18"/>
                <w:szCs w:val="18"/>
                <w:color w:val="auto"/>
              </w:rPr>
              <w:t>Nicaragua</w:t>
            </w:r>
          </w:p>
        </w:tc>
        <w:tc>
          <w:tcPr>
            <w:tcW w:w="3360" w:type="dxa"/>
            <w:vAlign w:val="bottom"/>
          </w:tcPr>
          <w:p>
            <w:pPr>
              <w:ind w:left="580"/>
              <w:spacing w:after="0"/>
              <w:rPr>
                <w:sz w:val="20"/>
                <w:szCs w:val="20"/>
                <w:color w:val="auto"/>
              </w:rPr>
            </w:pPr>
            <w:r>
              <w:rPr>
                <w:rFonts w:ascii="Arial" w:cs="Arial" w:eastAsia="Arial" w:hAnsi="Arial"/>
                <w:sz w:val="18"/>
                <w:szCs w:val="18"/>
                <w:color w:val="auto"/>
              </w:rPr>
              <w:t>Trinidad and Tobago</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Cambodia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India</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Niger</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Tunisia</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Cameroon</w:t>
            </w:r>
          </w:p>
        </w:tc>
        <w:tc>
          <w:tcPr>
            <w:tcW w:w="2360" w:type="dxa"/>
            <w:vAlign w:val="bottom"/>
          </w:tcPr>
          <w:p>
            <w:pPr>
              <w:ind w:left="360"/>
              <w:spacing w:after="0"/>
              <w:rPr>
                <w:sz w:val="20"/>
                <w:szCs w:val="20"/>
                <w:color w:val="auto"/>
              </w:rPr>
            </w:pPr>
            <w:r>
              <w:rPr>
                <w:rFonts w:ascii="Arial" w:cs="Arial" w:eastAsia="Arial" w:hAnsi="Arial"/>
                <w:sz w:val="18"/>
                <w:szCs w:val="18"/>
                <w:color w:val="auto"/>
              </w:rPr>
              <w:t>Indonesia</w:t>
            </w:r>
          </w:p>
        </w:tc>
        <w:tc>
          <w:tcPr>
            <w:tcW w:w="3040" w:type="dxa"/>
            <w:vAlign w:val="bottom"/>
          </w:tcPr>
          <w:p>
            <w:pPr>
              <w:ind w:left="800"/>
              <w:spacing w:after="0"/>
              <w:rPr>
                <w:sz w:val="20"/>
                <w:szCs w:val="20"/>
                <w:color w:val="auto"/>
              </w:rPr>
            </w:pPr>
            <w:r>
              <w:rPr>
                <w:rFonts w:ascii="Arial" w:cs="Arial" w:eastAsia="Arial" w:hAnsi="Arial"/>
                <w:sz w:val="18"/>
                <w:szCs w:val="18"/>
                <w:color w:val="auto"/>
              </w:rPr>
              <w:t>Nigeria</w:t>
            </w:r>
          </w:p>
        </w:tc>
        <w:tc>
          <w:tcPr>
            <w:tcW w:w="3360" w:type="dxa"/>
            <w:vAlign w:val="bottom"/>
          </w:tcPr>
          <w:p>
            <w:pPr>
              <w:ind w:left="580"/>
              <w:spacing w:after="0"/>
              <w:rPr>
                <w:sz w:val="20"/>
                <w:szCs w:val="20"/>
                <w:color w:val="auto"/>
              </w:rPr>
            </w:pPr>
            <w:r>
              <w:rPr>
                <w:rFonts w:ascii="Arial" w:cs="Arial" w:eastAsia="Arial" w:hAnsi="Arial"/>
                <w:sz w:val="18"/>
                <w:szCs w:val="18"/>
                <w:color w:val="auto"/>
              </w:rPr>
              <w:t>Turkey</w:t>
            </w:r>
          </w:p>
        </w:tc>
      </w:t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Canada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Ireland</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Norway</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Turks and Caicos</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Chile</w:t>
            </w:r>
          </w:p>
        </w:tc>
        <w:tc>
          <w:tcPr>
            <w:tcW w:w="2360" w:type="dxa"/>
            <w:vAlign w:val="bottom"/>
          </w:tcPr>
          <w:p>
            <w:pPr>
              <w:ind w:left="360"/>
              <w:spacing w:after="0"/>
              <w:rPr>
                <w:sz w:val="20"/>
                <w:szCs w:val="20"/>
                <w:color w:val="auto"/>
              </w:rPr>
            </w:pPr>
            <w:r>
              <w:rPr>
                <w:rFonts w:ascii="Arial" w:cs="Arial" w:eastAsia="Arial" w:hAnsi="Arial"/>
                <w:sz w:val="18"/>
                <w:szCs w:val="18"/>
                <w:color w:val="auto"/>
              </w:rPr>
              <w:t>Israel</w:t>
            </w:r>
          </w:p>
        </w:tc>
        <w:tc>
          <w:tcPr>
            <w:tcW w:w="3040" w:type="dxa"/>
            <w:vAlign w:val="bottom"/>
          </w:tcPr>
          <w:p>
            <w:pPr>
              <w:ind w:left="800"/>
              <w:spacing w:after="0"/>
              <w:rPr>
                <w:sz w:val="20"/>
                <w:szCs w:val="20"/>
                <w:color w:val="auto"/>
              </w:rPr>
            </w:pPr>
            <w:r>
              <w:rPr>
                <w:rFonts w:ascii="Arial" w:cs="Arial" w:eastAsia="Arial" w:hAnsi="Arial"/>
                <w:sz w:val="18"/>
                <w:szCs w:val="18"/>
                <w:color w:val="auto"/>
              </w:rPr>
              <w:t>Oman</w:t>
            </w:r>
          </w:p>
        </w:tc>
        <w:tc>
          <w:tcPr>
            <w:tcW w:w="3360" w:type="dxa"/>
            <w:vAlign w:val="bottom"/>
          </w:tcPr>
          <w:p>
            <w:pPr>
              <w:ind w:left="580"/>
              <w:spacing w:after="0"/>
              <w:rPr>
                <w:sz w:val="20"/>
                <w:szCs w:val="20"/>
                <w:color w:val="auto"/>
              </w:rPr>
            </w:pPr>
            <w:r>
              <w:rPr>
                <w:rFonts w:ascii="Arial" w:cs="Arial" w:eastAsia="Arial" w:hAnsi="Arial"/>
                <w:sz w:val="18"/>
                <w:szCs w:val="18"/>
                <w:color w:val="auto"/>
              </w:rPr>
              <w:t>Uganda</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China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Italy</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Pakistan</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Ukraine</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Chinese Taipei (Taiwan)</w:t>
            </w:r>
          </w:p>
        </w:tc>
        <w:tc>
          <w:tcPr>
            <w:tcW w:w="2360" w:type="dxa"/>
            <w:vAlign w:val="bottom"/>
          </w:tcPr>
          <w:p>
            <w:pPr>
              <w:ind w:left="360"/>
              <w:spacing w:after="0"/>
              <w:rPr>
                <w:sz w:val="20"/>
                <w:szCs w:val="20"/>
                <w:color w:val="auto"/>
              </w:rPr>
            </w:pPr>
            <w:r>
              <w:rPr>
                <w:rFonts w:ascii="Arial" w:cs="Arial" w:eastAsia="Arial" w:hAnsi="Arial"/>
                <w:sz w:val="18"/>
                <w:szCs w:val="18"/>
                <w:color w:val="auto"/>
              </w:rPr>
              <w:t>Jamaica</w:t>
            </w:r>
          </w:p>
        </w:tc>
        <w:tc>
          <w:tcPr>
            <w:tcW w:w="3040" w:type="dxa"/>
            <w:vAlign w:val="bottom"/>
          </w:tcPr>
          <w:p>
            <w:pPr>
              <w:ind w:left="800"/>
              <w:spacing w:after="0"/>
              <w:rPr>
                <w:sz w:val="20"/>
                <w:szCs w:val="20"/>
                <w:color w:val="auto"/>
              </w:rPr>
            </w:pPr>
            <w:r>
              <w:rPr>
                <w:rFonts w:ascii="Arial" w:cs="Arial" w:eastAsia="Arial" w:hAnsi="Arial"/>
                <w:sz w:val="18"/>
                <w:szCs w:val="18"/>
                <w:color w:val="auto"/>
              </w:rPr>
              <w:t>Panama</w:t>
            </w:r>
          </w:p>
        </w:tc>
        <w:tc>
          <w:tcPr>
            <w:tcW w:w="3360" w:type="dxa"/>
            <w:vAlign w:val="bottom"/>
          </w:tcPr>
          <w:p>
            <w:pPr>
              <w:ind w:left="580"/>
              <w:spacing w:after="0"/>
              <w:rPr>
                <w:sz w:val="20"/>
                <w:szCs w:val="20"/>
                <w:color w:val="auto"/>
              </w:rPr>
            </w:pPr>
            <w:r>
              <w:rPr>
                <w:rFonts w:ascii="Arial" w:cs="Arial" w:eastAsia="Arial" w:hAnsi="Arial"/>
                <w:sz w:val="18"/>
                <w:szCs w:val="18"/>
                <w:color w:val="auto"/>
              </w:rPr>
              <w:t>United Arab Emirates</w:t>
            </w:r>
          </w:p>
        </w:tc>
      </w:t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Colombia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Japan</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Papua New Guinea</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United Kingdom</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Costa Rica</w:t>
            </w:r>
          </w:p>
        </w:tc>
        <w:tc>
          <w:tcPr>
            <w:tcW w:w="2360" w:type="dxa"/>
            <w:vAlign w:val="bottom"/>
          </w:tcPr>
          <w:p>
            <w:pPr>
              <w:ind w:left="360"/>
              <w:spacing w:after="0"/>
              <w:rPr>
                <w:sz w:val="20"/>
                <w:szCs w:val="20"/>
                <w:color w:val="auto"/>
              </w:rPr>
            </w:pPr>
            <w:r>
              <w:rPr>
                <w:rFonts w:ascii="Arial" w:cs="Arial" w:eastAsia="Arial" w:hAnsi="Arial"/>
                <w:sz w:val="18"/>
                <w:szCs w:val="18"/>
                <w:color w:val="auto"/>
              </w:rPr>
              <w:t>Jordan</w:t>
            </w:r>
          </w:p>
        </w:tc>
        <w:tc>
          <w:tcPr>
            <w:tcW w:w="3040" w:type="dxa"/>
            <w:vAlign w:val="bottom"/>
          </w:tcPr>
          <w:p>
            <w:pPr>
              <w:ind w:left="800"/>
              <w:spacing w:after="0"/>
              <w:rPr>
                <w:sz w:val="20"/>
                <w:szCs w:val="20"/>
                <w:color w:val="auto"/>
              </w:rPr>
            </w:pPr>
            <w:r>
              <w:rPr>
                <w:rFonts w:ascii="Arial" w:cs="Arial" w:eastAsia="Arial" w:hAnsi="Arial"/>
                <w:sz w:val="18"/>
                <w:szCs w:val="18"/>
                <w:color w:val="auto"/>
              </w:rPr>
              <w:t>Peru</w:t>
            </w:r>
          </w:p>
        </w:tc>
        <w:tc>
          <w:tcPr>
            <w:tcW w:w="3360" w:type="dxa"/>
            <w:vAlign w:val="bottom"/>
          </w:tcPr>
          <w:p>
            <w:pPr>
              <w:ind w:left="580"/>
              <w:spacing w:after="0"/>
              <w:rPr>
                <w:sz w:val="20"/>
                <w:szCs w:val="20"/>
                <w:color w:val="auto"/>
              </w:rPr>
            </w:pPr>
            <w:r>
              <w:rPr>
                <w:rFonts w:ascii="Arial" w:cs="Arial" w:eastAsia="Arial" w:hAnsi="Arial"/>
                <w:sz w:val="18"/>
                <w:szCs w:val="18"/>
                <w:color w:val="auto"/>
              </w:rPr>
              <w:t>United States</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Côte d'Ivoire</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Kazakhstan</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Philippines</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Uruguay</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Croatia</w:t>
            </w:r>
          </w:p>
        </w:tc>
        <w:tc>
          <w:tcPr>
            <w:tcW w:w="2360" w:type="dxa"/>
            <w:vAlign w:val="bottom"/>
          </w:tcPr>
          <w:p>
            <w:pPr>
              <w:ind w:left="360"/>
              <w:spacing w:after="0"/>
              <w:rPr>
                <w:sz w:val="20"/>
                <w:szCs w:val="20"/>
                <w:color w:val="auto"/>
              </w:rPr>
            </w:pPr>
            <w:r>
              <w:rPr>
                <w:rFonts w:ascii="Arial" w:cs="Arial" w:eastAsia="Arial" w:hAnsi="Arial"/>
                <w:sz w:val="18"/>
                <w:szCs w:val="18"/>
                <w:color w:val="auto"/>
              </w:rPr>
              <w:t>Kenya</w:t>
            </w:r>
          </w:p>
        </w:tc>
        <w:tc>
          <w:tcPr>
            <w:tcW w:w="3040" w:type="dxa"/>
            <w:vAlign w:val="bottom"/>
          </w:tcPr>
          <w:p>
            <w:pPr>
              <w:ind w:left="800"/>
              <w:spacing w:after="0"/>
              <w:rPr>
                <w:sz w:val="20"/>
                <w:szCs w:val="20"/>
                <w:color w:val="auto"/>
              </w:rPr>
            </w:pPr>
            <w:r>
              <w:rPr>
                <w:rFonts w:ascii="Arial" w:cs="Arial" w:eastAsia="Arial" w:hAnsi="Arial"/>
                <w:sz w:val="18"/>
                <w:szCs w:val="18"/>
                <w:color w:val="auto"/>
              </w:rPr>
              <w:t>Poland</w:t>
            </w:r>
          </w:p>
        </w:tc>
        <w:tc>
          <w:tcPr>
            <w:tcW w:w="3360" w:type="dxa"/>
            <w:vAlign w:val="bottom"/>
          </w:tcPr>
          <w:p>
            <w:pPr>
              <w:ind w:left="580"/>
              <w:spacing w:after="0"/>
              <w:rPr>
                <w:sz w:val="20"/>
                <w:szCs w:val="20"/>
                <w:color w:val="auto"/>
              </w:rPr>
            </w:pPr>
            <w:r>
              <w:rPr>
                <w:rFonts w:ascii="Arial" w:cs="Arial" w:eastAsia="Arial" w:hAnsi="Arial"/>
                <w:sz w:val="18"/>
                <w:szCs w:val="18"/>
                <w:color w:val="auto"/>
              </w:rPr>
              <w:t>Uzbekistan</w:t>
            </w:r>
          </w:p>
        </w:tc>
      </w:t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Curacao</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Kuwait</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Portugal</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Vietnam</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Cyprus</w:t>
            </w:r>
          </w:p>
        </w:tc>
        <w:tc>
          <w:tcPr>
            <w:tcW w:w="2360" w:type="dxa"/>
            <w:vAlign w:val="bottom"/>
          </w:tcPr>
          <w:p>
            <w:pPr>
              <w:ind w:left="360"/>
              <w:spacing w:after="0"/>
              <w:rPr>
                <w:sz w:val="20"/>
                <w:szCs w:val="20"/>
                <w:color w:val="auto"/>
              </w:rPr>
            </w:pPr>
            <w:r>
              <w:rPr>
                <w:rFonts w:ascii="Arial" w:cs="Arial" w:eastAsia="Arial" w:hAnsi="Arial"/>
                <w:sz w:val="18"/>
                <w:szCs w:val="18"/>
                <w:color w:val="auto"/>
              </w:rPr>
              <w:t>Kyrgyzstan</w:t>
            </w:r>
          </w:p>
        </w:tc>
        <w:tc>
          <w:tcPr>
            <w:tcW w:w="3040" w:type="dxa"/>
            <w:vAlign w:val="bottom"/>
          </w:tcPr>
          <w:p>
            <w:pPr>
              <w:ind w:left="800"/>
              <w:spacing w:after="0"/>
              <w:rPr>
                <w:sz w:val="20"/>
                <w:szCs w:val="20"/>
                <w:color w:val="auto"/>
              </w:rPr>
            </w:pPr>
            <w:r>
              <w:rPr>
                <w:rFonts w:ascii="Arial" w:cs="Arial" w:eastAsia="Arial" w:hAnsi="Arial"/>
                <w:sz w:val="18"/>
                <w:szCs w:val="18"/>
                <w:color w:val="auto"/>
              </w:rPr>
              <w:t>Puerto Rico</w:t>
            </w:r>
          </w:p>
        </w:tc>
        <w:tc>
          <w:tcPr>
            <w:tcW w:w="3360" w:type="dxa"/>
            <w:vAlign w:val="bottom"/>
          </w:tcPr>
          <w:p>
            <w:pPr>
              <w:ind w:left="580"/>
              <w:spacing w:after="0"/>
              <w:rPr>
                <w:sz w:val="20"/>
                <w:szCs w:val="20"/>
                <w:color w:val="auto"/>
              </w:rPr>
            </w:pPr>
            <w:r>
              <w:rPr>
                <w:rFonts w:ascii="Arial" w:cs="Arial" w:eastAsia="Arial" w:hAnsi="Arial"/>
                <w:sz w:val="18"/>
                <w:szCs w:val="18"/>
                <w:color w:val="auto"/>
              </w:rPr>
              <w:t>Zambia</w:t>
            </w:r>
          </w:p>
        </w:tc>
      </w:t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Czechia (Czech Republic)</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Laos</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Romania</w:t>
            </w:r>
          </w:p>
        </w:tc>
        <w:tc>
          <w:tcPr>
            <w:tcW w:w="3360" w:type="dxa"/>
            <w:vAlign w:val="bottom"/>
            <w:shd w:val="clear" w:color="auto" w:fill="DBDBDB"/>
          </w:tcPr>
          <w:p>
            <w:pPr>
              <w:ind w:left="580"/>
              <w:spacing w:after="0"/>
              <w:rPr>
                <w:sz w:val="20"/>
                <w:szCs w:val="20"/>
                <w:color w:val="auto"/>
              </w:rPr>
            </w:pPr>
            <w:r>
              <w:rPr>
                <w:rFonts w:ascii="Arial" w:cs="Arial" w:eastAsia="Arial" w:hAnsi="Arial"/>
                <w:sz w:val="18"/>
                <w:szCs w:val="18"/>
                <w:color w:val="auto"/>
              </w:rPr>
              <w:t>Zimbabwe</w:t>
            </w: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Democratic Republic of the Congo Latvia</w:t>
            </w:r>
          </w:p>
        </w:tc>
        <w:tc>
          <w:tcPr>
            <w:tcW w:w="3040" w:type="dxa"/>
            <w:vAlign w:val="bottom"/>
          </w:tcPr>
          <w:p>
            <w:pPr>
              <w:ind w:left="800"/>
              <w:spacing w:after="0"/>
              <w:rPr>
                <w:sz w:val="20"/>
                <w:szCs w:val="20"/>
                <w:color w:val="auto"/>
              </w:rPr>
            </w:pPr>
            <w:r>
              <w:rPr>
                <w:rFonts w:ascii="Arial" w:cs="Arial" w:eastAsia="Arial" w:hAnsi="Arial"/>
                <w:sz w:val="18"/>
                <w:szCs w:val="18"/>
                <w:color w:val="auto"/>
              </w:rPr>
              <w:t>Russia</w:t>
            </w:r>
          </w:p>
        </w:tc>
        <w:tc>
          <w:tcPr>
            <w:tcW w:w="3360" w:type="dxa"/>
            <w:vAlign w:val="bottom"/>
          </w:tcPr>
          <w:p>
            <w:pPr>
              <w:spacing w:after="0"/>
              <w:rPr>
                <w:sz w:val="19"/>
                <w:szCs w:val="19"/>
                <w:color w:val="auto"/>
              </w:rPr>
            </w:pPr>
          </w:p>
        </w:tc>
      </w:t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Denmark</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Lebanon</w:t>
            </w:r>
          </w:p>
        </w:tc>
        <w:tc>
          <w:tcPr>
            <w:tcW w:w="3040" w:type="dxa"/>
            <w:vAlign w:val="bottom"/>
            <w:shd w:val="clear" w:color="auto" w:fill="DBDBDB"/>
          </w:tcPr>
          <w:p>
            <w:pPr>
              <w:ind w:left="800"/>
              <w:spacing w:after="0"/>
              <w:rPr>
                <w:sz w:val="20"/>
                <w:szCs w:val="20"/>
                <w:color w:val="auto"/>
              </w:rPr>
            </w:pPr>
            <w:r>
              <w:rPr>
                <w:rFonts w:ascii="Arial" w:cs="Arial" w:eastAsia="Arial" w:hAnsi="Arial"/>
                <w:sz w:val="18"/>
                <w:szCs w:val="18"/>
                <w:color w:val="auto"/>
              </w:rPr>
              <w:t>Rwanda</w:t>
            </w:r>
          </w:p>
        </w:tc>
        <w:tc>
          <w:tcPr>
            <w:tcW w:w="3360" w:type="dxa"/>
            <w:vAlign w:val="bottom"/>
            <w:shd w:val="clear" w:color="auto" w:fill="DBDBDB"/>
          </w:tcPr>
          <w:p>
            <w:pPr>
              <w:spacing w:after="0"/>
              <w:rPr>
                <w:sz w:val="19"/>
                <w:szCs w:val="19"/>
                <w:color w:val="auto"/>
              </w:rPr>
            </w:pPr>
          </w:p>
        </w:tc>
      </w:tr>
      <w:tr>
        <w:trPr>
          <w:trHeight w:val="239"/>
        </w:trPr>
        <w:tc>
          <w:tcPr>
            <w:tcW w:w="2480" w:type="dxa"/>
            <w:vAlign w:val="bottom"/>
          </w:tcPr>
          <w:p>
            <w:pPr>
              <w:ind w:left="20"/>
              <w:spacing w:after="0"/>
              <w:rPr>
                <w:sz w:val="20"/>
                <w:szCs w:val="20"/>
                <w:color w:val="auto"/>
              </w:rPr>
            </w:pPr>
            <w:r>
              <w:rPr>
                <w:rFonts w:ascii="Arial" w:cs="Arial" w:eastAsia="Arial" w:hAnsi="Arial"/>
                <w:sz w:val="18"/>
                <w:szCs w:val="18"/>
                <w:color w:val="auto"/>
              </w:rPr>
              <w:t>Dominican Republic</w:t>
            </w:r>
          </w:p>
        </w:tc>
        <w:tc>
          <w:tcPr>
            <w:tcW w:w="2360" w:type="dxa"/>
            <w:vAlign w:val="bottom"/>
          </w:tcPr>
          <w:p>
            <w:pPr>
              <w:ind w:left="360"/>
              <w:spacing w:after="0"/>
              <w:rPr>
                <w:sz w:val="20"/>
                <w:szCs w:val="20"/>
                <w:color w:val="auto"/>
              </w:rPr>
            </w:pPr>
            <w:r>
              <w:rPr>
                <w:rFonts w:ascii="Arial" w:cs="Arial" w:eastAsia="Arial" w:hAnsi="Arial"/>
                <w:sz w:val="18"/>
                <w:szCs w:val="18"/>
                <w:color w:val="auto"/>
              </w:rPr>
              <w:t>Liberia</w:t>
            </w:r>
          </w:p>
        </w:tc>
        <w:tc>
          <w:tcPr>
            <w:tcW w:w="3040" w:type="dxa"/>
            <w:vAlign w:val="bottom"/>
          </w:tcPr>
          <w:p>
            <w:pPr>
              <w:ind w:left="800"/>
              <w:spacing w:after="0"/>
              <w:rPr>
                <w:sz w:val="20"/>
                <w:szCs w:val="20"/>
                <w:color w:val="auto"/>
              </w:rPr>
            </w:pPr>
            <w:r>
              <w:rPr>
                <w:rFonts w:ascii="Arial" w:cs="Arial" w:eastAsia="Arial" w:hAnsi="Arial"/>
                <w:sz w:val="18"/>
                <w:szCs w:val="18"/>
                <w:color w:val="auto"/>
              </w:rPr>
              <w:t>Saint Kitts and Nevis</w:t>
            </w:r>
          </w:p>
        </w:tc>
        <w:tc>
          <w:tcPr>
            <w:tcW w:w="33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sectPr>
      <w:pgSz w:w="11900" w:h="16838" w:orient="portrait"/>
      <w:cols w:equalWidth="0" w:num="1">
        <w:col w:w="11240"/>
      </w:cols>
      <w:pgMar w:left="320" w:top="10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6"/>
      <w:numFmt w:val="bullet"/>
      <w:start w:val="1"/>
    </w:lvl>
  </w:abstractNum>
  <w:abstractNum w:abstractNumId="8">
    <w:nsid w:val="1F16E9E8"/>
    <w:multiLevelType w:val="hybridMultilevel"/>
    <w:lvl w:ilvl="0">
      <w:lvlJc w:val="left"/>
      <w:lvlText w:val="7"/>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2024-05-28T17:37:15Z</dcterms:created>
  <dcterms:modified xsi:type="dcterms:W3CDTF">2024-05-28T17:37:15Z</dcterms:modified>
</cp:coreProperties>
</file>