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13970</wp:posOffset>
            </wp:positionV>
            <wp:extent cx="6995160" cy="7172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7172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BHATIA MANISH H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10/16/2021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EVP, Global Operations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220" w:space="615"/>
            <w:col w:w="3345"/>
          </w:cols>
          <w:pgMar w:left="460" w:top="220" w:right="359" w:bottom="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1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13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20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10/16/2021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6,013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0.00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320,528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10/16/2021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20,967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(2)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0.00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341,495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10/16/2021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8,419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(3)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0.00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349,914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10/16/2021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2,225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(4)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67.68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347,689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10/16/2021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6,088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(4)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67.68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341,601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10/16/2021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7,058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(4)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67.68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334,543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10/16/2021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7,758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(4)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67.68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326,785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10/16/2021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7,577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(5)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67.68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319,208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10/16/2021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0"/>
              </w:rPr>
              <w:t>3,116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0"/>
                <w:vertAlign w:val="superscript"/>
              </w:rPr>
              <w:t>(4)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67.68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316,092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10/16/2021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5,886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(4)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67.68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310,206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right"/>
              <w:ind w:righ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6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(6)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(6)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20,967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(2)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10/16/2021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7,853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3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0.00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(7)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(7)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0"/>
              </w:rPr>
              <w:t>8,419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0"/>
                <w:vertAlign w:val="superscript"/>
              </w:rPr>
              <w:t>(3)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10/16/2021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4,210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3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0.00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(8)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0"/>
              </w:rPr>
              <w:t>6,013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0"/>
                <w:vertAlign w:val="superscript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10/16/2021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8,975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3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0.00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-2596515</wp:posOffset>
            </wp:positionV>
            <wp:extent cx="28575" cy="26015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601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 w:right="180"/>
        <w:spacing w:after="0" w:line="236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Compensation Committee certified achievement of the pre-established performance goals at a level resulting in a vest of 67% of the total target shares under the FCF performance-based restricted stock units previously awarded on October 16, 2018. As reported at grant, the performance-based restricted stock unit could result in a payout that varies from 0% to an aggregate of 200% of target shares under all related awards based on actual achievement of the goals.</w:t>
      </w:r>
    </w:p>
    <w:p>
      <w:pPr>
        <w:spacing w:after="0" w:line="2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jc w:val="both"/>
        <w:ind w:left="40" w:right="200"/>
        <w:spacing w:after="0" w:line="236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Compensation Committee certified achievement of the pre-established performance goals at a level resulting in a vest of 100% of the total target shares under the NAND delivery and solutions performance-based restricted stock units previously awarded on October 16, 2018. As reported at grant, the performance-based restricted stock unit could result in a payout that varies from 0% to an aggregate of 200% of target shares under all related awards based on actual achievement of the goals.</w:t>
      </w:r>
    </w:p>
    <w:p>
      <w:pPr>
        <w:spacing w:after="0" w:line="2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jc w:val="both"/>
        <w:ind w:left="40" w:right="140"/>
        <w:spacing w:after="0" w:line="236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Compensation Committee certified achievement of the pre-established performance goals at a level resulting in a vest of 100% of the total target shares under the PE Ratio performance-based restricted stock units previously awarded on October 16, 2018. As reported at grant, the performance-based restricted stock unit could result in a payout that varies from 0% to an aggregate of 200% of target shares under all related awards based on actual achievement of the goals.</w:t>
      </w:r>
    </w:p>
    <w:p>
      <w:pPr>
        <w:spacing w:after="0" w:line="2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Withholding of shares of common stock to satisfy tax withholding obligations in connection with the vesting of awards under the Issuer's 2004 Equity Incentive Plan.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Withholding of shares of common stock to satisfy tax withholding obligations in connection with the vesting of awards under the Issuer's 2007 Equity Incentive Plan.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40"/>
        <w:spacing w:after="0" w:line="263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performance-based restricted stock unit represents the right to receive, following vesting, shares of common stock based upon the achievement of pre-established performance metrics related to NAND delivery and solutions over a 3-year performance period beginning August 31, 2018 and ending on September 2, 2021 (payout is from 0% up to a 200% aggregate limit on the total target shares that may be received under the performance-based restricted stock units awarded on October 16, 2018), and certification of such performance by the Compensation Committee.</w:t>
      </w:r>
    </w:p>
    <w:p>
      <w:pPr>
        <w:spacing w:after="0" w:line="16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40"/>
        <w:spacing w:after="0" w:line="263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performance-based restricted stock unit represents the right to receive, following vesting, shares of common stock based upon the achievement of pre-established performance metrics related to PE Ratio over a 3-year performance period beginning August 31, 2018 and ending on September 2, 2021 (payout is from 0% up to a 200% aggregate limit on the total target shares that may be received under the performance-based restricted stock units awarded on October 16, 2018), and certification of such performance by the Compensation Committee.</w:t>
      </w:r>
    </w:p>
    <w:p>
      <w:pPr>
        <w:spacing w:after="0" w:line="16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20"/>
        <w:spacing w:after="0" w:line="236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performance-based restricted stock unit represents the right to receive, following vesting, shares of common stock based upon the achievement of pre-established performance metrics related to FCF over a 3-year performance period beginning August 31, 2018 and ending on September 2, 2021 (payout is from 0% up to a 200% aggregate limit on the total target shares that may be received under the performance-based restricted stock units awarded on October 16, 2018), and certification of such performance by the Compensation Committee.</w:t>
      </w:r>
    </w:p>
    <w:p>
      <w:pPr>
        <w:sectPr>
          <w:pgSz w:w="11900" w:h="16838" w:orient="portrait"/>
          <w:cols w:equalWidth="0" w:num="1">
            <w:col w:w="11080"/>
          </w:cols>
          <w:pgMar w:left="460" w:top="220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65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Rob Beard, Attorney-in-fact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10/19/2021</w:t>
            </w:r>
          </w:p>
        </w:tc>
      </w:tr>
      <w:tr>
        <w:trPr>
          <w:trHeight w:val="222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right="2619"/>
        <w:spacing w:after="0" w:line="328" w:lineRule="auto"/>
        <w:tabs>
          <w:tab w:leader="none" w:pos="13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59"/>
      </w:cols>
      <w:pgMar w:left="500" w:top="122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89498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2021-10-19T17:34:28Z</dcterms:created>
  <dcterms:modified xsi:type="dcterms:W3CDTF">2021-10-19T17:34:28Z</dcterms:modified>
</cp:coreProperties>
</file>