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23,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1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March 23, 2017, the Company announced its financial results for the second quarter of fiscal year 2017 ended March 2, 2017. The full text of the press release issued in connection with the announcement and the financial presentation materials accompanying the Company's related webcast are attached as Exhibit 99.1 and Exhibit 99.2, respectively, to this Current Report on Form 8-K.</w:t>
      </w:r>
    </w:p>
    <w:p>
      <w:pPr>
        <w:spacing w:after="0" w:line="39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or otherwise subject to the liabilities of that section. The information in Item 2.02 of this Current Report on Form 8-K shall not be incorporated by reference into any filing or other document pursuant to the Securities Act of 1933, as amended, except as shall be expressly set forth by specific reference in such filing 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March 23, 2017</w:t>
            </w:r>
          </w:p>
        </w:tc>
      </w:tr>
      <w:tr>
        <w:trPr>
          <w:trHeight w:val="27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presentation materials for the second quarter of fiscal year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March 23, 2017</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March 23, 2017</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Financial presentation materials for the second quarter of fiscal year 2017</w:t>
            </w:r>
          </w:p>
        </w:tc>
      </w:tr>
    </w:tbl>
    <w:p>
      <w:pPr>
        <w:sectPr>
          <w:pgSz w:w="11900" w:h="16838" w:orient="portrait"/>
          <w:cols w:equalWidth="0" w:num="1">
            <w:col w:w="11420"/>
          </w:cols>
          <w:pgMar w:left="240" w:top="10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26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97"/>
              </w:rPr>
              <w:t>Contacts:Liz Morali</w:t>
            </w:r>
          </w:p>
        </w:tc>
        <w:tc>
          <w:tcPr>
            <w:tcW w:w="2260" w:type="dxa"/>
            <w:vAlign w:val="bottom"/>
          </w:tcPr>
          <w:p>
            <w:pPr>
              <w:spacing w:after="0"/>
              <w:rPr>
                <w:sz w:val="20"/>
                <w:szCs w:val="20"/>
                <w:color w:val="auto"/>
              </w:rPr>
            </w:pPr>
            <w:r>
              <w:rPr>
                <w:rFonts w:ascii="Arial" w:cs="Arial" w:eastAsia="Arial" w:hAnsi="Arial"/>
                <w:sz w:val="22"/>
                <w:szCs w:val="22"/>
                <w:color w:val="auto"/>
              </w:rPr>
              <w:t>Marc Musgrove</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8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91"/>
              </w:rPr>
              <w:t>lmorali@micron.com</w:t>
            </w:r>
          </w:p>
        </w:tc>
        <w:tc>
          <w:tcPr>
            <w:tcW w:w="460" w:type="dxa"/>
            <w:vAlign w:val="bottom"/>
          </w:tcPr>
          <w:p>
            <w:pPr>
              <w:spacing w:after="0"/>
              <w:rPr>
                <w:sz w:val="21"/>
                <w:szCs w:val="21"/>
                <w:color w:val="auto"/>
              </w:rPr>
            </w:pPr>
          </w:p>
        </w:tc>
        <w:tc>
          <w:tcPr>
            <w:tcW w:w="22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mmusgrove@micron.com</w:t>
            </w:r>
          </w:p>
        </w:tc>
      </w:tr>
      <w:tr>
        <w:trPr>
          <w:trHeight w:val="328"/>
        </w:trPr>
        <w:tc>
          <w:tcPr>
            <w:tcW w:w="3120" w:type="dxa"/>
            <w:vAlign w:val="bottom"/>
            <w:gridSpan w:val="2"/>
          </w:tcPr>
          <w:p>
            <w:pPr>
              <w:ind w:left="1260"/>
              <w:spacing w:after="0"/>
              <w:rPr>
                <w:sz w:val="20"/>
                <w:szCs w:val="20"/>
                <w:color w:val="auto"/>
              </w:rPr>
            </w:pPr>
            <w:r>
              <w:rPr>
                <w:rFonts w:ascii="Arial" w:cs="Arial" w:eastAsia="Arial" w:hAnsi="Arial"/>
                <w:sz w:val="22"/>
                <w:szCs w:val="22"/>
                <w:color w:val="auto"/>
              </w:rPr>
              <w:t>(208) 363-2231</w:t>
            </w:r>
          </w:p>
        </w:tc>
        <w:tc>
          <w:tcPr>
            <w:tcW w:w="46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(208) 363-2405</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2017</w:t>
      </w:r>
    </w:p>
    <w:p>
      <w:pPr>
        <w:spacing w:after="0" w:line="290" w:lineRule="exact"/>
        <w:rPr>
          <w:sz w:val="20"/>
          <w:szCs w:val="20"/>
          <w:color w:val="auto"/>
        </w:rPr>
      </w:pPr>
    </w:p>
    <w:p>
      <w:pPr>
        <w:ind w:right="220" w:firstLine="324"/>
        <w:spacing w:after="0" w:line="354"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March 23, 2017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fiscal 2017, which ended March 2, 2017. Revenues for the second quarter of fiscal 2017 were $4.65 billion and were 17 percent higher compared to the first quarter of fiscal 2017 and 58 percent higher compared to the second quarter of fiscal 2016.</w:t>
      </w:r>
    </w:p>
    <w:p>
      <w:pPr>
        <w:spacing w:after="0" w:line="337" w:lineRule="exact"/>
        <w:rPr>
          <w:sz w:val="20"/>
          <w:szCs w:val="20"/>
          <w:color w:val="auto"/>
        </w:rPr>
      </w:pPr>
    </w:p>
    <w:p>
      <w:pPr>
        <w:ind w:right="200" w:firstLine="324"/>
        <w:spacing w:after="0" w:line="431" w:lineRule="auto"/>
        <w:rPr>
          <w:sz w:val="20"/>
          <w:szCs w:val="20"/>
          <w:color w:val="auto"/>
        </w:rPr>
      </w:pPr>
      <w:r>
        <w:rPr>
          <w:rFonts w:ascii="Arial" w:cs="Arial" w:eastAsia="Arial" w:hAnsi="Arial"/>
          <w:sz w:val="19"/>
          <w:szCs w:val="19"/>
          <w:color w:val="auto"/>
        </w:rPr>
        <w:t>"Strong demand and limited industry supply for NAND and DRAM solutions, combined with significant progress on our cost reduction plan, produced excellent results for our second quarter," said Micron CEO Mark Durcan. "I'm proud of the team's execution on critical technology and operational initiatives, which will allow us to continue to capitalize on market trends."</w:t>
      </w:r>
    </w:p>
    <w:p>
      <w:pPr>
        <w:spacing w:after="0" w:line="217" w:lineRule="exact"/>
        <w:rPr>
          <w:sz w:val="20"/>
          <w:szCs w:val="20"/>
          <w:color w:val="auto"/>
        </w:rPr>
      </w:pPr>
    </w:p>
    <w:p>
      <w:pPr>
        <w:ind w:right="220" w:firstLine="324"/>
        <w:spacing w:after="0" w:line="380" w:lineRule="auto"/>
        <w:rPr>
          <w:sz w:val="20"/>
          <w:szCs w:val="20"/>
          <w:color w:val="auto"/>
        </w:rPr>
      </w:pPr>
      <w:r>
        <w:rPr>
          <w:rFonts w:ascii="Arial" w:cs="Arial" w:eastAsia="Arial" w:hAnsi="Arial"/>
          <w:sz w:val="20"/>
          <w:szCs w:val="20"/>
          <w:b w:val="1"/>
          <w:bCs w:val="1"/>
          <w:color w:val="auto"/>
        </w:rPr>
        <w:t xml:space="preserve">GAAP Income and Per Share Data </w:t>
      </w:r>
      <w:r>
        <w:rPr>
          <w:rFonts w:ascii="Arial" w:cs="Arial" w:eastAsia="Arial" w:hAnsi="Arial"/>
          <w:sz w:val="20"/>
          <w:szCs w:val="20"/>
          <w:color w:val="auto"/>
        </w:rPr>
        <w:t>– On a GAAP</w:t>
      </w:r>
      <w:r>
        <w:rPr>
          <w:rFonts w:ascii="Arial" w:cs="Arial" w:eastAsia="Arial" w:hAnsi="Arial"/>
          <w:sz w:val="26"/>
          <w:szCs w:val="26"/>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basis, gross margin was 36.7 percent and net income attributable to</w:t>
      </w:r>
      <w:r>
        <w:rPr>
          <w:rFonts w:ascii="Arial" w:cs="Arial" w:eastAsia="Arial" w:hAnsi="Arial"/>
          <w:sz w:val="20"/>
          <w:szCs w:val="20"/>
          <w:b w:val="1"/>
          <w:bCs w:val="1"/>
          <w:color w:val="auto"/>
        </w:rPr>
        <w:t xml:space="preserve"> </w:t>
      </w:r>
      <w:r>
        <w:rPr>
          <w:rFonts w:ascii="Arial" w:cs="Arial" w:eastAsia="Arial" w:hAnsi="Arial"/>
          <w:sz w:val="20"/>
          <w:szCs w:val="20"/>
          <w:color w:val="auto"/>
        </w:rPr>
        <w:t>Micron shareholders was $894 million, or $0.77 per diluted share, for the second quarter of fiscal 2017 compared to gross margin of 25.5 percent and net income of $180 million, or $0.16 per diluted share, for the first quarter of fiscal 2017 and gross margin of 19.7 percent and a net loss of $97 million, or ($0.09) per diluted share, for the second quarter of fiscal 2016.</w:t>
      </w:r>
    </w:p>
    <w:p>
      <w:pPr>
        <w:spacing w:after="0" w:line="257" w:lineRule="exact"/>
        <w:rPr>
          <w:sz w:val="20"/>
          <w:szCs w:val="20"/>
          <w:color w:val="auto"/>
        </w:rPr>
      </w:pPr>
    </w:p>
    <w:p>
      <w:pPr>
        <w:ind w:right="120" w:firstLine="324"/>
        <w:spacing w:after="0" w:line="380" w:lineRule="auto"/>
        <w:rPr>
          <w:sz w:val="20"/>
          <w:szCs w:val="20"/>
          <w:color w:val="auto"/>
        </w:rPr>
      </w:pPr>
      <w:r>
        <w:rPr>
          <w:rFonts w:ascii="Arial" w:cs="Arial" w:eastAsia="Arial" w:hAnsi="Arial"/>
          <w:sz w:val="20"/>
          <w:szCs w:val="20"/>
          <w:b w:val="1"/>
          <w:bCs w:val="1"/>
          <w:color w:val="auto"/>
        </w:rPr>
        <w:t xml:space="preserve">Non-GAAP Income and Per Share Data </w:t>
      </w:r>
      <w:r>
        <w:rPr>
          <w:rFonts w:ascii="Arial" w:cs="Arial" w:eastAsia="Arial" w:hAnsi="Arial"/>
          <w:sz w:val="20"/>
          <w:szCs w:val="20"/>
          <w:color w:val="auto"/>
        </w:rPr>
        <w:t>– On a non-GAAP</w:t>
      </w:r>
      <w:r>
        <w:rPr>
          <w:rFonts w:ascii="Arial" w:cs="Arial" w:eastAsia="Arial" w:hAnsi="Arial"/>
          <w:sz w:val="26"/>
          <w:szCs w:val="26"/>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basis, gross margin was 38.5 percent and net income</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to Micron shareholders was $1.03 billion, or $0.90 per diluted share, for the second quarter of fiscal 2017 compared to gross margin of 26.0 percent and net income of $335 million, or $0.32 per diluted share, for the first quarter of fiscal 2017 and gross margin of 20.4 percent and net income of $12 million, or $0.01 per diluted share, for the second quarter of fiscal 2016. For a reconciliation of GAAP to non-GAAP results, see the accompanying financial tables and footnotes.</w:t>
      </w:r>
    </w:p>
    <w:p>
      <w:pPr>
        <w:sectPr>
          <w:pgSz w:w="11900" w:h="16838" w:orient="portrait"/>
          <w:cols w:equalWidth="0" w:num="1">
            <w:col w:w="11420"/>
          </w:cols>
          <w:pgMar w:left="240" w:top="585" w:right="239" w:bottom="1440" w:gutter="0" w:footer="0" w:header="0"/>
        </w:sectPr>
      </w:pPr>
    </w:p>
    <w:bookmarkStart w:id="5" w:name="page6"/>
    <w:bookmarkEnd w:id="5"/>
    <w:p>
      <w:pPr>
        <w:ind w:firstLine="324"/>
        <w:spacing w:after="0" w:line="370" w:lineRule="auto"/>
        <w:rPr>
          <w:sz w:val="20"/>
          <w:szCs w:val="20"/>
          <w:color w:val="auto"/>
        </w:rPr>
      </w:pPr>
      <w:r>
        <w:rPr>
          <w:rFonts w:ascii="Arial" w:cs="Arial" w:eastAsia="Arial" w:hAnsi="Arial"/>
          <w:sz w:val="21"/>
          <w:szCs w:val="21"/>
          <w:color w:val="auto"/>
        </w:rPr>
        <w:t>The increase in the company's revenues of 17 percent for the second quarter of fiscal 2017 compared to the first quarter of fiscal 2017 was due primarily to a 21 percent increase in DRAM average selling prices and an 18 percent increase in trade NAND sales volumes. The company's overall consolidated GAAP gross margin of 36.7 percent for the second quarter of fiscal 2017 was 11.2 percentage points higher compared to the first quarter of fiscal 2017 primarily due to increases in DRAM average selling prices and manufacturing cost reductions for both NAND and DRAM.</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Investments in capital expenditures, net of amounts funded by partners, were $1.17 billion for the second quarter of fiscal 2017.</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The company ended the second quarter of fiscal 2017 with cash, marketable investments, and restricted cash of $4.58 billion.</w:t>
      </w:r>
    </w:p>
    <w:p>
      <w:pPr>
        <w:spacing w:after="0" w:line="200" w:lineRule="exact"/>
        <w:rPr>
          <w:sz w:val="20"/>
          <w:szCs w:val="20"/>
          <w:color w:val="auto"/>
        </w:rPr>
      </w:pPr>
    </w:p>
    <w:p>
      <w:pPr>
        <w:spacing w:after="0" w:line="311" w:lineRule="exact"/>
        <w:rPr>
          <w:sz w:val="20"/>
          <w:szCs w:val="20"/>
          <w:color w:val="auto"/>
        </w:rPr>
      </w:pPr>
    </w:p>
    <w:p>
      <w:pPr>
        <w:ind w:right="40" w:firstLine="324"/>
        <w:spacing w:after="0" w:line="350" w:lineRule="auto"/>
        <w:rPr>
          <w:sz w:val="20"/>
          <w:szCs w:val="20"/>
          <w:color w:val="auto"/>
        </w:rPr>
      </w:pPr>
      <w:r>
        <w:rPr>
          <w:rFonts w:ascii="Arial" w:cs="Arial" w:eastAsia="Arial" w:hAnsi="Arial"/>
          <w:sz w:val="22"/>
          <w:szCs w:val="22"/>
          <w:color w:val="auto"/>
        </w:rPr>
        <w:t xml:space="preserve">The company will host a conference call Thursday, March 23, 2017 at 2:30 p.m. MT to discuss its financial results. The call, audio, and slides will be available online at </w:t>
      </w:r>
      <w:r>
        <w:rPr>
          <w:rFonts w:ascii="Arial" w:cs="Arial" w:eastAsia="Arial" w:hAnsi="Arial"/>
          <w:sz w:val="22"/>
          <w:szCs w:val="22"/>
          <w:u w:val="single" w:color="auto"/>
          <w:color w:val="0563C1"/>
        </w:rPr>
        <w:t>http://edge.media-server.com/m/p/vuwo88xr</w:t>
      </w:r>
      <w:r>
        <w:rPr>
          <w:rFonts w:ascii="Arial" w:cs="Arial" w:eastAsia="Arial" w:hAnsi="Arial"/>
          <w:sz w:val="22"/>
          <w:szCs w:val="22"/>
          <w:color w:val="auto"/>
        </w:rPr>
        <w:t xml:space="preserve">. A webcast replay will be available on the company's website until March 23, 2018. A taped audio replay of the conference call will also be available at 1-404-537-3406 or 1-855-859-2056 (conference number: 77440341) beginning at 5:30 p.m. MT, Thursday, March 23, 2017 and continuing through Friday, March 31, 2017.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Micron Technology is a world leader in innovative memory solutions. Through the company's global brands – Micron</w:t>
      </w:r>
      <w:r>
        <w:rPr>
          <w:rFonts w:ascii="Arial" w:cs="Arial" w:eastAsia="Arial" w:hAnsi="Arial"/>
          <w:sz w:val="27"/>
          <w:szCs w:val="27"/>
          <w:color w:val="auto"/>
          <w:vertAlign w:val="superscript"/>
        </w:rPr>
        <w:t>®</w:t>
      </w:r>
      <w:r>
        <w:rPr>
          <w:rFonts w:ascii="Arial" w:cs="Arial" w:eastAsia="Arial" w:hAnsi="Arial"/>
          <w:sz w:val="21"/>
          <w:szCs w:val="21"/>
          <w:color w:val="auto"/>
        </w:rPr>
        <w:t>,</w:t>
      </w:r>
    </w:p>
    <w:p>
      <w:pPr>
        <w:spacing w:after="0" w:line="64" w:lineRule="exact"/>
        <w:rPr>
          <w:sz w:val="20"/>
          <w:szCs w:val="20"/>
          <w:color w:val="auto"/>
        </w:rPr>
      </w:pPr>
    </w:p>
    <w:p>
      <w:pPr>
        <w:ind w:right="140"/>
        <w:spacing w:after="0" w:line="358" w:lineRule="auto"/>
        <w:rPr>
          <w:sz w:val="20"/>
          <w:szCs w:val="20"/>
          <w:color w:val="auto"/>
        </w:rPr>
      </w:pPr>
      <w:r>
        <w:rPr>
          <w:rFonts w:ascii="Arial" w:cs="Arial" w:eastAsia="Arial" w:hAnsi="Arial"/>
          <w:sz w:val="21"/>
          <w:szCs w:val="21"/>
          <w:color w:val="auto"/>
        </w:rPr>
        <w:t>Crucial</w:t>
      </w:r>
      <w:r>
        <w:rPr>
          <w:rFonts w:ascii="Arial" w:cs="Arial" w:eastAsia="Arial" w:hAnsi="Arial"/>
          <w:sz w:val="27"/>
          <w:szCs w:val="27"/>
          <w:color w:val="auto"/>
          <w:vertAlign w:val="superscript"/>
        </w:rPr>
        <w:t>®</w:t>
      </w:r>
      <w:r>
        <w:rPr>
          <w:rFonts w:ascii="Arial" w:cs="Arial" w:eastAsia="Arial" w:hAnsi="Arial"/>
          <w:sz w:val="21"/>
          <w:szCs w:val="21"/>
          <w:color w:val="auto"/>
        </w:rPr>
        <w:t>, Lexar</w:t>
      </w:r>
      <w:r>
        <w:rPr>
          <w:rFonts w:ascii="Arial" w:cs="Arial" w:eastAsia="Arial" w:hAnsi="Arial"/>
          <w:sz w:val="27"/>
          <w:szCs w:val="27"/>
          <w:color w:val="auto"/>
          <w:vertAlign w:val="superscript"/>
        </w:rPr>
        <w:t>®</w:t>
      </w:r>
      <w:r>
        <w:rPr>
          <w:rFonts w:ascii="Arial" w:cs="Arial" w:eastAsia="Arial" w:hAnsi="Arial"/>
          <w:sz w:val="21"/>
          <w:szCs w:val="21"/>
          <w:color w:val="auto"/>
        </w:rPr>
        <w:t>, and Ballistix</w:t>
      </w:r>
      <w:r>
        <w:rPr>
          <w:rFonts w:ascii="Arial" w:cs="Arial" w:eastAsia="Arial" w:hAnsi="Arial"/>
          <w:sz w:val="27"/>
          <w:szCs w:val="27"/>
          <w:color w:val="auto"/>
          <w:vertAlign w:val="superscript"/>
        </w:rPr>
        <w:t>®</w:t>
      </w:r>
      <w:r>
        <w:rPr>
          <w:rFonts w:ascii="Arial" w:cs="Arial" w:eastAsia="Arial" w:hAnsi="Arial"/>
          <w:sz w:val="21"/>
          <w:szCs w:val="21"/>
          <w:color w:val="auto"/>
        </w:rPr>
        <w:t xml:space="preserve"> – the company's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w:t>
      </w:r>
      <w:r>
        <w:rPr>
          <w:rFonts w:ascii="Arial" w:cs="Arial" w:eastAsia="Arial" w:hAnsi="Arial"/>
          <w:sz w:val="21"/>
          <w:szCs w:val="21"/>
          <w:u w:val="single" w:color="auto"/>
          <w:color w:val="006EBF"/>
        </w:rPr>
        <w:t>www.micron.com</w:t>
      </w:r>
      <w:r>
        <w:rPr>
          <w:rFonts w:ascii="Arial" w:cs="Arial" w:eastAsia="Arial" w:hAnsi="Arial"/>
          <w:sz w:val="21"/>
          <w:szCs w:val="21"/>
          <w:color w:val="auto"/>
        </w:rPr>
        <w:t>.</w:t>
      </w:r>
    </w:p>
    <w:p>
      <w:pPr>
        <w:spacing w:after="0" w:line="339" w:lineRule="exact"/>
        <w:rPr>
          <w:sz w:val="20"/>
          <w:szCs w:val="20"/>
          <w:color w:val="auto"/>
        </w:rPr>
      </w:pPr>
    </w:p>
    <w:p>
      <w:pPr>
        <w:ind w:right="200" w:firstLine="324"/>
        <w:spacing w:after="0" w:line="366"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322" w:lineRule="exact"/>
        <w:rPr>
          <w:sz w:val="20"/>
          <w:szCs w:val="20"/>
          <w:color w:val="auto"/>
        </w:rPr>
      </w:pPr>
    </w:p>
    <w:p>
      <w:pPr>
        <w:ind w:right="140" w:firstLine="324"/>
        <w:spacing w:after="0" w:line="352" w:lineRule="auto"/>
        <w:rPr>
          <w:sz w:val="20"/>
          <w:szCs w:val="20"/>
          <w:color w:val="auto"/>
        </w:rPr>
      </w:pPr>
      <w:r>
        <w:rPr>
          <w:rFonts w:ascii="Arial" w:cs="Arial" w:eastAsia="Arial" w:hAnsi="Arial"/>
          <w:sz w:val="22"/>
          <w:szCs w:val="22"/>
          <w:i w:val="1"/>
          <w:iCs w:val="1"/>
          <w:color w:val="auto"/>
        </w:rPr>
        <w:t>This press release contains forward-looking statements regarding the company's strategic position and financial results.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w:t>
      </w:r>
    </w:p>
    <w:p>
      <w:pPr>
        <w:sectPr>
          <w:pgSz w:w="11900" w:h="16838" w:orient="portrait"/>
          <w:cols w:equalWidth="0" w:num="1">
            <w:col w:w="11420"/>
          </w:cols>
          <w:pgMar w:left="240" w:top="645" w:right="239" w:bottom="1440" w:gutter="0" w:footer="0" w:header="0"/>
        </w:sectPr>
      </w:pPr>
    </w:p>
    <w:bookmarkStart w:id="6" w:name="page7"/>
    <w:bookmarkEnd w:id="6"/>
    <w:p>
      <w:pPr>
        <w:spacing w:after="0" w:line="415" w:lineRule="auto"/>
        <w:rPr>
          <w:sz w:val="20"/>
          <w:szCs w:val="20"/>
          <w:color w:val="auto"/>
        </w:rPr>
      </w:pPr>
      <w:r>
        <w:rPr>
          <w:rFonts w:ascii="Arial" w:cs="Arial" w:eastAsia="Arial" w:hAnsi="Arial"/>
          <w:sz w:val="19"/>
          <w:szCs w:val="19"/>
          <w:i w:val="1"/>
          <w:iCs w:val="1"/>
          <w:color w:val="auto"/>
        </w:rPr>
        <w:t>documents contain and identify important factors that could cause the company's actual results to differ materially from those contained in its forward-looking statements. These certain factors can be found at http://www.micron.com/certainfactors. Although the company believes that the expectations reflected in the forward-looking statements are reasonable, it cannot guarantee future results, levels of activity, performance or achievements. The company is under no duty to update any of the forward-looking statements after the date of this release to conform these statements to actual results.</w:t>
      </w:r>
    </w:p>
    <w:p>
      <w:pPr>
        <w:spacing w:after="0" w:line="26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220" w:firstLine="332"/>
        <w:spacing w:after="0" w:line="380"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and from the exclusion of stock-based compensation. For a reconciliation of GAAP to non-GAAP results, see the accompanying financial tables and footnotes.</w:t>
      </w:r>
    </w:p>
    <w:p>
      <w:pPr>
        <w:sectPr>
          <w:pgSz w:w="11900" w:h="16838" w:orient="portrait"/>
          <w:cols w:equalWidth="0" w:num="1">
            <w:col w:w="11340"/>
          </w:cols>
          <w:pgMar w:left="240" w:top="645" w:right="319" w:bottom="1440" w:gutter="0" w:footer="0" w:header="0"/>
        </w:sectPr>
      </w:pPr>
    </w:p>
    <w:bookmarkStart w:id="7" w:name="page8"/>
    <w:bookmarkEnd w:id="7"/>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1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5"/>
                <w:szCs w:val="25"/>
                <w:b w:val="1"/>
                <w:bCs w:val="1"/>
                <w:color w:val="auto"/>
                <w:w w:val="84"/>
                <w:vertAlign w:val="superscript"/>
              </w:rPr>
              <w:t>st</w:t>
            </w:r>
            <w:r>
              <w:rPr>
                <w:rFonts w:ascii="Arial" w:cs="Arial" w:eastAsia="Arial" w:hAnsi="Arial"/>
                <w:sz w:val="18"/>
                <w:szCs w:val="18"/>
                <w:b w:val="1"/>
                <w:bCs w:val="1"/>
                <w:color w:val="auto"/>
                <w:w w:val="84"/>
              </w:rPr>
              <w:t xml:space="preserve"> Qtr.</w:t>
            </w:r>
          </w:p>
        </w:tc>
        <w:tc>
          <w:tcPr>
            <w:tcW w:w="2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26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December 1,</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4,856</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4"/>
              </w:rPr>
              <w:t>Equity in net income (loss) of equity method investees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84"/>
        </w:trPr>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1,072</w:t>
            </w:r>
          </w:p>
        </w:tc>
      </w:tr>
    </w:tbl>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9,495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14,686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9,154</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12,080</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12,928</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w:t>
            </w:r>
          </w:p>
        </w:tc>
      </w:t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Acquisition of Inotera</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 and equipment sale-leaseback transactions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598</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22"/>
          <w:szCs w:val="22"/>
          <w:b w:val="1"/>
          <w:bCs w:val="1"/>
          <w:color w:val="auto"/>
        </w:rPr>
        <w:t>Inotera Acquisition</w:t>
      </w:r>
    </w:p>
    <w:p>
      <w:pPr>
        <w:spacing w:after="0" w:line="219"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On December 6, 2016, the company acquired the remaining 67% interest in Inotera Memories, Inc. ("Inotera") and began consolidating Inotera's operating results. Cash paid for the Inotera acquisition was funded, in part, with proceeds from the 2021 MSTW Term Loan (defined below) and the sale of shares of the company's common stock to Nanya (the "Micron Shares"). Inotera manufactures DRAM products at its 300mm wafer fabrication facility in Taoyuan City, Taiwan, and sold such products exclusively to the company through supply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fair value of consideration consisted of $3.11 billion of cash, $995 million for the fair value of the Micron Shares exchanged for Inotera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shares, and $1.44 billion for the fair value of the company's previously-held equity interest in Inotera, net of $361 million for payments attributed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intercompany balances with Inotera. The provisional fair values of assets and liabilities acquired include, among other items, cash of $118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 of $285 million; property, plant, and equipment of $3.78 billion; goodwill of $1.09 billion; and accounts payable and accrued expenses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($232) million, and could change as additional information becomes available. In connection with the acquisition, the company revalued its 33% interest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Inotera from its carrying value to its fair value and recognized a non-operating gain of $71 million in the second quarter of 2017.</w:t>
      </w:r>
    </w:p>
    <w:p>
      <w:pPr>
        <w:spacing w:after="0" w:line="211" w:lineRule="exact"/>
        <w:rPr>
          <w:sz w:val="20"/>
          <w:szCs w:val="20"/>
          <w:color w:val="auto"/>
        </w:rPr>
      </w:pPr>
    </w:p>
    <w:p>
      <w:pPr>
        <w:ind w:left="340" w:right="8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of fiscal 2016, the company initiated a restructure plan in response to business conditions and the need to accelerate focus on its key priorities. As a result, the company incurred charges of $33 million in the first six months of fiscal 2017 and $58 million in the fourth quarter of fiscal 2016 and does not expect to incur additional material charges.</w:t>
      </w:r>
    </w:p>
    <w:p>
      <w:pPr>
        <w:spacing w:after="0" w:line="181"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Inotera acquisition, on December 6, 2016, the company drew $2.5 billion under a collateralized, five-year term loan that bears interest at a variable rate equal to the three-month or six-month TAIBOR, at the company's option, plus a margin of 2.05% per annum, payable monthly in arrears (the "2021 MSTW Term Loan"). Principal under the 2021 MSTW Term Loan is payable in six equal semi-annual installments, commencing in June 2019. The 2021 MSTW Term Loan is denominated in New Taiwan dollars.</w:t>
      </w:r>
    </w:p>
    <w:p>
      <w:pPr>
        <w:spacing w:after="0" w:line="186" w:lineRule="exact"/>
        <w:rPr>
          <w:rFonts w:ascii="Arial" w:cs="Arial" w:eastAsia="Arial" w:hAnsi="Arial"/>
          <w:sz w:val="18"/>
          <w:szCs w:val="18"/>
          <w:color w:val="auto"/>
        </w:rPr>
      </w:pPr>
    </w:p>
    <w:p>
      <w:pPr>
        <w:ind w:left="340" w:right="40"/>
        <w:spacing w:after="0" w:line="259" w:lineRule="auto"/>
        <w:rPr>
          <w:rFonts w:ascii="Arial" w:cs="Arial" w:eastAsia="Arial" w:hAnsi="Arial"/>
          <w:sz w:val="18"/>
          <w:szCs w:val="18"/>
          <w:color w:val="auto"/>
        </w:rPr>
      </w:pPr>
      <w:r>
        <w:rPr>
          <w:rFonts w:ascii="Arial" w:cs="Arial" w:eastAsia="Arial" w:hAnsi="Arial"/>
          <w:sz w:val="18"/>
          <w:szCs w:val="18"/>
          <w:color w:val="auto"/>
        </w:rPr>
        <w:t>On November 18, 2016, the company entered into a five-year variable-rate facility agreement to obtain up to $800 million of financing, collateralized by certain production equipment. On December 2, 2016, the company drew $450 million under the facility and may utilize the remaining facility in multiple draws until June 10, 2017. Interest is payable quarterly at a rate equal to the three-month LIBOR plus 2.4% per annum. Principal is payable in 16 equal quarterly installments beginning in March 2018.</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(provision) benefit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11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18"/>
        </w:trPr>
        <w:tc>
          <w:tcPr>
            <w:tcW w:w="356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March 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1,</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1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 2017</w:t>
            </w:r>
          </w:p>
        </w:tc>
        <w:tc>
          <w:tcPr>
            <w:tcW w:w="1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March 3, 2016</w:t>
            </w:r>
          </w:p>
        </w:tc>
      </w:tr>
      <w:tr>
        <w:trPr>
          <w:trHeight w:val="27"/>
        </w:trPr>
        <w:tc>
          <w:tcPr>
            <w:tcW w:w="3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Utilization of and other changes in net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of MMJ, MMT, and</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Inotera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U.S. valuation allowance release resulting</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from business acquisition</w:t>
            </w:r>
          </w:p>
        </w:tc>
        <w:tc>
          <w:tcPr>
            <w:tcW w:w="11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primarily other non-U.S. operations</w:t>
            </w: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56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a full valuation allowance for its net deferred tax asset associated with its U.S. operations. The (provision) benefit for taxes on 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 for fiscal 2017 and 2016 was substantially offset by changes in the valuation allowance.</w:t>
      </w:r>
    </w:p>
    <w:p>
      <w:pPr>
        <w:spacing w:after="0" w:line="211" w:lineRule="exact"/>
        <w:rPr>
          <w:sz w:val="20"/>
          <w:szCs w:val="20"/>
          <w:color w:val="auto"/>
        </w:rPr>
      </w:pPr>
    </w:p>
    <w:p>
      <w:pPr>
        <w:ind w:left="340" w:right="40" w:hanging="332"/>
        <w:spacing w:after="0" w:line="257"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company's acquisition of Inotera, in the second quarter of 2017, the company sold 58 million shares of its common stock to Nanya for $986 million, of which 54 million were issued from treasury stock. As a result, treasury stock decreased by $1.03 billion, which resulted in a decrease in retained earnings of $104 million for the difference between the carrying value of the treasury stock and its $925 million fair value. These shares were issued in a transaction exempt from the registration requirements of the Securities Act of 1933, as amended, and are subject to certain restrictions on transfers.</w:t>
      </w:r>
    </w:p>
    <w:p>
      <w:pPr>
        <w:sectPr>
          <w:pgSz w:w="11900" w:h="16838" w:orient="portrait"/>
          <w:cols w:equalWidth="0" w:num="1">
            <w:col w:w="11420"/>
          </w:cols>
          <w:pgMar w:left="240" w:top="585" w:right="23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080" w:type="dxa"/>
            <w:vAlign w:val="bottom"/>
            <w:gridSpan w:val="7"/>
          </w:tcPr>
          <w:p>
            <w:pPr>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12"/>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2,</w:t>
            </w:r>
          </w:p>
        </w:tc>
        <w:tc>
          <w:tcPr>
            <w:tcW w:w="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December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5"/>
              </w:rPr>
              <w:t>March 3,</w:t>
            </w:r>
          </w:p>
        </w:tc>
      </w:t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(loss) attributable to Micron</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Flow-through of Inotera inventory step up</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Inotera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w w:val="95"/>
              </w:rPr>
              <w:t>(Gain) loss from changes in currency exchange rates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loss from business acquisition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Estimated tax effects of above and non-cash changes in deferred taxes</w:t>
            </w: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424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Number of shares used in diluted per share calculations: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GAAP</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 and other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97"/>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3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1,048</w:t>
            </w:r>
          </w:p>
        </w:tc>
      </w:tr>
      <w:tr>
        <w:trPr>
          <w:trHeight w:val="284"/>
        </w:trPr>
        <w:tc>
          <w:tcPr>
            <w:tcW w:w="4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7"/>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w w:val="88"/>
              </w:rPr>
              <w:t>2</w:t>
            </w:r>
            <w:r>
              <w:rPr>
                <w:rFonts w:ascii="Arial" w:cs="Arial" w:eastAsia="Arial" w:hAnsi="Arial"/>
                <w:sz w:val="25"/>
                <w:szCs w:val="25"/>
                <w:b w:val="1"/>
                <w:bCs w:val="1"/>
                <w:color w:val="auto"/>
                <w:w w:val="88"/>
                <w:vertAlign w:val="superscript"/>
              </w:rPr>
              <w:t>nd</w:t>
            </w:r>
            <w:r>
              <w:rPr>
                <w:rFonts w:ascii="Arial" w:cs="Arial" w:eastAsia="Arial" w:hAnsi="Arial"/>
                <w:sz w:val="18"/>
                <w:szCs w:val="18"/>
                <w:b w:val="1"/>
                <w:bCs w:val="1"/>
                <w:color w:val="auto"/>
                <w:w w:val="88"/>
              </w:rPr>
              <w:t xml:space="preserve"> Qtr.</w:t>
            </w:r>
          </w:p>
        </w:tc>
      </w:t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3"/>
              </w:rPr>
              <w:t>March 2, 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2"/>
              </w:rPr>
              <w:t>December 1, 2016</w:t>
            </w:r>
          </w:p>
        </w:tc>
        <w:tc>
          <w:tcPr>
            <w:tcW w:w="120" w:type="dxa"/>
            <w:vAlign w:val="bottom"/>
          </w:tcPr>
          <w:p>
            <w:pPr>
              <w:spacing w:after="0"/>
              <w:rPr>
                <w:sz w:val="20"/>
                <w:szCs w:val="20"/>
                <w:color w:val="auto"/>
              </w:rPr>
            </w:pPr>
          </w:p>
        </w:tc>
        <w:tc>
          <w:tcPr>
            <w:tcW w:w="232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rPr>
              <w:t>March 3, 2016</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2,934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8"/>
              </w:rPr>
              <w:t>2,355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97"/>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non-GAAP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7"/>
        </w:trPr>
        <w:tc>
          <w:tcPr>
            <w:tcW w:w="4240" w:type="dxa"/>
            <w:vAlign w:val="bottom"/>
          </w:tcPr>
          <w:p>
            <w:pPr>
              <w:ind w:left="200"/>
              <w:spacing w:after="0"/>
              <w:rPr>
                <w:sz w:val="20"/>
                <w:szCs w:val="20"/>
                <w:color w:val="auto"/>
              </w:rPr>
            </w:pPr>
            <w:r>
              <w:rPr>
                <w:rFonts w:ascii="Arial" w:cs="Arial" w:eastAsia="Arial" w:hAnsi="Arial"/>
                <w:sz w:val="18"/>
                <w:szCs w:val="18"/>
                <w:color w:val="auto"/>
              </w:rPr>
              <w:t>Non-GAAP gross margin</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420" w:type="dxa"/>
            <w:vAlign w:val="bottom"/>
          </w:tcPr>
          <w:p>
            <w:pPr>
              <w:spacing w:after="0"/>
              <w:rPr>
                <w:sz w:val="22"/>
                <w:szCs w:val="22"/>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38.5%  $</w:t>
            </w:r>
          </w:p>
        </w:tc>
        <w:tc>
          <w:tcPr>
            <w:tcW w:w="22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0"/>
              </w:rPr>
              <w:t>26.0%</w:t>
            </w:r>
          </w:p>
        </w:tc>
        <w:tc>
          <w:tcPr>
            <w:tcW w:w="9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4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tables above set forth non-GAAP net income (loss) attributable to Micron, diluted shares, diluted earnings (loss) per share, and gross margin.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company believes these non-GAAP financial</w:t>
      </w:r>
    </w:p>
    <w:p>
      <w:pPr>
        <w:sectPr>
          <w:pgSz w:w="11900" w:h="16838" w:orient="portrait"/>
          <w:cols w:equalWidth="0" w:num="1">
            <w:col w:w="11420"/>
          </w:cols>
          <w:pgMar w:left="240" w:top="580" w:right="23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measures increase transparency by providing investors with useful supplemental information about the financial performance of its business, enabling enhanced comparison of its operating results between periods and with peer companies. The presentation of these adjusted amounts vary from numbers presented in accordance with U.S. GAAP and therefore may not be comparable to amounts reported by other companies. In the first quarter of fiscal 2017, the company began excluding stock-based compensation and amortization of acquisition-related intangible assets from non-GAAP results. Comparative periods have been restated.</w:t>
      </w:r>
    </w:p>
    <w:p>
      <w:pPr>
        <w:spacing w:after="0" w:line="18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Inotera inventory step up;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 acquisition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charges to impair equity method investments;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business acquisition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acquisition-related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tax effects of above and non-cash changes in deferred taxes.</w:t>
      </w:r>
    </w:p>
    <w:p>
      <w:pPr>
        <w:spacing w:after="0" w:line="2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outstanding capped call transactions are anti-dilutive in GAAP earnings per share but are expected to mitigate the dilutive effect of the company's convertible notes. In periods with non-GAAP income attributable to Micron, non-GAAP diluted shares include the impact of the capped calls, based on the average share price for the period that the capped calls are outstanding. Non-GAAP shares are also adjusted for the offsetting impact of additional shares resulting from the exclusion of stock-based compensation from non-GAAP income. In addition, in periods with a GAAP loss and non-GAAP income, non-GAAP diluted shares also includes the dilutive effect of equity plans and convertible notes as such amounts would not be included in the corresponding determination of GAAP diluted shares.</w:t>
      </w:r>
    </w:p>
    <w:p>
      <w:pPr>
        <w:sectPr>
          <w:pgSz w:w="11900" w:h="16838" w:orient="portrait"/>
          <w:cols w:equalWidth="0" w:num="1">
            <w:col w:w="11400"/>
          </w:cols>
          <w:pgMar w:left="240" w:top="584" w:right="259" w:bottom="1440" w:gutter="0" w:footer="0" w:header="0"/>
        </w:sectPr>
      </w:pPr>
    </w:p>
    <w:bookmarkStart w:id="12" w:name="page13"/>
    <w:bookmarkEnd w:id="12"/>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170180</wp:posOffset>
            </wp:positionV>
            <wp:extent cx="5848985" cy="6860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997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6997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60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985" cy="6860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2019-12-05T10:56:27Z</dcterms:created>
  <dcterms:modified xsi:type="dcterms:W3CDTF">2019-12-05T10:56:27Z</dcterms:modified>
</cp:coreProperties>
</file>