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32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700"/>
        <w:spacing w:after="0"/>
        <w:tabs>
          <w:tab w:leader="none" w:pos="704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right"/>
        <w:ind w:right="1779"/>
        <w:spacing w:after="0"/>
        <w:tabs>
          <w:tab w:leader="none" w:pos="168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6"/>
          <w:szCs w:val="16"/>
          <w:color w:val="auto"/>
        </w:rPr>
        <w:t>October 31, 1997</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Estimated average burden</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hours per response...14.90</w:t>
      </w:r>
    </w:p>
    <w:p>
      <w:pPr>
        <w:spacing w:after="0" w:line="21"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NETFRAME SYSTEMS INCORPORATED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COMMON STOCK, $0.001 PAR VALUE PER SHARE</w:t>
      </w:r>
    </w:p>
    <w:p>
      <w:pPr>
        <w:ind w:left="200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64-1106109</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RODERIC W. LEWIS, MICRON TECHNOLOGY, INC., 8000 S. FEDERAL WAY,</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5140" w:val="left"/>
        </w:tabs>
        <w:rPr>
          <w:sz w:val="20"/>
          <w:szCs w:val="20"/>
          <w:color w:val="auto"/>
        </w:rPr>
      </w:pPr>
      <w:r>
        <w:rPr>
          <w:rFonts w:ascii="Courier New" w:cs="Courier New" w:eastAsia="Courier New" w:hAnsi="Courier New"/>
          <w:sz w:val="18"/>
          <w:szCs w:val="18"/>
          <w:color w:val="auto"/>
        </w:rPr>
        <w:t>P.O. BOX 6, BOISE, ID 83707-0006</w:t>
      </w:r>
      <w:r>
        <w:rPr>
          <w:sz w:val="20"/>
          <w:szCs w:val="20"/>
          <w:color w:val="auto"/>
        </w:rPr>
        <w:tab/>
      </w:r>
      <w:r>
        <w:rPr>
          <w:rFonts w:ascii="Courier New" w:cs="Courier New" w:eastAsia="Courier New" w:hAnsi="Courier New"/>
          <w:sz w:val="16"/>
          <w:szCs w:val="16"/>
          <w:color w:val="auto"/>
        </w:rPr>
        <w:t>(208) 368-4000</w:t>
      </w:r>
    </w:p>
    <w:p>
      <w:pPr>
        <w:ind w:left="1580"/>
        <w:spacing w:after="0" w:line="237" w:lineRule="auto"/>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July 18, 1997</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[_]</w:t>
      </w:r>
    </w:p>
    <w:p>
      <w:pPr>
        <w:sectPr>
          <w:pgSz w:w="11900" w:h="16838" w:orient="portrait"/>
          <w:cols w:equalWidth="0" w:num="1">
            <w:col w:w="10219"/>
          </w:cols>
          <w:pgMar w:left="240" w:top="65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6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0" w:gutter="0" w:footer="0" w:header="0"/>
        </w:sectPr>
      </w:pPr>
    </w:p>
    <w:p>
      <w:pPr>
        <w:spacing w:after="0" w:line="2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S.S. OR I.R.S. IDENTIFICATION NO. OF ABOVE PERSON</w:t>
      </w:r>
    </w:p>
    <w:p>
      <w:pPr>
        <w:spacing w:after="0" w:line="20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MICRON TECHNOLOGY, INC.</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75-1618004</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 TO</w:t>
      </w:r>
    </w:p>
    <w:p>
      <w:pPr>
        <w:ind w:left="120"/>
        <w:spacing w:after="0"/>
        <w:tabs>
          <w:tab w:leader="none" w:pos="620" w:val="left"/>
          <w:tab w:leader="none" w:pos="78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7" w:lineRule="auto"/>
        <w:rPr>
          <w:sz w:val="20"/>
          <w:szCs w:val="20"/>
          <w:color w:val="auto"/>
        </w:rPr>
      </w:pPr>
      <w:r>
        <w:rPr>
          <w:rFonts w:ascii="Courier New" w:cs="Courier New" w:eastAsia="Courier New" w:hAnsi="Courier New"/>
          <w:sz w:val="18"/>
          <w:szCs w:val="18"/>
          <w:color w:val="auto"/>
        </w:rPr>
        <w:t>STATE OF DELAWARE</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320"/>
        <w:spacing w:after="0"/>
        <w:rPr>
          <w:sz w:val="20"/>
          <w:szCs w:val="20"/>
          <w:color w:val="auto"/>
        </w:rPr>
      </w:pPr>
      <w:r>
        <w:rPr>
          <w:rFonts w:ascii="Courier New" w:cs="Courier New" w:eastAsia="Courier New" w:hAnsi="Courier New"/>
          <w:sz w:val="18"/>
          <w:szCs w:val="18"/>
          <w:color w:val="auto"/>
        </w:rPr>
        <w:t>7</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3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8</w:t>
      </w:r>
    </w:p>
    <w:p>
      <w:pPr>
        <w:ind w:left="2640"/>
        <w:spacing w:after="0" w:line="237" w:lineRule="auto"/>
        <w:rPr>
          <w:sz w:val="20"/>
          <w:szCs w:val="20"/>
          <w:color w:val="auto"/>
        </w:rPr>
      </w:pPr>
      <w:r>
        <w:rPr>
          <w:rFonts w:ascii="Courier New" w:cs="Courier New" w:eastAsia="Courier New" w:hAnsi="Courier New"/>
          <w:sz w:val="18"/>
          <w:szCs w:val="18"/>
          <w:color w:val="auto"/>
        </w:rPr>
        <w:t>Indirectly: 8,775,554 shares of Common Stock.</w:t>
      </w: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(Pursuant to a cash tender offer of Payette</w:t>
      </w:r>
    </w:p>
    <w:p>
      <w:pPr>
        <w:ind w:left="2640"/>
        <w:spacing w:after="0"/>
        <w:rPr>
          <w:sz w:val="20"/>
          <w:szCs w:val="20"/>
          <w:color w:val="auto"/>
        </w:rPr>
      </w:pPr>
      <w:r>
        <w:rPr>
          <w:rFonts w:ascii="Courier New" w:cs="Courier New" w:eastAsia="Courier New" w:hAnsi="Courier New"/>
          <w:sz w:val="18"/>
          <w:szCs w:val="18"/>
          <w:color w:val="auto"/>
        </w:rPr>
        <w:t>Acquisition Corporation, a Delaware corporation</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("Payette") and a wholly owned subsidiary of</w:t>
      </w:r>
    </w:p>
    <w:p>
      <w:pPr>
        <w:ind w:left="2640"/>
        <w:spacing w:after="0"/>
        <w:rPr>
          <w:sz w:val="20"/>
          <w:szCs w:val="20"/>
          <w:color w:val="auto"/>
        </w:rPr>
      </w:pPr>
      <w:r>
        <w:rPr>
          <w:rFonts w:ascii="Courier New" w:cs="Courier New" w:eastAsia="Courier New" w:hAnsi="Courier New"/>
          <w:sz w:val="18"/>
          <w:szCs w:val="18"/>
          <w:color w:val="auto"/>
        </w:rPr>
        <w:t>Micron Electronics, Inc., a majority owned</w:t>
      </w:r>
    </w:p>
    <w:p>
      <w:pPr>
        <w:ind w:left="420"/>
        <w:spacing w:after="0"/>
        <w:tabs>
          <w:tab w:leader="none" w:pos="26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subsidiary of Micron Technology, Inc., Payette</w:t>
      </w:r>
    </w:p>
    <w:p>
      <w:pPr>
        <w:ind w:left="2640"/>
        <w:spacing w:after="0"/>
        <w:rPr>
          <w:sz w:val="20"/>
          <w:szCs w:val="20"/>
          <w:color w:val="auto"/>
        </w:rPr>
      </w:pPr>
      <w:r>
        <w:rPr>
          <w:rFonts w:ascii="Courier New" w:cs="Courier New" w:eastAsia="Courier New" w:hAnsi="Courier New"/>
          <w:sz w:val="18"/>
          <w:szCs w:val="18"/>
          <w:color w:val="auto"/>
        </w:rPr>
        <w:t>on July 18, 1997 purchased 8,775,554 shares</w:t>
      </w:r>
    </w:p>
    <w:p>
      <w:pPr>
        <w:ind w:left="640"/>
        <w:spacing w:after="0"/>
        <w:tabs>
          <w:tab w:leader="none" w:pos="262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of the Common Stock of Issuer).</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WITH</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SOLE DISPOSITIVE POWER</w:t>
      </w:r>
    </w:p>
    <w:p>
      <w:pPr>
        <w:ind w:left="2320"/>
        <w:spacing w:after="0" w:line="237" w:lineRule="auto"/>
        <w:rPr>
          <w:sz w:val="20"/>
          <w:szCs w:val="20"/>
          <w:color w:val="auto"/>
        </w:rPr>
      </w:pPr>
      <w:r>
        <w:rPr>
          <w:rFonts w:ascii="Courier New" w:cs="Courier New" w:eastAsia="Courier New" w:hAnsi="Courier New"/>
          <w:sz w:val="18"/>
          <w:szCs w:val="18"/>
          <w:color w:val="auto"/>
        </w:rPr>
        <w:t>9</w:t>
      </w:r>
    </w:p>
    <w:p>
      <w:pPr>
        <w:ind w:left="2640"/>
        <w:spacing w:after="0" w:line="238" w:lineRule="auto"/>
        <w:rPr>
          <w:sz w:val="20"/>
          <w:szCs w:val="20"/>
          <w:color w:val="auto"/>
        </w:rPr>
      </w:pPr>
      <w:r>
        <w:rPr>
          <w:rFonts w:ascii="Courier New" w:cs="Courier New" w:eastAsia="Courier New" w:hAnsi="Courier New"/>
          <w:sz w:val="18"/>
          <w:szCs w:val="18"/>
          <w:color w:val="auto"/>
        </w:rPr>
        <w:t>-0-</w:t>
      </w:r>
    </w:p>
    <w:p>
      <w:pPr>
        <w:ind w:left="222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SHARED DISPOSITIVE POWER</w:t>
      </w:r>
    </w:p>
    <w:p>
      <w:pPr>
        <w:ind w:left="2220"/>
        <w:spacing w:after="0"/>
        <w:rPr>
          <w:sz w:val="20"/>
          <w:szCs w:val="20"/>
          <w:color w:val="auto"/>
        </w:rPr>
      </w:pPr>
      <w:r>
        <w:rPr>
          <w:rFonts w:ascii="Courier New" w:cs="Courier New" w:eastAsia="Courier New" w:hAnsi="Courier New"/>
          <w:sz w:val="18"/>
          <w:szCs w:val="18"/>
          <w:color w:val="auto"/>
        </w:rPr>
        <w:t>10</w:t>
      </w:r>
    </w:p>
    <w:p>
      <w:pPr>
        <w:ind w:left="2640"/>
        <w:spacing w:after="0" w:line="237" w:lineRule="auto"/>
        <w:rPr>
          <w:sz w:val="20"/>
          <w:szCs w:val="20"/>
          <w:color w:val="auto"/>
        </w:rPr>
      </w:pPr>
      <w:r>
        <w:rPr>
          <w:rFonts w:ascii="Courier New" w:cs="Courier New" w:eastAsia="Courier New" w:hAnsi="Courier New"/>
          <w:sz w:val="18"/>
          <w:szCs w:val="18"/>
          <w:color w:val="auto"/>
        </w:rPr>
        <w:t>SEE ITEM 8 ABOVE</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8,775,554 shares of Common Stock.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8100" w:val="left"/>
        </w:tabs>
        <w:rPr>
          <w:sz w:val="20"/>
          <w:szCs w:val="20"/>
          <w:color w:val="auto"/>
        </w:rPr>
      </w:pPr>
      <w:r>
        <w:rPr>
          <w:rFonts w:ascii="Courier New" w:cs="Courier New" w:eastAsia="Courier New" w:hAnsi="Courier New"/>
          <w:sz w:val="18"/>
          <w:szCs w:val="18"/>
          <w:color w:val="auto"/>
        </w:rPr>
        <w:t>CHECK BOX IF THE AGGREGATE AMOUNT IN ROW (11) EXCLUDES CERTAIN SHARES</w:t>
      </w:r>
      <w:r>
        <w:rPr>
          <w:sz w:val="20"/>
          <w:szCs w:val="20"/>
          <w:color w:val="auto"/>
        </w:rPr>
        <w:tab/>
      </w:r>
      <w:r>
        <w:rPr>
          <w:rFonts w:ascii="Courier New" w:cs="Courier New" w:eastAsia="Courier New" w:hAnsi="Courier New"/>
          <w:sz w:val="16"/>
          <w:szCs w:val="16"/>
          <w:color w:val="auto"/>
        </w:rPr>
        <w:t>[_]</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PERCENT OF CLASS REPRESENTED BY AMOUNT IN ROW (11)</w:t>
      </w:r>
    </w:p>
    <w:p>
      <w:pPr>
        <w:spacing w:after="0" w:line="238" w:lineRule="auto"/>
        <w:rPr>
          <w:sz w:val="20"/>
          <w:szCs w:val="20"/>
          <w:color w:val="auto"/>
        </w:rPr>
      </w:pPr>
      <w:r>
        <w:rPr>
          <w:rFonts w:ascii="Courier New" w:cs="Courier New" w:eastAsia="Courier New" w:hAnsi="Courier New"/>
          <w:sz w:val="18"/>
          <w:szCs w:val="18"/>
          <w:color w:val="auto"/>
        </w:rPr>
        <w:t>13</w:t>
      </w:r>
    </w:p>
    <w:p>
      <w:pPr>
        <w:ind w:left="640"/>
        <w:spacing w:after="0"/>
        <w:rPr>
          <w:sz w:val="20"/>
          <w:szCs w:val="20"/>
          <w:color w:val="auto"/>
        </w:rPr>
      </w:pPr>
      <w:r>
        <w:rPr>
          <w:rFonts w:ascii="Courier New" w:cs="Courier New" w:eastAsia="Courier New" w:hAnsi="Courier New"/>
          <w:sz w:val="18"/>
          <w:szCs w:val="18"/>
          <w:color w:val="auto"/>
        </w:rPr>
        <w:t>62.8%</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23" w:right="1440" w:bottom="0" w:gutter="0" w:footer="0" w:header="0"/>
          <w:type w:val="continuous"/>
        </w:sectPr>
      </w:pPr>
    </w:p>
    <w:bookmarkStart w:id="2" w:name="page3"/>
    <w:bookmarkEnd w:id="2"/>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6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22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Neither the filing of this Amendment No. 1 to the Schedule 13D filed with the Securities and Exchange Commission on June 20, 1997 (as amended, this "STATEMENT") nor any of its contents shall be deemed to constitute an admission by Micron Technology, Inc., a Delaware corporation, that it is the beneficial owner of any of the Common Stock referred to herein, for purposes of Section 13(d) of the Securities Exchange Act of 1934, as amended, or for any other purpose, and such beneficial ownership is expressly disclaimed.</w:t>
      </w:r>
    </w:p>
    <w:p>
      <w:pPr>
        <w:spacing w:after="0" w:line="211" w:lineRule="exact"/>
        <w:rPr>
          <w:sz w:val="20"/>
          <w:szCs w:val="20"/>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This Statement relates to the common stock, par value $0.001 per share ("ISSUER COMMON STOCK"), of NetFRAME Systems Incorporated, a Delaware corporation ("ISSUER").</w:t>
      </w:r>
    </w:p>
    <w:p>
      <w:pPr>
        <w:sectPr>
          <w:pgSz w:w="11900" w:h="16838" w:orient="portrait"/>
          <w:cols w:equalWidth="0" w:num="1">
            <w:col w:w="10219"/>
          </w:cols>
          <w:pgMar w:left="240" w:top="723"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6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Pursuant to a cash tender offer of Payette Acquisition Corporation, a Delaware corporation and a wholly owned subsidiary of Micron Electronics, Inc. ("Payette"), on Friday, July 18, 1997, Payette purchased 8,775,554 shares of the Common Stock of Issuer that were tendered pursuant to such offer. The shares purchased represented approximately 62.8% of the 13,978,445 shares of Issuer Common Stock issued and outstanding on such date.</w:t>
      </w:r>
    </w:p>
    <w:p>
      <w:pPr>
        <w:spacing w:after="0" w:line="186"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Because Micron Electronics is a majority owned subsidiary of Micron Technology, Micron Technology may be deemed to beneficially own the shares of Issuer Common Stock purchased by Payette pursuant to the tender offer.</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a Stock Option Agreement, a copy of which was filed as Exhibit 2 to this Statement, Micron Electronics was granted an option to purchase shares of Issuer Common Stock representing a 19.9% equity stake in Issuer (the "Issuer Stock Option"). Upon Payette's consummation of the cash tender offer and purchase of shares of Issuer Common Stock on Friday, July 18, 1997, the Issuer Stock Option granted Micron Electronics under the Stock Option Agreement terminated as provided in Section 2.(c)(i) thereof.</w:t>
      </w:r>
    </w:p>
    <w:p>
      <w:pPr>
        <w:sectPr>
          <w:pgSz w:w="11900" w:h="16838" w:orient="portrait"/>
          <w:cols w:equalWidth="0" w:num="1">
            <w:col w:w="10219"/>
          </w:cols>
          <w:pgMar w:left="240" w:top="723"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6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Micron Technology was not a party to the Stock Option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18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ISSUER.</w:t>
      </w:r>
    </w:p>
    <w:p>
      <w:pPr>
        <w:spacing w:after="0" w:line="20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Other than as described herein, to Micron Technology's knowledge, there are no contracts, arrangements, understandings or relationships (legal or otherwise) among the persons named in Item 2 and between such persons and any person with respect to any securities of Issuer, including but not limited to transfer or voting of any of the securities, finder's fees, joint ventures, loan or option arrangements, puts or calls, guarantees or profits, division or profits or loss, or the giving or withholding or proxies.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Item 5 above.</w:t>
      </w:r>
    </w:p>
    <w:p>
      <w:pPr>
        <w:sectPr>
          <w:pgSz w:w="11900" w:h="16838" w:orient="portrait"/>
          <w:cols w:equalWidth="0" w:num="1">
            <w:col w:w="10219"/>
          </w:cols>
          <w:pgMar w:left="240" w:top="723"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6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right="1779" w:firstLine="211"/>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25, 1997</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140" w:val="left"/>
          <w:tab w:leader="none" w:pos="368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RODERIC W. LEWIS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Vice President of Legal Affairs, General</w:t>
      </w:r>
    </w:p>
    <w:p>
      <w:pPr>
        <w:ind w:left="3480"/>
        <w:spacing w:after="0" w:line="238" w:lineRule="auto"/>
        <w:rPr>
          <w:sz w:val="20"/>
          <w:szCs w:val="20"/>
          <w:color w:val="auto"/>
        </w:rPr>
      </w:pPr>
      <w:r>
        <w:rPr>
          <w:rFonts w:ascii="Courier New" w:cs="Courier New" w:eastAsia="Courier New" w:hAnsi="Courier New"/>
          <w:sz w:val="18"/>
          <w:szCs w:val="18"/>
          <w:color w:val="auto"/>
        </w:rPr>
        <w:t>Counsel and Corporate Secretary</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2019-12-16T16:21:19Z</dcterms:created>
  <dcterms:modified xsi:type="dcterms:W3CDTF">2019-12-16T16:21:19Z</dcterms:modified>
</cp:coreProperties>
</file>