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jc w:val="center"/>
        <w:spacing w:after="0"/>
        <w:rPr>
          <w:sz w:val="20"/>
          <w:szCs w:val="20"/>
          <w:color w:val="auto"/>
        </w:rPr>
      </w:pPr>
      <w:r>
        <w:rPr>
          <w:rFonts w:ascii="Arial" w:cs="Arial" w:eastAsia="Arial" w:hAnsi="Arial"/>
          <w:sz w:val="18"/>
          <w:szCs w:val="18"/>
          <w:b w:val="1"/>
          <w:bCs w:val="1"/>
          <w:color w:val="auto"/>
        </w:rPr>
        <w:t>January 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126365</wp:posOffset>
            </wp:positionV>
            <wp:extent cx="1285875" cy="351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587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406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rPr>
              <w:t>Delaware</w:t>
            </w:r>
          </w:p>
        </w:tc>
        <w:tc>
          <w:tcPr>
            <w:tcW w:w="334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1-10658</w:t>
            </w:r>
          </w:p>
        </w:tc>
        <w:tc>
          <w:tcPr>
            <w:tcW w:w="3840" w:type="dxa"/>
            <w:vAlign w:val="bottom"/>
            <w:tcBorders>
              <w:bottom w:val="single" w:sz="8" w:color="auto"/>
            </w:tcBorders>
          </w:tcPr>
          <w:p>
            <w:pPr>
              <w:jc w:val="right"/>
              <w:ind w:right="1270"/>
              <w:spacing w:after="0"/>
              <w:rPr>
                <w:sz w:val="20"/>
                <w:szCs w:val="20"/>
                <w:color w:val="auto"/>
              </w:rPr>
            </w:pPr>
            <w:r>
              <w:rPr>
                <w:rFonts w:ascii="Arial" w:cs="Arial" w:eastAsia="Arial" w:hAnsi="Arial"/>
                <w:sz w:val="18"/>
                <w:szCs w:val="18"/>
                <w:b w:val="1"/>
                <w:bCs w:val="1"/>
                <w:color w:val="auto"/>
              </w:rPr>
              <w:t>75-1618004</w:t>
            </w:r>
          </w:p>
        </w:tc>
      </w:tr>
      <w:tr>
        <w:trPr>
          <w:trHeight w:val="210"/>
        </w:trPr>
        <w:tc>
          <w:tcPr>
            <w:tcW w:w="4060" w:type="dxa"/>
            <w:vAlign w:val="bottom"/>
          </w:tcPr>
          <w:p>
            <w:pPr>
              <w:jc w:val="center"/>
              <w:ind w:right="250"/>
              <w:spacing w:after="0"/>
              <w:rPr>
                <w:sz w:val="20"/>
                <w:szCs w:val="20"/>
                <w:color w:val="auto"/>
              </w:rPr>
            </w:pPr>
            <w:r>
              <w:rPr>
                <w:rFonts w:ascii="Arial" w:cs="Arial" w:eastAsia="Arial" w:hAnsi="Arial"/>
                <w:sz w:val="18"/>
                <w:szCs w:val="18"/>
                <w:color w:val="auto"/>
                <w:w w:val="99"/>
              </w:rPr>
              <w:t>(State or other jurisdiction of incorporation)</w:t>
            </w:r>
          </w:p>
        </w:tc>
        <w:tc>
          <w:tcPr>
            <w:tcW w:w="3340" w:type="dxa"/>
            <w:vAlign w:val="bottom"/>
          </w:tcPr>
          <w:p>
            <w:pPr>
              <w:jc w:val="center"/>
              <w:ind w:right="110"/>
              <w:spacing w:after="0"/>
              <w:rPr>
                <w:sz w:val="20"/>
                <w:szCs w:val="20"/>
                <w:color w:val="auto"/>
              </w:rPr>
            </w:pPr>
            <w:r>
              <w:rPr>
                <w:rFonts w:ascii="Arial" w:cs="Arial" w:eastAsia="Arial" w:hAnsi="Arial"/>
                <w:sz w:val="18"/>
                <w:szCs w:val="18"/>
                <w:color w:val="auto"/>
                <w:w w:val="99"/>
              </w:rPr>
              <w:t>(Commission File Number)</w:t>
            </w:r>
          </w:p>
        </w:tc>
        <w:tc>
          <w:tcPr>
            <w:tcW w:w="3840" w:type="dxa"/>
            <w:vAlign w:val="bottom"/>
          </w:tcPr>
          <w:p>
            <w:pPr>
              <w:jc w:val="center"/>
              <w:ind w:left="50"/>
              <w:spacing w:after="0"/>
              <w:rPr>
                <w:sz w:val="20"/>
                <w:szCs w:val="20"/>
                <w:color w:val="auto"/>
              </w:rPr>
            </w:pPr>
            <w:r>
              <w:rPr>
                <w:rFonts w:ascii="Arial" w:cs="Arial" w:eastAsia="Arial" w:hAnsi="Arial"/>
                <w:sz w:val="18"/>
                <w:szCs w:val="18"/>
                <w:color w:val="auto"/>
                <w:w w:val="99"/>
              </w:rPr>
              <w:t>(IRS Employer Identification No.)</w:t>
            </w:r>
          </w:p>
        </w:tc>
      </w:tr>
    </w:tbl>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jc w:val="center"/>
        <w:spacing w:after="0"/>
        <w:rPr>
          <w:sz w:val="20"/>
          <w:szCs w:val="20"/>
          <w:color w:val="auto"/>
        </w:rPr>
      </w:pPr>
      <w:r>
        <w:rPr>
          <w:rFonts w:ascii="Arial" w:cs="Arial" w:eastAsia="Arial" w:hAnsi="Arial"/>
          <w:sz w:val="18"/>
          <w:szCs w:val="18"/>
          <w:color w:val="auto"/>
        </w:rPr>
        <w:t>(Address of principal executive offices and Zip Code)</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98" w:lineRule="exact"/>
        <w:rPr>
          <w:sz w:val="24"/>
          <w:szCs w:val="24"/>
          <w:color w:val="auto"/>
        </w:rPr>
      </w:pPr>
    </w:p>
    <w:p>
      <w:pPr>
        <w:ind w:right="140"/>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3"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Trading symbol</w:t>
            </w:r>
          </w:p>
        </w:tc>
        <w:tc>
          <w:tcPr>
            <w:tcW w:w="494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10"/>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$0.10 per share</w:t>
            </w:r>
          </w:p>
        </w:tc>
        <w:tc>
          <w:tcPr>
            <w:tcW w:w="220" w:type="dxa"/>
            <w:vAlign w:val="bottom"/>
          </w:tcPr>
          <w:p>
            <w:pPr>
              <w:spacing w:after="0"/>
              <w:rPr>
                <w:sz w:val="18"/>
                <w:szCs w:val="18"/>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MU</w:t>
            </w:r>
          </w:p>
        </w:tc>
        <w:tc>
          <w:tcPr>
            <w:tcW w:w="220" w:type="dxa"/>
            <w:vAlign w:val="bottom"/>
          </w:tcPr>
          <w:p>
            <w:pPr>
              <w:spacing w:after="0"/>
              <w:rPr>
                <w:sz w:val="18"/>
                <w:szCs w:val="18"/>
                <w:color w:val="auto"/>
              </w:rPr>
            </w:pPr>
          </w:p>
        </w:tc>
        <w:tc>
          <w:tcPr>
            <w:tcW w:w="4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187" w:lineRule="exact"/>
        <w:rPr>
          <w:sz w:val="24"/>
          <w:szCs w:val="24"/>
          <w:color w:val="auto"/>
        </w:rPr>
      </w:pPr>
    </w:p>
    <w:p>
      <w:pPr>
        <w:jc w:val="both"/>
        <w:spacing w:after="0" w:line="23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88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27" w:lineRule="exact"/>
        <w:rPr>
          <w:sz w:val="24"/>
          <w:szCs w:val="24"/>
          <w:color w:val="auto"/>
        </w:rPr>
      </w:pPr>
    </w:p>
    <w:p>
      <w:pPr>
        <w:ind w:right="20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1" w:name="page2"/>
    <w:bookmarkEnd w:id="1"/>
    <w:p>
      <w:pPr>
        <w:ind w:right="320"/>
        <w:spacing w:after="0" w:line="271"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David A. Zinsner</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On January 6, 2022, David A. Zinsner announced his decision to resign as the Executive Vice President and Chief Financial Officer of Micron Technology, Inc. (the "Company"), effective January 10,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Sumit Sadana</w:t>
      </w:r>
    </w:p>
    <w:p>
      <w:pPr>
        <w:spacing w:after="0" w:line="220"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222222"/>
        </w:rPr>
        <w:t>The Board of Directors of the Company appointed Sumit Sadana (52), the Company’s current Executive Vice President and Chief Business Officer, to serve also as interim Chief Financial Officer, effective as of January 10, 2022. Mr. Sadana joined us in June 2017 as our Executive Vice President and Chief Business Officer. From April 2010 to May 2016, Mr. Sadana served in various roles at SanDisk Corporation, including Executive Vice President, Chief Strategy Officer, and General Manager, Enterprise Solutions until it was acquired by Western Digital in May 2016. Mr. Sadana currently serves on the Board of Directors of Silicon Laboratories Inc. as lead independent director.</w:t>
      </w:r>
    </w:p>
    <w:p>
      <w:pPr>
        <w:spacing w:after="0" w:line="177" w:lineRule="exact"/>
        <w:rPr>
          <w:sz w:val="20"/>
          <w:szCs w:val="20"/>
          <w:color w:val="auto"/>
        </w:rPr>
      </w:pPr>
    </w:p>
    <w:p>
      <w:pPr>
        <w:ind w:right="960"/>
        <w:spacing w:after="0" w:line="246" w:lineRule="auto"/>
        <w:rPr>
          <w:sz w:val="20"/>
          <w:szCs w:val="20"/>
          <w:color w:val="auto"/>
        </w:rPr>
      </w:pPr>
      <w:r>
        <w:rPr>
          <w:rFonts w:ascii="Arial" w:cs="Arial" w:eastAsia="Arial" w:hAnsi="Arial"/>
          <w:sz w:val="18"/>
          <w:szCs w:val="18"/>
          <w:color w:val="222222"/>
        </w:rPr>
        <w:t>Mr. Sadana has no family relationship with any directors or executive officers of the Company, nor are there any arrangements or understandings between Mr. Sadana and any other persons pursuant to which he was selected as an officer of the Company.</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222222"/>
        </w:rPr>
        <w:t>Item 7.01.</w:t>
      </w:r>
      <w:r>
        <w:rPr>
          <w:sz w:val="20"/>
          <w:szCs w:val="20"/>
          <w:color w:val="auto"/>
        </w:rPr>
        <w:tab/>
      </w:r>
      <w:r>
        <w:rPr>
          <w:rFonts w:ascii="Arial" w:cs="Arial" w:eastAsia="Arial" w:hAnsi="Arial"/>
          <w:sz w:val="17"/>
          <w:szCs w:val="17"/>
          <w:b w:val="1"/>
          <w:bCs w:val="1"/>
          <w:color w:val="222222"/>
        </w:rPr>
        <w:t>Regulation FD Disclosure.</w:t>
      </w:r>
    </w:p>
    <w:p>
      <w:pPr>
        <w:spacing w:after="0" w:line="234"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The press release related to Mr. Zinsner’s resignation and Mr. Sadana’s appointment is included as Exhibit 99.1 to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1140" w:type="dxa"/>
            <w:vAlign w:val="bottom"/>
            <w:gridSpan w:val="3"/>
          </w:tcPr>
          <w:p>
            <w:pPr>
              <w:spacing w:after="0"/>
              <w:rPr>
                <w:sz w:val="20"/>
                <w:szCs w:val="20"/>
                <w:color w:val="auto"/>
              </w:rPr>
            </w:pPr>
            <w:r>
              <w:rPr>
                <w:rFonts w:ascii="Arial" w:cs="Arial" w:eastAsia="Arial" w:hAnsi="Arial"/>
                <w:sz w:val="18"/>
                <w:szCs w:val="18"/>
                <w:b w:val="1"/>
                <w:bCs w:val="1"/>
                <w:color w:val="222222"/>
              </w:rPr>
              <w:t>Item 9.01.</w:t>
            </w:r>
          </w:p>
        </w:tc>
        <w:tc>
          <w:tcPr>
            <w:tcW w:w="10100" w:type="dxa"/>
            <w:vAlign w:val="bottom"/>
            <w:gridSpan w:val="3"/>
          </w:tcPr>
          <w:p>
            <w:pPr>
              <w:ind w:left="160"/>
              <w:spacing w:after="0"/>
              <w:rPr>
                <w:sz w:val="20"/>
                <w:szCs w:val="20"/>
                <w:color w:val="auto"/>
              </w:rPr>
            </w:pPr>
            <w:r>
              <w:rPr>
                <w:rFonts w:ascii="Arial" w:cs="Arial" w:eastAsia="Arial" w:hAnsi="Arial"/>
                <w:sz w:val="18"/>
                <w:szCs w:val="18"/>
                <w:b w:val="1"/>
                <w:bCs w:val="1"/>
                <w:color w:val="222222"/>
              </w:rPr>
              <w:t>Financial Statements and Exhibits.</w:t>
            </w:r>
          </w:p>
        </w:tc>
      </w:tr>
      <w:tr>
        <w:trPr>
          <w:trHeight w:val="405"/>
        </w:trPr>
        <w:tc>
          <w:tcPr>
            <w:tcW w:w="400" w:type="dxa"/>
            <w:vAlign w:val="bottom"/>
          </w:tcPr>
          <w:p>
            <w:pPr>
              <w:spacing w:after="0"/>
              <w:rPr>
                <w:sz w:val="24"/>
                <w:szCs w:val="24"/>
                <w:color w:val="auto"/>
              </w:rPr>
            </w:pPr>
          </w:p>
        </w:tc>
        <w:tc>
          <w:tcPr>
            <w:tcW w:w="10840" w:type="dxa"/>
            <w:vAlign w:val="bottom"/>
            <w:gridSpan w:val="5"/>
          </w:tcPr>
          <w:p>
            <w:pPr>
              <w:ind w:left="260"/>
              <w:spacing w:after="0"/>
              <w:rPr>
                <w:sz w:val="20"/>
                <w:szCs w:val="20"/>
                <w:color w:val="auto"/>
              </w:rPr>
            </w:pPr>
            <w:r>
              <w:rPr>
                <w:rFonts w:ascii="Arial" w:cs="Arial" w:eastAsia="Arial" w:hAnsi="Arial"/>
                <w:sz w:val="18"/>
                <w:szCs w:val="18"/>
                <w:color w:val="auto"/>
              </w:rPr>
              <w:t>(d) Exhibits.</w:t>
            </w:r>
          </w:p>
        </w:tc>
      </w:tr>
      <w:tr>
        <w:trPr>
          <w:trHeight w:val="369"/>
        </w:trPr>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520" w:type="dxa"/>
            <w:vAlign w:val="bottom"/>
          </w:tcPr>
          <w:p>
            <w:pPr>
              <w:spacing w:after="0"/>
              <w:rPr>
                <w:sz w:val="24"/>
                <w:szCs w:val="24"/>
                <w:color w:val="auto"/>
              </w:rPr>
            </w:pPr>
          </w:p>
        </w:tc>
      </w:tr>
      <w:tr>
        <w:trPr>
          <w:trHeight w:val="239"/>
        </w:trPr>
        <w:tc>
          <w:tcPr>
            <w:tcW w:w="11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No.</w:t>
            </w:r>
          </w:p>
        </w:tc>
        <w:tc>
          <w:tcPr>
            <w:tcW w:w="220" w:type="dxa"/>
            <w:vAlign w:val="bottom"/>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p>
        </w:tc>
        <w:tc>
          <w:tcPr>
            <w:tcW w:w="652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Description</w:t>
            </w:r>
          </w:p>
        </w:tc>
      </w:tr>
      <w:tr>
        <w:trPr>
          <w:trHeight w:val="371"/>
        </w:trPr>
        <w:tc>
          <w:tcPr>
            <w:tcW w:w="400" w:type="dxa"/>
            <w:vAlign w:val="bottom"/>
          </w:tcPr>
          <w:p>
            <w:pPr>
              <w:spacing w:after="0"/>
              <w:rPr>
                <w:sz w:val="24"/>
                <w:szCs w:val="24"/>
                <w:color w:val="auto"/>
              </w:rPr>
            </w:pPr>
          </w:p>
        </w:tc>
        <w:tc>
          <w:tcPr>
            <w:tcW w:w="360" w:type="dxa"/>
            <w:vAlign w:val="bottom"/>
          </w:tcPr>
          <w:p>
            <w:pPr>
              <w:jc w:val="cente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99.</w:t>
              </w:r>
              <w:r>
                <w:rPr>
                  <w:rFonts w:ascii="Arial" w:cs="Arial" w:eastAsia="Arial" w:hAnsi="Arial"/>
                  <w:sz w:val="18"/>
                  <w:szCs w:val="18"/>
                  <w:u w:val="single" w:color="auto"/>
                  <w:color w:val="0000EE"/>
                  <w:w w:val="96"/>
                </w:rPr>
                <w:t>1</w:t>
              </w:r>
            </w:hyperlink>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Press release issued on January 10, 2022</w:t>
              </w:r>
            </w:hyperlink>
          </w:p>
        </w:tc>
      </w:tr>
      <w:tr>
        <w:trPr>
          <w:trHeight w:val="20"/>
        </w:trPr>
        <w:tc>
          <w:tcPr>
            <w:tcW w:w="4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223"/>
        </w:trPr>
        <w:tc>
          <w:tcPr>
            <w:tcW w:w="4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9"/>
              </w:rPr>
              <w:t>104</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88"/>
        </w:trPr>
        <w:tc>
          <w:tcPr>
            <w:tcW w:w="4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6"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1" w:lineRule="exact"/>
        <w:rPr>
          <w:sz w:val="20"/>
          <w:szCs w:val="20"/>
          <w:color w:val="auto"/>
        </w:rPr>
      </w:pPr>
    </w:p>
    <w:p>
      <w:pPr>
        <w:ind w:left="660"/>
        <w:spacing w:after="0"/>
        <w:tabs>
          <w:tab w:leader="none" w:pos="5560" w:val="left"/>
        </w:tabs>
        <w:rPr>
          <w:sz w:val="20"/>
          <w:szCs w:val="20"/>
          <w:color w:val="auto"/>
        </w:rPr>
      </w:pPr>
      <w:r>
        <w:rPr>
          <w:rFonts w:ascii="Arial" w:cs="Arial" w:eastAsia="Arial" w:hAnsi="Arial"/>
          <w:sz w:val="18"/>
          <w:szCs w:val="18"/>
          <w:color w:val="auto"/>
        </w:rPr>
        <w:t>Date: January 10, 2022</w:t>
      </w:r>
      <w:r>
        <w:rPr>
          <w:sz w:val="20"/>
          <w:szCs w:val="20"/>
          <w:color w:val="auto"/>
        </w:rPr>
        <w:tab/>
      </w:r>
      <w:r>
        <w:rPr>
          <w:rFonts w:ascii="Arial" w:cs="Arial" w:eastAsia="Arial" w:hAnsi="Arial"/>
          <w:sz w:val="17"/>
          <w:szCs w:val="17"/>
          <w:b w:val="1"/>
          <w:bCs w:val="1"/>
          <w:color w:val="auto"/>
        </w:rPr>
        <w:t>MICRON TECHNOLOGY, INC.</w:t>
      </w:r>
    </w:p>
    <w:p>
      <w:pPr>
        <w:spacing w:after="0" w:line="200" w:lineRule="exact"/>
        <w:rPr>
          <w:sz w:val="20"/>
          <w:szCs w:val="20"/>
          <w:color w:val="auto"/>
        </w:rPr>
      </w:pPr>
    </w:p>
    <w:p>
      <w:pPr>
        <w:spacing w:after="0" w:line="205" w:lineRule="exact"/>
        <w:rPr>
          <w:sz w:val="20"/>
          <w:szCs w:val="20"/>
          <w:color w:val="auto"/>
        </w:rPr>
      </w:pPr>
    </w:p>
    <w:p>
      <w:pPr>
        <w:ind w:left="558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Rob Beard</w:t>
      </w:r>
    </w:p>
    <w:p>
      <w:pPr>
        <w:spacing w:after="0" w:line="1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Name:Rob Beard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-130175</wp:posOffset>
            </wp:positionV>
            <wp:extent cx="32486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ind w:left="5580"/>
        <w:spacing w:after="0"/>
        <w:tabs>
          <w:tab w:leader="none" w:pos="6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Senior Vice President, General Counsel and Corporate</w:t>
      </w:r>
    </w:p>
    <w:p>
      <w:pPr>
        <w:ind w:left="612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22222"/>
        </w:rPr>
        <w:t>Micron Announces CFO Transition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Executive Vice President and Chief Business Officer Sumit Sadana appointed to additional role of Interim CFO</w:t>
      </w:r>
    </w:p>
    <w:p>
      <w:pPr>
        <w:spacing w:after="0" w:line="19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222222"/>
        </w:rPr>
        <w:t xml:space="preserve">BOISE, Idaho, Jan. 10, 2022 – </w:t>
      </w:r>
      <w:r>
        <w:rPr>
          <w:rFonts w:ascii="Arial" w:cs="Arial" w:eastAsia="Arial" w:hAnsi="Arial"/>
          <w:sz w:val="18"/>
          <w:szCs w:val="18"/>
          <w:color w:val="222222"/>
        </w:rPr>
        <w:t>Micron Technology, Inc., (</w:t>
      </w:r>
      <w:r>
        <w:rPr>
          <w:rFonts w:ascii="Arial" w:cs="Arial" w:eastAsia="Arial" w:hAnsi="Arial"/>
          <w:sz w:val="18"/>
          <w:szCs w:val="18"/>
          <w:color w:val="000000"/>
        </w:rPr>
        <w:t>Nasdaq</w:t>
      </w:r>
      <w:r>
        <w:rPr>
          <w:rFonts w:ascii="Arial" w:cs="Arial" w:eastAsia="Arial" w:hAnsi="Arial"/>
          <w:sz w:val="18"/>
          <w:szCs w:val="18"/>
          <w:color w:val="222222"/>
        </w:rPr>
        <w:t>: MU) today announced that David Zinsner, executive vice president and</w:t>
      </w:r>
      <w:r>
        <w:rPr>
          <w:rFonts w:ascii="Arial" w:cs="Arial" w:eastAsia="Arial" w:hAnsi="Arial"/>
          <w:sz w:val="18"/>
          <w:szCs w:val="18"/>
          <w:b w:val="1"/>
          <w:bCs w:val="1"/>
          <w:color w:val="222222"/>
        </w:rPr>
        <w:t xml:space="preserve"> </w:t>
      </w:r>
      <w:r>
        <w:rPr>
          <w:rFonts w:ascii="Arial" w:cs="Arial" w:eastAsia="Arial" w:hAnsi="Arial"/>
          <w:sz w:val="18"/>
          <w:szCs w:val="18"/>
          <w:color w:val="222222"/>
        </w:rPr>
        <w:t>chief financial officer, has resigned from the company. Zinsner started at Micron in February 2018 and is departing to join Intel Corporation as its CFO.</w:t>
      </w:r>
    </w:p>
    <w:p>
      <w:pPr>
        <w:spacing w:after="0" w:line="177"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222222"/>
        </w:rPr>
        <w:t>A formal search for a new CFO has actively commenced. Micron has appointed Executive Vice President and Chief Business Officer Sumit Sadana to the additional role of interim CFO with immediate effect through the transition period.</w:t>
      </w:r>
    </w:p>
    <w:p>
      <w:pPr>
        <w:spacing w:after="0" w:line="183" w:lineRule="exact"/>
        <w:rPr>
          <w:sz w:val="20"/>
          <w:szCs w:val="20"/>
          <w:color w:val="auto"/>
        </w:rPr>
      </w:pPr>
    </w:p>
    <w:p>
      <w:pPr>
        <w:ind w:right="140"/>
        <w:spacing w:after="0"/>
        <w:rPr>
          <w:sz w:val="20"/>
          <w:szCs w:val="20"/>
          <w:color w:val="auto"/>
        </w:rPr>
      </w:pPr>
      <w:r>
        <w:rPr>
          <w:rFonts w:ascii="Arial" w:cs="Arial" w:eastAsia="Arial" w:hAnsi="Arial"/>
          <w:sz w:val="18"/>
          <w:szCs w:val="18"/>
          <w:color w:val="222222"/>
        </w:rPr>
        <w:t>“Micron’s strong financial position is the result of the transformation we have driven, and we enter calendar year 2022 with confidence for continued growth,” said Micron President and CEO, Sanjay Mehrotra. “We appreciate the contributions Dave has made to the company and the solid capabilities of his finance leadership team who have helped support Micron through our evolution.”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222222"/>
        </w:rPr>
        <w:t>Micron’s financial guidance for the second quarter of fiscal 2022 remains unchanged.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 Technology, Inc.</w:t>
      </w:r>
    </w:p>
    <w:p>
      <w:pPr>
        <w:spacing w:after="0" w:line="1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xml:space="preserve">.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 To learn more about Micron Technology, Inc. (Nasdaq: MU), visit </w:t>
      </w:r>
      <w:r>
        <w:rPr>
          <w:rFonts w:ascii="Arial" w:cs="Arial" w:eastAsia="Arial" w:hAnsi="Arial"/>
          <w:sz w:val="18"/>
          <w:szCs w:val="18"/>
          <w:u w:val="single" w:color="auto"/>
          <w:color w:val="auto"/>
        </w:rPr>
        <w:t>micron.com</w:t>
      </w:r>
      <w:r>
        <w:rPr>
          <w:rFonts w:ascii="Arial" w:cs="Arial" w:eastAsia="Arial" w:hAnsi="Arial"/>
          <w:sz w:val="18"/>
          <w:szCs w:val="18"/>
          <w:color w:val="3E3E3E"/>
        </w:rPr>
        <w:t>.</w:t>
      </w:r>
    </w:p>
    <w:p>
      <w:pPr>
        <w:spacing w:after="0" w:line="173" w:lineRule="exact"/>
        <w:rPr>
          <w:sz w:val="20"/>
          <w:szCs w:val="20"/>
          <w:color w:val="auto"/>
        </w:rPr>
      </w:pPr>
    </w:p>
    <w:p>
      <w:pPr>
        <w:ind w:right="80" w:firstLine="8"/>
        <w:spacing w:after="0" w:line="250" w:lineRule="auto"/>
        <w:tabs>
          <w:tab w:leader="none" w:pos="183"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2022 Micron Technology, Inc. All rights reserved. Information, products, and/or specifications are subject to change without notice. Micron, the Micron logo, and all other Micron trademarks are the property of Micron Technology, Inc. All other trademarks are the property of their respective owners.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Media Relations Contact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Erica Rodriguez Pompen</w:t>
      </w:r>
    </w:p>
    <w:p>
      <w:pPr>
        <w:spacing w:after="0" w:line="234" w:lineRule="auto"/>
        <w:rPr>
          <w:sz w:val="20"/>
          <w:szCs w:val="20"/>
          <w:color w:val="auto"/>
        </w:rPr>
      </w:pPr>
      <w:r>
        <w:rPr>
          <w:rFonts w:ascii="Arial" w:cs="Arial" w:eastAsia="Arial" w:hAnsi="Arial"/>
          <w:sz w:val="18"/>
          <w:szCs w:val="18"/>
          <w:color w:val="auto"/>
        </w:rPr>
        <w:t>Micron Technology, Inc.</w:t>
      </w:r>
    </w:p>
    <w:p>
      <w:pPr>
        <w:spacing w:after="0" w:line="235" w:lineRule="auto"/>
        <w:rPr>
          <w:sz w:val="20"/>
          <w:szCs w:val="20"/>
          <w:color w:val="auto"/>
        </w:rPr>
      </w:pPr>
      <w:r>
        <w:rPr>
          <w:rFonts w:ascii="Arial" w:cs="Arial" w:eastAsia="Arial" w:hAnsi="Arial"/>
          <w:sz w:val="18"/>
          <w:szCs w:val="18"/>
          <w:color w:val="auto"/>
        </w:rPr>
        <w:t>+1 (408) 834-1873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epompen@micron.com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Investor Relations Contact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Farhan Ahmad</w:t>
      </w:r>
    </w:p>
    <w:p>
      <w:pPr>
        <w:spacing w:after="0" w:line="234" w:lineRule="auto"/>
        <w:rPr>
          <w:sz w:val="20"/>
          <w:szCs w:val="20"/>
          <w:color w:val="auto"/>
        </w:rPr>
      </w:pPr>
      <w:r>
        <w:rPr>
          <w:rFonts w:ascii="Arial" w:cs="Arial" w:eastAsia="Arial" w:hAnsi="Arial"/>
          <w:sz w:val="18"/>
          <w:szCs w:val="18"/>
          <w:color w:val="auto"/>
        </w:rPr>
        <w:t>Micron Technology, Inc.</w:t>
      </w:r>
    </w:p>
    <w:p>
      <w:pPr>
        <w:spacing w:after="0" w:line="235" w:lineRule="auto"/>
        <w:rPr>
          <w:sz w:val="20"/>
          <w:szCs w:val="20"/>
          <w:color w:val="auto"/>
        </w:rPr>
      </w:pPr>
      <w:r>
        <w:rPr>
          <w:rFonts w:ascii="Arial" w:cs="Arial" w:eastAsia="Arial" w:hAnsi="Arial"/>
          <w:sz w:val="18"/>
          <w:szCs w:val="18"/>
          <w:color w:val="auto"/>
        </w:rPr>
        <w:t>+1 (408) 834-1927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farhanahmad@micron.com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2022-01-10T15:25:46Z</dcterms:created>
  <dcterms:modified xsi:type="dcterms:W3CDTF">2022-01-10T15:25:46Z</dcterms:modified>
</cp:coreProperties>
</file>