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9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318"/>
        <w:spacing w:after="0"/>
        <w:rPr>
          <w:sz w:val="20"/>
          <w:szCs w:val="20"/>
          <w:color w:val="auto"/>
        </w:rPr>
      </w:pPr>
      <w:r>
        <w:rPr>
          <w:rFonts w:ascii="Courier New" w:cs="Courier New" w:eastAsia="Courier New" w:hAnsi="Courier New"/>
          <w:sz w:val="18"/>
          <w:szCs w:val="18"/>
          <w:color w:val="auto"/>
        </w:rPr>
        <w:t>COM</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221"/>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2001</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jc w:val="center"/>
        <w:ind w:right="1898"/>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left="201" w:right="1999"/>
        <w:spacing w:after="0" w:line="274"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82" w:lineRule="exact"/>
        <w:rPr>
          <w:sz w:val="24"/>
          <w:szCs w:val="24"/>
          <w:color w:val="auto"/>
        </w:rPr>
      </w:pPr>
    </w:p>
    <w:p>
      <w:pPr>
        <w:ind w:left="641" w:right="251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941" w:right="7679" w:hanging="309"/>
        <w:spacing w:after="0" w:line="344" w:lineRule="auto"/>
        <w:tabs>
          <w:tab w:leader="none" w:pos="9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30" w:lineRule="exact"/>
        <w:rPr>
          <w:rFonts w:ascii="Courier New" w:cs="Courier New" w:eastAsia="Courier New" w:hAnsi="Courier New"/>
          <w:sz w:val="16"/>
          <w:szCs w:val="16"/>
          <w:color w:val="auto"/>
        </w:rPr>
      </w:pPr>
    </w:p>
    <w:p>
      <w:pPr>
        <w:jc w:val="both"/>
        <w:ind w:left="421" w:right="219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left="421"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588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1"/>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1"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96"/>
        </w:trPr>
        <w:tc>
          <w:tcPr>
            <w:tcW w:w="1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16,275,059</w:t>
            </w:r>
          </w:p>
        </w:tc>
        <w:tc>
          <w:tcPr>
            <w:tcW w:w="0" w:type="dxa"/>
            <w:vAlign w:val="bottom"/>
          </w:tcPr>
          <w:p>
            <w:pPr>
              <w:spacing w:after="0"/>
              <w:rPr>
                <w:sz w:val="1"/>
                <w:szCs w:val="1"/>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12,308,353</w:t>
            </w:r>
          </w:p>
        </w:tc>
        <w:tc>
          <w:tcPr>
            <w:tcW w:w="0" w:type="dxa"/>
            <w:vAlign w:val="bottom"/>
          </w:tcPr>
          <w:p>
            <w:pPr>
              <w:spacing w:after="0"/>
              <w:rPr>
                <w:sz w:val="1"/>
                <w:szCs w:val="1"/>
                <w:color w:val="auto"/>
              </w:rPr>
            </w:pPr>
          </w:p>
        </w:tc>
      </w:tr>
      <w:tr>
        <w:trPr>
          <w:trHeight w:val="296"/>
        </w:trPr>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OWNED AS OF</w:t>
            </w:r>
          </w:p>
        </w:tc>
        <w:tc>
          <w:tcPr>
            <w:tcW w:w="620" w:type="dxa"/>
            <w:vAlign w:val="bottom"/>
            <w:vMerge w:val="continue"/>
          </w:tcPr>
          <w:p>
            <w:pPr>
              <w:spacing w:after="0"/>
              <w:rPr>
                <w:sz w:val="24"/>
                <w:szCs w:val="24"/>
                <w:color w:val="auto"/>
              </w:rPr>
            </w:pPr>
          </w:p>
        </w:tc>
        <w:tc>
          <w:tcPr>
            <w:tcW w:w="27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000"/>
          </w:cols>
          <w:pgMar w:left="459" w:top="218" w:right="1440" w:bottom="0" w:gutter="0" w:footer="0" w:header="0"/>
        </w:sectPr>
      </w:pPr>
    </w:p>
    <w:bookmarkStart w:id="1" w:name="page2"/>
    <w:bookmarkEnd w:id="1"/>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520" w:type="dxa"/>
            <w:vAlign w:val="bottom"/>
            <w:gridSpan w:val="2"/>
          </w:tcPr>
          <w:p>
            <w:pPr>
              <w:jc w:val="center"/>
              <w:ind w:left="232"/>
              <w:spacing w:after="0"/>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40,152,083</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25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40,153,054</w:t>
            </w:r>
          </w:p>
        </w:tc>
        <w:tc>
          <w:tcPr>
            <w:tcW w:w="0" w:type="dxa"/>
            <w:vAlign w:val="bottom"/>
          </w:tcPr>
          <w:p>
            <w:pPr>
              <w:spacing w:after="0"/>
              <w:rPr>
                <w:sz w:val="1"/>
                <w:szCs w:val="1"/>
                <w:color w:val="auto"/>
              </w:rPr>
            </w:pPr>
          </w:p>
        </w:tc>
      </w:tr>
      <w:tr>
        <w:trPr>
          <w:trHeight w:val="296"/>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w:t>
            </w:r>
          </w:p>
        </w:tc>
      </w:tr>
    </w:tbl>
    <w:p>
      <w:pPr>
        <w:spacing w:after="0" w:line="109" w:lineRule="exact"/>
        <w:rPr>
          <w:sz w:val="20"/>
          <w:szCs w:val="20"/>
          <w:color w:val="auto"/>
        </w:rPr>
      </w:pPr>
    </w:p>
    <w:p>
      <w:pPr>
        <w:ind w:left="627" w:right="6939" w:hanging="627"/>
        <w:spacing w:after="0" w:line="257"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08" w:right="1440" w:bottom="1440" w:gutter="0" w:footer="0" w:header="0"/>
        </w:sectPr>
      </w:pPr>
    </w:p>
    <w:bookmarkStart w:id="2" w:name="page3"/>
    <w:bookmarkEnd w:id="2"/>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pacing w:after="0" w:line="201" w:lineRule="exact"/>
        <w:rPr>
          <w:sz w:val="20"/>
          <w:szCs w:val="20"/>
          <w:color w:val="auto"/>
        </w:rPr>
      </w:pPr>
    </w:p>
    <w:p>
      <w:pPr>
        <w:ind w:left="427" w:hanging="321"/>
        <w:spacing w:after="0"/>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Assurances Vie Mutuelle</w:t>
      </w:r>
    </w:p>
    <w:p>
      <w:pPr>
        <w:sectPr>
          <w:pgSz w:w="11900" w:h="16838" w:orient="portrait"/>
          <w:cols w:equalWidth="0" w:num="1">
            <w:col w:w="10106"/>
          </w:cols>
          <w:pgMar w:left="353" w:top="691" w:right="1440" w:bottom="1440" w:gutter="0" w:footer="0" w:header="0"/>
        </w:sectPr>
      </w:pPr>
    </w:p>
    <w:p>
      <w:pPr>
        <w:spacing w:after="0" w:line="201"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192" w:lineRule="exact"/>
        <w:rPr>
          <w:sz w:val="20"/>
          <w:szCs w:val="20"/>
          <w:color w:val="auto"/>
        </w:rPr>
      </w:pPr>
    </w:p>
    <w:p>
      <w:pPr>
        <w:sectPr>
          <w:pgSz w:w="11900" w:h="16838" w:orient="portrait"/>
          <w:cols w:equalWidth="0" w:num="2">
            <w:col w:w="5907" w:space="720"/>
            <w:col w:w="3479"/>
          </w:cols>
          <w:pgMar w:left="353" w:top="691" w:right="1440" w:bottom="1440" w:gutter="0" w:footer="0" w:header="0"/>
          <w:type w:val="continuous"/>
        </w:sectPr>
      </w:pPr>
    </w:p>
    <w:p>
      <w:pPr>
        <w:ind w:left="427" w:hanging="321"/>
        <w:spacing w:after="0"/>
        <w:tabs>
          <w:tab w:leader="none" w:pos="4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7" w:right="5899" w:hanging="641"/>
        <w:spacing w:after="0" w:line="257" w:lineRule="auto"/>
        <w:tabs>
          <w:tab w:leader="none" w:pos="43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7"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260" w:type="dxa"/>
            <w:vAlign w:val="bottom"/>
            <w:gridSpan w:val="2"/>
          </w:tcPr>
          <w:p>
            <w:pPr>
              <w:ind w:left="260"/>
              <w:spacing w:after="0" w:line="171" w:lineRule="exact"/>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w w:val="96"/>
              </w:rPr>
              <w:t>16,275,059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12,308,353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40,152,083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40,153,054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257" w:lineRule="auto"/>
        <w:tabs>
          <w:tab w:leader="none" w:pos="4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691" w:right="1440" w:bottom="1440" w:gutter="0" w:footer="0" w:header="0"/>
          <w:type w:val="continuous"/>
        </w:sectPr>
      </w:pPr>
    </w:p>
    <w:bookmarkStart w:id="3" w:name="page4"/>
    <w:bookmarkEnd w:id="3"/>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Conseil Vie Assurance Mutuelle</w:t>
      </w:r>
    </w:p>
    <w:p>
      <w:pPr>
        <w:sectPr>
          <w:pgSz w:w="11900" w:h="16838" w:orient="portrait"/>
          <w:cols w:equalWidth="0" w:num="1">
            <w:col w:w="10106"/>
          </w:cols>
          <w:pgMar w:left="353" w:top="488" w:right="1440" w:bottom="1440" w:gutter="0" w:footer="0" w:header="0"/>
        </w:sectPr>
      </w:pPr>
    </w:p>
    <w:p>
      <w:pPr>
        <w:spacing w:after="0" w:line="201"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192" w:lineRule="exact"/>
        <w:rPr>
          <w:sz w:val="20"/>
          <w:szCs w:val="20"/>
          <w:color w:val="auto"/>
        </w:rPr>
      </w:pPr>
    </w:p>
    <w:p>
      <w:pPr>
        <w:sectPr>
          <w:pgSz w:w="11900" w:h="16838" w:orient="portrait"/>
          <w:cols w:equalWidth="0" w:num="2">
            <w:col w:w="5907" w:space="720"/>
            <w:col w:w="3479"/>
          </w:cols>
          <w:pgMar w:left="353" w:top="488" w:right="1440" w:bottom="1440" w:gutter="0" w:footer="0" w:header="0"/>
          <w:type w:val="continuous"/>
        </w:sect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7" w:right="5899" w:hanging="641"/>
        <w:spacing w:after="0" w:line="257" w:lineRule="auto"/>
        <w:tabs>
          <w:tab w:leader="none" w:pos="4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7"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260" w:type="dxa"/>
            <w:vAlign w:val="bottom"/>
            <w:gridSpan w:val="2"/>
          </w:tcPr>
          <w:p>
            <w:pPr>
              <w:ind w:left="260"/>
              <w:spacing w:after="0" w:line="171" w:lineRule="exact"/>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w w:val="96"/>
              </w:rPr>
              <w:t>16,275,059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12,308,353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40,152,083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40,153,054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257"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488" w:right="1440" w:bottom="1440" w:gutter="0" w:footer="0" w:header="0"/>
          <w:type w:val="continuous"/>
        </w:sectPr>
      </w:pPr>
    </w:p>
    <w:bookmarkStart w:id="4" w:name="page5"/>
    <w:bookmarkEnd w:id="4"/>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7"/>
        <w:spacing w:after="0"/>
        <w:tabs>
          <w:tab w:leader="none" w:pos="3246" w:val="left"/>
        </w:tabs>
        <w:rPr>
          <w:sz w:val="20"/>
          <w:szCs w:val="20"/>
          <w:color w:val="auto"/>
        </w:rPr>
      </w:pPr>
      <w:r>
        <w:rPr>
          <w:rFonts w:ascii="Courier New" w:cs="Courier New" w:eastAsia="Courier New" w:hAnsi="Courier New"/>
          <w:sz w:val="18"/>
          <w:szCs w:val="18"/>
          <w:color w:val="auto"/>
        </w:rPr>
        <w:t>AXA Courtage Assurance</w:t>
      </w:r>
      <w:r>
        <w:rPr>
          <w:sz w:val="20"/>
          <w:szCs w:val="20"/>
          <w:color w:val="auto"/>
        </w:rPr>
        <w:tab/>
      </w:r>
      <w:r>
        <w:rPr>
          <w:rFonts w:ascii="Courier New" w:cs="Courier New" w:eastAsia="Courier New" w:hAnsi="Courier New"/>
          <w:sz w:val="16"/>
          <w:szCs w:val="16"/>
          <w:color w:val="auto"/>
        </w:rPr>
        <w:t>Mutuelle</w:t>
      </w:r>
    </w:p>
    <w:p>
      <w:pPr>
        <w:spacing w:after="0" w:line="200"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96"/>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16,275,059</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12,308,353</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40,152,083</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25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40,153,054</w:t>
            </w:r>
          </w:p>
        </w:tc>
        <w:tc>
          <w:tcPr>
            <w:tcW w:w="0" w:type="dxa"/>
            <w:vAlign w:val="bottom"/>
          </w:tcPr>
          <w:p>
            <w:pPr>
              <w:spacing w:after="0"/>
              <w:rPr>
                <w:sz w:val="1"/>
                <w:szCs w:val="1"/>
                <w:color w:val="auto"/>
              </w:rPr>
            </w:pPr>
          </w:p>
        </w:tc>
      </w:tr>
      <w:tr>
        <w:trPr>
          <w:trHeight w:val="296"/>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w:t>
            </w:r>
          </w:p>
        </w:tc>
      </w:tr>
    </w:tbl>
    <w:p>
      <w:pPr>
        <w:spacing w:after="0" w:line="109" w:lineRule="exact"/>
        <w:rPr>
          <w:sz w:val="20"/>
          <w:szCs w:val="20"/>
          <w:color w:val="auto"/>
        </w:rPr>
      </w:pPr>
    </w:p>
    <w:p>
      <w:pPr>
        <w:ind w:left="627" w:right="6939" w:hanging="627"/>
        <w:spacing w:after="0" w:line="347" w:lineRule="auto"/>
        <w:tabs>
          <w:tab w:leader="none" w:pos="4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488" w:right="1440" w:bottom="1440" w:gutter="0" w:footer="0" w:header="0"/>
        </w:sectPr>
      </w:pPr>
    </w:p>
    <w:bookmarkStart w:id="5" w:name="page6"/>
    <w:bookmarkEnd w:id="5"/>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107"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96"/>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16,275,059</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12,308,353</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40,152,083</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25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40,153,054</w:t>
            </w:r>
          </w:p>
        </w:tc>
        <w:tc>
          <w:tcPr>
            <w:tcW w:w="0" w:type="dxa"/>
            <w:vAlign w:val="bottom"/>
          </w:tcPr>
          <w:p>
            <w:pPr>
              <w:spacing w:after="0"/>
              <w:rPr>
                <w:sz w:val="1"/>
                <w:szCs w:val="1"/>
                <w:color w:val="auto"/>
              </w:rPr>
            </w:pPr>
          </w:p>
        </w:tc>
      </w:tr>
      <w:tr>
        <w:trPr>
          <w:trHeight w:val="296"/>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w:t>
            </w:r>
          </w:p>
        </w:tc>
      </w:tr>
    </w:tbl>
    <w:p>
      <w:pPr>
        <w:spacing w:after="0" w:line="109" w:lineRule="exact"/>
        <w:rPr>
          <w:sz w:val="20"/>
          <w:szCs w:val="20"/>
          <w:color w:val="auto"/>
        </w:rPr>
      </w:pPr>
    </w:p>
    <w:p>
      <w:pPr>
        <w:ind w:left="627" w:right="6939" w:hanging="627"/>
        <w:spacing w:after="0" w:line="347" w:lineRule="auto"/>
        <w:tabs>
          <w:tab w:leader="none" w:pos="4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488" w:right="1440" w:bottom="1440" w:gutter="0" w:footer="0" w:header="0"/>
        </w:sectPr>
      </w:pPr>
    </w:p>
    <w:bookmarkStart w:id="6" w:name="page7"/>
    <w:bookmarkEnd w:id="6"/>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pacing w:after="0" w:line="201" w:lineRule="exact"/>
        <w:rPr>
          <w:sz w:val="20"/>
          <w:szCs w:val="20"/>
          <w:color w:val="auto"/>
        </w:rPr>
      </w:pPr>
    </w:p>
    <w:p>
      <w:pPr>
        <w:ind w:left="427" w:hanging="321"/>
        <w:spacing w:after="0"/>
        <w:tabs>
          <w:tab w:leader="none" w:pos="4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106"/>
          </w:cols>
          <w:pgMar w:left="353" w:top="691" w:right="1440" w:bottom="1440" w:gutter="0" w:footer="0" w:header="0"/>
        </w:sectPr>
      </w:pPr>
    </w:p>
    <w:p>
      <w:pPr>
        <w:spacing w:after="0" w:line="169" w:lineRule="exact"/>
        <w:rPr>
          <w:sz w:val="20"/>
          <w:szCs w:val="20"/>
          <w:color w:val="auto"/>
        </w:rPr>
      </w:pPr>
    </w:p>
    <w:p>
      <w:pPr>
        <w:ind w:left="747"/>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13-3623351</w:t>
      </w:r>
    </w:p>
    <w:p>
      <w:pPr>
        <w:spacing w:after="0" w:line="200" w:lineRule="exact"/>
        <w:rPr>
          <w:sz w:val="20"/>
          <w:szCs w:val="20"/>
          <w:color w:val="auto"/>
        </w:rPr>
      </w:pPr>
    </w:p>
    <w:p>
      <w:pPr>
        <w:sectPr>
          <w:pgSz w:w="11900" w:h="16838" w:orient="portrait"/>
          <w:cols w:equalWidth="0" w:num="2">
            <w:col w:w="2747" w:space="620"/>
            <w:col w:w="6739"/>
          </w:cols>
          <w:pgMar w:left="353" w:top="691" w:right="1440" w:bottom="1440" w:gutter="0" w:footer="0" w:header="0"/>
          <w:type w:val="continuous"/>
        </w:sectPr>
      </w:pPr>
    </w:p>
    <w:p>
      <w:pPr>
        <w:spacing w:after="0" w:line="24"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192" w:lineRule="exact"/>
        <w:rPr>
          <w:sz w:val="20"/>
          <w:szCs w:val="20"/>
          <w:color w:val="auto"/>
        </w:rPr>
      </w:pPr>
    </w:p>
    <w:p>
      <w:pPr>
        <w:sectPr>
          <w:pgSz w:w="11900" w:h="16838" w:orient="portrait"/>
          <w:cols w:equalWidth="0" w:num="2">
            <w:col w:w="5907" w:space="720"/>
            <w:col w:w="3479"/>
          </w:cols>
          <w:pgMar w:left="353" w:top="691" w:right="1440" w:bottom="1440" w:gutter="0" w:footer="0" w:header="0"/>
          <w:type w:val="continuous"/>
        </w:sectPr>
      </w:pPr>
    </w:p>
    <w:p>
      <w:pPr>
        <w:ind w:left="427" w:hanging="321"/>
        <w:spacing w:after="0"/>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27" w:right="5899" w:hanging="521"/>
        <w:spacing w:after="0" w:line="347" w:lineRule="auto"/>
        <w:tabs>
          <w:tab w:leader="none" w:pos="4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7"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11,792,059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12,308,353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35,669,083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35,670,054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347" w:lineRule="auto"/>
        <w:tabs>
          <w:tab w:leader="none" w:pos="4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691"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MICRON TECHNOLOGY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8000 S Federal Way</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370, rue Saint Honore</w:t>
      </w:r>
    </w:p>
    <w:p>
      <w:pPr>
        <w:ind w:left="1060"/>
        <w:spacing w:after="0"/>
        <w:rPr>
          <w:sz w:val="20"/>
          <w:szCs w:val="20"/>
          <w:color w:val="auto"/>
        </w:rPr>
      </w:pPr>
      <w:r>
        <w:rPr>
          <w:rFonts w:ascii="Courier New" w:cs="Courier New" w:eastAsia="Courier New" w:hAnsi="Courier New"/>
          <w:sz w:val="18"/>
          <w:szCs w:val="18"/>
          <w:color w:val="auto"/>
        </w:rPr>
        <w:t>75001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16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6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Item 2(c) Citizenship:</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9 of 13 Pages</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 France</w:t>
            </w: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8"/>
              </w:rPr>
              <w:t>Mutuelles AXA and AXA</w:t>
            </w:r>
          </w:p>
        </w:tc>
        <w:tc>
          <w:tcPr>
            <w:tcW w:w="190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AXA Financial, Inc. -</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595112103</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691" w:right="1440" w:bottom="1440" w:gutter="0" w:footer="0" w:header="0"/>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488" w:right="1440" w:bottom="1440" w:gutter="0" w:footer="0" w:header="0"/>
        </w:sectPr>
      </w:pPr>
    </w:p>
    <w:p>
      <w:pPr>
        <w:spacing w:after="0" w:line="22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488" w:right="1440" w:bottom="1440" w:gutter="0" w:footer="0" w:header="0"/>
          <w:type w:val="continuous"/>
        </w:sectPr>
      </w:pP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40,153,054</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23,000</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1,227,113</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Hong Kong Ltd.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199,092</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2,739,173</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294,450</w:t>
            </w:r>
          </w:p>
        </w:tc>
        <w:tc>
          <w:tcPr>
            <w:tcW w:w="0" w:type="dxa"/>
            <w:vAlign w:val="bottom"/>
          </w:tcPr>
          <w:p>
            <w:pPr>
              <w:spacing w:after="0"/>
              <w:rPr>
                <w:sz w:val="1"/>
                <w:szCs w:val="1"/>
                <w:color w:val="auto"/>
              </w:rPr>
            </w:pPr>
          </w:p>
        </w:tc>
      </w:tr>
      <w:tr>
        <w:trPr>
          <w:trHeight w:val="296"/>
        </w:trPr>
        <w:tc>
          <w:tcPr>
            <w:tcW w:w="4960" w:type="dxa"/>
            <w:vAlign w:val="bottom"/>
          </w:tcPr>
          <w:p>
            <w:pPr>
              <w:ind w:left="420"/>
              <w:spacing w:after="0"/>
              <w:rPr>
                <w:sz w:val="20"/>
                <w:szCs w:val="20"/>
                <w:color w:val="auto"/>
              </w:rPr>
            </w:pPr>
            <w:r>
              <w:rPr>
                <w:rFonts w:ascii="Courier New" w:cs="Courier New" w:eastAsia="Courier New" w:hAnsi="Courier New"/>
                <w:sz w:val="18"/>
                <w:szCs w:val="18"/>
                <w:color w:val="auto"/>
              </w:rPr>
              <w:t>AXA Konzern AG (Germany)</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172</w:t>
            </w:r>
          </w:p>
        </w:tc>
        <w:tc>
          <w:tcPr>
            <w:tcW w:w="0" w:type="dxa"/>
            <w:vAlign w:val="bottom"/>
          </w:tcPr>
          <w:p>
            <w:pPr>
              <w:spacing w:after="0"/>
              <w:rPr>
                <w:sz w:val="1"/>
                <w:szCs w:val="1"/>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35,406,654</w:t>
            </w:r>
          </w:p>
        </w:tc>
        <w:tc>
          <w:tcPr>
            <w:tcW w:w="0" w:type="dxa"/>
            <w:vAlign w:val="bottom"/>
          </w:tcPr>
          <w:p>
            <w:pPr>
              <w:spacing w:after="0"/>
              <w:rPr>
                <w:sz w:val="1"/>
                <w:szCs w:val="1"/>
                <w:color w:val="auto"/>
              </w:rPr>
            </w:pPr>
          </w:p>
        </w:tc>
      </w:tr>
      <w:tr>
        <w:trPr>
          <w:trHeight w:val="296"/>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00" w:type="dxa"/>
            <w:vAlign w:val="bottom"/>
            <w:gridSpan w:val="2"/>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263,400</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40,153,054</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82"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488" w:right="1440" w:bottom="1440" w:gutter="0" w:footer="0" w:header="0"/>
          <w:type w:val="continuous"/>
        </w:sectPr>
      </w:pPr>
    </w:p>
    <w:p>
      <w:pPr>
        <w:spacing w:after="0" w:line="2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488"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c>
          <w:tcPr>
            <w:tcW w:w="0" w:type="dxa"/>
            <w:vAlign w:val="bottom"/>
          </w:tcPr>
          <w:p>
            <w:pPr>
              <w:spacing w:after="0"/>
              <w:rPr>
                <w:sz w:val="1"/>
                <w:szCs w:val="1"/>
                <w:color w:val="auto"/>
              </w:rPr>
            </w:pP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2001</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 ------------</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23,000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1,227,113</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1,227,113</w:t>
            </w: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Paris</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199,092</w:t>
            </w:r>
          </w:p>
        </w:tc>
        <w:tc>
          <w:tcPr>
            <w:tcW w:w="940" w:type="dxa"/>
            <w:vAlign w:val="bottom"/>
          </w:tcPr>
          <w:p>
            <w:pPr>
              <w:spacing w:after="0"/>
              <w:rPr>
                <w:sz w:val="17"/>
                <w:szCs w:val="17"/>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199,092</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Managers Hong Kong</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2,739,173</w:t>
            </w:r>
          </w:p>
        </w:tc>
        <w:tc>
          <w:tcPr>
            <w:tcW w:w="940" w:type="dxa"/>
            <w:vAlign w:val="bottom"/>
          </w:tcPr>
          <w:p>
            <w:pPr>
              <w:spacing w:after="0"/>
              <w:rPr>
                <w:sz w:val="17"/>
                <w:szCs w:val="17"/>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2,739,173</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UK Ltd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294,450</w:t>
            </w:r>
          </w:p>
        </w:tc>
        <w:tc>
          <w:tcPr>
            <w:tcW w:w="940" w:type="dxa"/>
            <w:vAlign w:val="bottom"/>
          </w:tcPr>
          <w:p>
            <w:pPr>
              <w:spacing w:after="0"/>
              <w:rPr>
                <w:sz w:val="17"/>
                <w:szCs w:val="17"/>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294,450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172</w:t>
            </w:r>
          </w:p>
        </w:tc>
        <w:tc>
          <w:tcPr>
            <w:tcW w:w="940" w:type="dxa"/>
            <w:vAlign w:val="bottom"/>
          </w:tcPr>
          <w:p>
            <w:pPr>
              <w:spacing w:after="0"/>
              <w:rPr>
                <w:sz w:val="17"/>
                <w:szCs w:val="17"/>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172</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Konzern AG</w:t>
            </w:r>
          </w:p>
        </w:tc>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(Germany)</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11,728,409</w:t>
            </w:r>
          </w:p>
        </w:tc>
        <w:tc>
          <w:tcPr>
            <w:tcW w:w="148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12,308,353</w:t>
            </w:r>
          </w:p>
        </w:tc>
        <w:tc>
          <w:tcPr>
            <w:tcW w:w="14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35,405,683</w:t>
            </w:r>
          </w:p>
        </w:tc>
        <w:tc>
          <w:tcPr>
            <w:tcW w:w="14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4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Management L.P.</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63,650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263,400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Assurance Society of</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the United States</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16,275,059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12,308,353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40,152,083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w:t>
            </w:r>
          </w:p>
        </w:tc>
        <w:tc>
          <w:tcPr>
            <w:tcW w:w="0" w:type="dxa"/>
            <w:vAlign w:val="bottom"/>
          </w:tcPr>
          <w:p>
            <w:pPr>
              <w:spacing w:after="0"/>
              <w:rPr>
                <w:sz w:val="1"/>
                <w:szCs w:val="1"/>
                <w:color w:val="auto"/>
              </w:rPr>
            </w:pPr>
          </w:p>
        </w:tc>
      </w:tr>
      <w:tr>
        <w:trPr>
          <w:trHeight w:val="235"/>
        </w:trPr>
        <w:tc>
          <w:tcPr>
            <w:tcW w:w="232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jc w:val="both"/>
        <w:ind w:right="2099"/>
        <w:spacing w:after="0" w:line="378"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285"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860" w:right="241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31" w:lineRule="exact"/>
        <w:rPr>
          <w:sz w:val="20"/>
          <w:szCs w:val="20"/>
          <w:color w:val="auto"/>
        </w:rPr>
      </w:pPr>
    </w:p>
    <w:p>
      <w:pPr>
        <w:ind w:left="860" w:right="1879"/>
        <w:spacing w:after="0" w:line="309"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51" w:lineRule="exact"/>
        <w:rPr>
          <w:sz w:val="20"/>
          <w:szCs w:val="20"/>
          <w:color w:val="auto"/>
        </w:rPr>
      </w:pPr>
    </w:p>
    <w:p>
      <w:pPr>
        <w:ind w:left="860" w:right="2739" w:hanging="536"/>
        <w:spacing w:after="0" w:line="292"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66" w:lineRule="exact"/>
        <w:rPr>
          <w:sz w:val="20"/>
          <w:szCs w:val="20"/>
          <w:color w:val="auto"/>
        </w:rPr>
      </w:pPr>
    </w:p>
    <w:p>
      <w:pPr>
        <w:ind w:left="860" w:right="3259" w:hanging="536"/>
        <w:spacing w:after="0" w:line="289"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jc w:val="both"/>
        <w:ind w:left="1480" w:right="4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Paris (France) AXA Investment Managers Hong Kong Ltd. AXA Investment Managers UK Ltd</w:t>
      </w:r>
    </w:p>
    <w:p>
      <w:pPr>
        <w:ind w:left="1480" w:right="535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 AXA Konzern AG (Germany)</w:t>
      </w:r>
    </w:p>
    <w:p>
      <w:pPr>
        <w:spacing w:after="0" w:line="51" w:lineRule="exact"/>
        <w:rPr>
          <w:sz w:val="20"/>
          <w:szCs w:val="20"/>
          <w:color w:val="auto"/>
        </w:rPr>
      </w:pPr>
    </w:p>
    <w:p>
      <w:pPr>
        <w:ind w:left="860" w:right="2939" w:hanging="536"/>
        <w:spacing w:after="0" w:line="402"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30" w:lineRule="exact"/>
        <w:rPr>
          <w:rFonts w:ascii="Courier New" w:cs="Courier New" w:eastAsia="Courier New" w:hAnsi="Courier New"/>
          <w:sz w:val="18"/>
          <w:szCs w:val="18"/>
          <w:color w:val="auto"/>
        </w:rPr>
      </w:pPr>
    </w:p>
    <w:p>
      <w:pPr>
        <w:ind w:left="860"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51" w:lineRule="exact"/>
        <w:rPr>
          <w:sz w:val="20"/>
          <w:szCs w:val="20"/>
          <w:color w:val="auto"/>
        </w:rPr>
      </w:pPr>
    </w:p>
    <w:p>
      <w:pPr>
        <w:ind w:left="860" w:hanging="536"/>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30" w:lineRule="exact"/>
        <w:rPr>
          <w:rFonts w:ascii="Courier New" w:cs="Courier New" w:eastAsia="Courier New" w:hAnsi="Courier New"/>
          <w:sz w:val="18"/>
          <w:szCs w:val="18"/>
          <w:color w:val="auto"/>
        </w:rPr>
      </w:pPr>
    </w:p>
    <w:p>
      <w:pPr>
        <w:ind w:left="860" w:right="21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69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420" w:right="2419" w:firstLine="527"/>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420" w:right="283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tabs>
          <w:tab w:leader="none" w:pos="1460" w:val="left"/>
          <w:tab w:leader="none" w:pos="4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374" w:lineRule="exact"/>
        <w:rPr>
          <w:sz w:val="20"/>
          <w:szCs w:val="20"/>
          <w:color w:val="auto"/>
        </w:rPr>
      </w:pPr>
    </w:p>
    <w:p>
      <w:pPr>
        <w:ind w:left="540" w:right="2099" w:hanging="104"/>
        <w:spacing w:after="0" w:line="265"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691"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69" w:lineRule="exact"/>
        <w:rPr>
          <w:sz w:val="20"/>
          <w:szCs w:val="20"/>
          <w:color w:val="auto"/>
        </w:rPr>
      </w:pPr>
    </w:p>
    <w:p>
      <w:pPr>
        <w:ind w:left="1160"/>
        <w:spacing w:after="0"/>
        <w:tabs>
          <w:tab w:leader="none" w:pos="23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11, 2002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Alvin H. Fenichel</w:t>
      </w:r>
    </w:p>
    <w:p>
      <w:pPr>
        <w:ind w:left="1480"/>
        <w:spacing w:after="0"/>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374"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6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Alvin H. Fenichel</w:t>
      </w:r>
    </w:p>
    <w:p>
      <w:pPr>
        <w:ind w:left="1480"/>
        <w:spacing w:after="0"/>
        <w:rPr>
          <w:sz w:val="20"/>
          <w:szCs w:val="20"/>
          <w:color w:val="auto"/>
        </w:rPr>
      </w:pPr>
      <w:r>
        <w:rPr>
          <w:rFonts w:ascii="Courier New" w:cs="Courier New" w:eastAsia="Courier New" w:hAnsi="Courier New"/>
          <w:sz w:val="18"/>
          <w:szCs w:val="18"/>
          <w:color w:val="auto"/>
        </w:rPr>
        <w:t>Attorney-in-Fact</w:t>
      </w:r>
    </w:p>
    <w:p>
      <w:pPr>
        <w:ind w:left="1480"/>
        <w:spacing w:after="0"/>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2"/>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12"/>
    </w:lvl>
    <w:lvl w:ilvl="1">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2"/>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2"/>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2"/>
    </w:lvl>
    <w:lvl w:ilvl="1">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2"/>
    </w:lvl>
    <w:lvl w:ilvl="1">
      <w:lvlJc w:val="left"/>
      <w:lvlText w:val="*"/>
      <w:numFmt w:val="bullet"/>
      <w:start w:val="1"/>
    </w:lvl>
  </w:abstractNum>
  <w:abstractNum w:abstractNumId="16">
    <w:nsid w:val="7C83E458"/>
    <w:multiLevelType w:val="hybridMultilevel"/>
    <w:lvl w:ilvl="0">
      <w:lvlJc w:val="left"/>
      <w:lvlText w:val="(%1)"/>
      <w:numFmt w:val="upperLetter"/>
      <w:start w:val="24"/>
    </w:lvl>
  </w:abstractNum>
  <w:abstractNum w:abstractNumId="17">
    <w:nsid w:val="257130A3"/>
    <w:multiLevelType w:val="hybridMultilevel"/>
    <w:lvl w:ilvl="0">
      <w:lvlJc w:val="left"/>
      <w:lvlText w:val="(%1)"/>
      <w:numFmt w:val="upperLetter"/>
      <w:start w:val="24"/>
    </w:lvl>
  </w:abstractNum>
  <w:abstractNum w:abstractNumId="18">
    <w:nsid w:val="62BBD95A"/>
    <w:multiLevelType w:val="hybridMultilevel"/>
    <w:lvl w:ilvl="0">
      <w:lvlJc w:val="left"/>
      <w:lvlText w:val="(%1)"/>
      <w:numFmt w:val="upperLetter"/>
      <w:start w:val="24"/>
    </w:lvl>
  </w:abstractNum>
  <w:abstractNum w:abstractNumId="19">
    <w:nsid w:val="436C6125"/>
    <w:multiLevelType w:val="hybridMultilevel"/>
    <w:lvl w:ilvl="0">
      <w:lvlJc w:val="left"/>
      <w:lvlText w:val="(%1)"/>
      <w:numFmt w:val="upperLetter"/>
      <w:start w:val="24"/>
    </w:lvl>
  </w:abstractNum>
  <w:abstractNum w:abstractNumId="20">
    <w:nsid w:val="628C895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2019-12-13T13:00:59Z</dcterms:created>
  <dcterms:modified xsi:type="dcterms:W3CDTF">2019-12-13T13:00:59Z</dcterms:modified>
</cp:coreProperties>
</file>