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80" w:space="720"/>
            <w:col w:w="2720" w:space="720"/>
            <w:col w:w="3180"/>
          </w:cols>
          <w:pgMar w:left="240" w:top="585"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85"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 w:firstLine="324"/>
        <w:spacing w:after="0" w:line="279" w:lineRule="auto"/>
        <w:rPr>
          <w:sz w:val="20"/>
          <w:szCs w:val="20"/>
          <w:color w:val="auto"/>
        </w:rPr>
      </w:pPr>
      <w:r>
        <w:rPr>
          <w:rFonts w:ascii="Arial" w:cs="Arial" w:eastAsia="Arial" w:hAnsi="Arial"/>
          <w:sz w:val="17"/>
          <w:szCs w:val="17"/>
          <w:color w:val="auto"/>
        </w:rPr>
        <w:t>Since 1998, the Company has participated in TECH Semiconductor Singapore Pte. Ltd. (“TECH”), a semiconductor memory manufacturing joint venture in Singapore among the Company, the Singapore Economic Development Board, Canon Inc. and Hewlett-Packard Company. On March 3, 2006, certain shareholders of TECH contributed approximately $260 million in cash as additional capital to TECH, of which the Company’s contribution was approximately $130 million. Following the contribution, the Company has an approximate 43% ownership interest in TECH.</w:t>
      </w:r>
    </w:p>
    <w:p>
      <w:pPr>
        <w:spacing w:after="0" w:line="171" w:lineRule="exact"/>
        <w:rPr>
          <w:sz w:val="24"/>
          <w:szCs w:val="24"/>
          <w:color w:val="auto"/>
        </w:rPr>
      </w:pPr>
    </w:p>
    <w:p>
      <w:pPr>
        <w:ind w:firstLine="324"/>
        <w:spacing w:after="0" w:line="257" w:lineRule="auto"/>
        <w:rPr>
          <w:sz w:val="20"/>
          <w:szCs w:val="20"/>
          <w:color w:val="auto"/>
        </w:rPr>
      </w:pPr>
      <w:r>
        <w:rPr>
          <w:rFonts w:ascii="Arial" w:cs="Arial" w:eastAsia="Arial" w:hAnsi="Arial"/>
          <w:sz w:val="18"/>
          <w:szCs w:val="18"/>
          <w:color w:val="auto"/>
        </w:rPr>
        <w:t>On March 1, 2006, the Company entered into an agreement with the EDB Investments Pte Ltd (“EDBI”), subject to EDBI’s contribution of additional amounts to TECH, whereby EDBI granted the Company an option to purchase from EDBI, and the Company granted EDBI an option to sell to the Company, EDBI’s shares of TECH common stock. The Company’s option to purchase EDBI’s shares in TECH is exercisable at any time until October 1, 2009. EDBI’s option to put its shares in TECH to the Company is exercisable from March 3, 2008 until October 1, 2010. If either party exercises its option, the Company expects that it would own approximately 73% of the outstanding shares of TECH.</w:t>
      </w:r>
    </w:p>
    <w:p>
      <w:pPr>
        <w:spacing w:after="0" w:line="184"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4"/>
          <w:szCs w:val="24"/>
          <w:color w:val="auto"/>
        </w:rPr>
      </w:pPr>
    </w:p>
    <w:p>
      <w:pPr>
        <w:ind w:right="100" w:firstLine="324"/>
        <w:spacing w:after="0" w:line="257" w:lineRule="auto"/>
        <w:rPr>
          <w:sz w:val="20"/>
          <w:szCs w:val="20"/>
          <w:color w:val="auto"/>
        </w:rPr>
      </w:pPr>
      <w:r>
        <w:rPr>
          <w:rFonts w:ascii="Arial" w:cs="Arial" w:eastAsia="Arial" w:hAnsi="Arial"/>
          <w:sz w:val="18"/>
          <w:szCs w:val="18"/>
          <w:color w:val="auto"/>
        </w:rPr>
        <w:t>The Financial Accounting Standards Board’s Interpretation No. 46, “Consolidation of Variable Interest Entities – an interpretation of ARB No. 51,” (revised) (“FIN 46(R)”) provides guidance on the identification of and reporting for variable interest entities. FIN 46(R) requires that a company consolidate a variable interest entity when the company is the primary beneficiary of the variable interest entity. The primary beneficiary of a variable interest entity is the party that absorbs a majority of the entity’s expected losses, receives a majority of its expected residual returns, or both, as a result of holding a variable interest.</w:t>
      </w:r>
    </w:p>
    <w:p>
      <w:pPr>
        <w:spacing w:after="0" w:line="188" w:lineRule="exact"/>
        <w:rPr>
          <w:sz w:val="24"/>
          <w:szCs w:val="24"/>
          <w:color w:val="auto"/>
        </w:rPr>
      </w:pPr>
    </w:p>
    <w:p>
      <w:pPr>
        <w:ind w:right="200" w:firstLine="324"/>
        <w:spacing w:after="0" w:line="277" w:lineRule="auto"/>
        <w:rPr>
          <w:sz w:val="20"/>
          <w:szCs w:val="20"/>
          <w:color w:val="auto"/>
        </w:rPr>
      </w:pPr>
      <w:r>
        <w:rPr>
          <w:rFonts w:ascii="Arial" w:cs="Arial" w:eastAsia="Arial" w:hAnsi="Arial"/>
          <w:sz w:val="18"/>
          <w:szCs w:val="18"/>
          <w:color w:val="auto"/>
        </w:rPr>
        <w:t>As a result of the option agreement noted in Item 1.01, the Company has concluded that it is the primary beneficiary of TECH as defined by FIN 46(R) and, therefore, will consolidate TECH’s financial results at the beginning of the Company’s third quarter of fiscal 2006.</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585" w:right="239" w:bottom="0" w:gutter="0" w:footer="0" w:header="0"/>
          <w:type w:val="continuous"/>
        </w:sectPr>
      </w:pPr>
    </w:p>
    <w:bookmarkStart w:id="1" w:name="page2"/>
    <w:bookmarkEnd w:id="1"/>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26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7, 2006</w:t>
            </w:r>
          </w:p>
        </w:tc>
        <w:tc>
          <w:tcPr>
            <w:tcW w:w="3040" w:type="dxa"/>
            <w:vAlign w:val="bottom"/>
          </w:tcPr>
          <w:p>
            <w:pPr>
              <w:ind w:left="22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304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3040" w:type="dxa"/>
            <w:vAlign w:val="bottom"/>
          </w:tcPr>
          <w:p>
            <w:pPr>
              <w:ind w:left="22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3040" w:type="dxa"/>
            <w:vAlign w:val="bottom"/>
          </w:tcPr>
          <w:p>
            <w:pPr>
              <w:ind w:left="2040"/>
              <w:spacing w:after="0"/>
              <w:rPr>
                <w:sz w:val="20"/>
                <w:szCs w:val="20"/>
                <w:color w:val="auto"/>
              </w:rPr>
            </w:pPr>
            <w:r>
              <w:rPr>
                <w:rFonts w:ascii="Arial" w:cs="Arial" w:eastAsia="Arial" w:hAnsi="Arial"/>
                <w:sz w:val="18"/>
                <w:szCs w:val="18"/>
                <w:color w:val="auto"/>
              </w:rPr>
              <w:t>3</w:t>
            </w: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62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2019-12-11T20:04:30Z</dcterms:created>
  <dcterms:modified xsi:type="dcterms:W3CDTF">2019-12-11T20:04:30Z</dcterms:modified>
</cp:coreProperties>
</file>