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28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280" w:right="1440" w:bottom="0"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280" w:right="1440" w:bottom="0"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1"/>
          <w:szCs w:val="21"/>
          <w:color w:val="auto"/>
        </w:rPr>
        <w:t>Orbis Investment Management Limited (OIML), Orbis Asset Mangement Limited (OAML)</w:t>
      </w:r>
    </w:p>
    <w:p>
      <w:pPr>
        <w:spacing w:after="0" w:line="91" w:lineRule="exact"/>
        <w:rPr>
          <w:rFonts w:ascii="Arial" w:cs="Arial" w:eastAsia="Arial" w:hAnsi="Arial"/>
          <w:sz w:val="22"/>
          <w:szCs w:val="22"/>
          <w:color w:val="auto"/>
        </w:rPr>
      </w:pPr>
    </w:p>
    <w:p>
      <w:pPr>
        <w:ind w:left="1000" w:hanging="303"/>
        <w:spacing w:after="0"/>
        <w:tabs>
          <w:tab w:leader="none" w:pos="1000" w:val="left"/>
        </w:tabs>
        <w:numPr>
          <w:ilvl w:val="1"/>
          <w:numId w:val="2"/>
        </w:numPr>
        <w:rPr>
          <w:rFonts w:ascii="Arial" w:cs="Arial" w:eastAsia="Arial" w:hAnsi="Arial"/>
          <w:sz w:val="22"/>
          <w:szCs w:val="22"/>
          <w:color w:val="auto"/>
        </w:rPr>
      </w:pPr>
      <w:r>
        <w:rPr>
          <w:rFonts w:ascii="Arial" w:cs="Arial" w:eastAsia="Arial" w:hAnsi="Arial"/>
          <w:sz w:val="22"/>
          <w:szCs w:val="22"/>
          <w:color w:val="auto"/>
        </w:rPr>
        <w:t>Tax ID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-1194435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-302895</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0" w:gutter="0" w:footer="0" w:header="0"/>
          <w:type w:val="continuous"/>
        </w:sectPr>
      </w:pPr>
    </w:p>
    <w:bookmarkStart w:id="1" w:name="page2"/>
    <w:bookmarkEnd w:id="1"/>
    <w:p>
      <w:pPr>
        <w:ind w:left="640" w:right="1499" w:hanging="439"/>
        <w:spacing w:after="0" w:line="183" w:lineRule="auto"/>
        <w:tabs>
          <w:tab w:leader="none" w:pos="620" w:val="left"/>
        </w:tabs>
        <w:rPr>
          <w:sz w:val="20"/>
          <w:szCs w:val="20"/>
          <w:color w:val="auto"/>
        </w:rPr>
      </w:pPr>
      <w:r>
        <w:rPr>
          <w:rFonts w:ascii="Arial" w:cs="Arial" w:eastAsia="Arial" w:hAnsi="Arial"/>
          <w:sz w:val="39"/>
          <w:szCs w:val="39"/>
          <w:color w:val="auto"/>
          <w:vertAlign w:val="subscript"/>
        </w:rPr>
        <w:drawing>
          <wp:anchor simplePos="0" relativeHeight="251657728" behindDoc="1" locked="0" layoutInCell="0" allowOverlap="1">
            <wp:simplePos x="0" y="0"/>
            <wp:positionH relativeFrom="page">
              <wp:posOffset>189865</wp:posOffset>
            </wp:positionH>
            <wp:positionV relativeFrom="page">
              <wp:posOffset>88900</wp:posOffset>
            </wp:positionV>
            <wp:extent cx="562991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19050"/>
                    </a:xfrm>
                    <a:prstGeom prst="rect">
                      <a:avLst/>
                    </a:prstGeom>
                    <a:noFill/>
                  </pic:spPr>
                </pic:pic>
              </a:graphicData>
            </a:graphic>
          </wp:anchor>
        </w:drawing>
        <w:t>4.</w:t>
      </w:r>
      <w:r>
        <w:rPr>
          <w:sz w:val="20"/>
          <w:szCs w:val="20"/>
          <w:color w:val="auto"/>
        </w:rPr>
        <w:tab/>
      </w:r>
      <w:r>
        <w:rPr>
          <w:rFonts w:ascii="Arial" w:cs="Arial" w:eastAsia="Arial" w:hAnsi="Arial"/>
          <w:sz w:val="20"/>
          <w:szCs w:val="20"/>
          <w:color w:val="auto"/>
        </w:rPr>
        <w:t>Citizenship or Place of Organization The Reporting Persons are companies organised under the laws of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74,599,601</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1,014,664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75,614,265</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right="2199" w:hanging="435"/>
        <w:spacing w:after="0" w:line="328" w:lineRule="auto"/>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Orbis Investment Management Limited 75,252,147 and Orbis Asset Management Limited, 362,118</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9.9 %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-1795145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FI (OIML) and OO (OAML)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Micron Technology, Inc</w:t>
      </w:r>
    </w:p>
    <w:p>
      <w:pPr>
        <w:spacing w:after="0" w:line="80" w:lineRule="exact"/>
        <w:rPr>
          <w:rFonts w:ascii="Arial" w:cs="Arial" w:eastAsia="Arial" w:hAnsi="Arial"/>
          <w:sz w:val="22"/>
          <w:szCs w:val="22"/>
          <w:color w:val="auto"/>
        </w:rPr>
      </w:pPr>
    </w:p>
    <w:p>
      <w:pPr>
        <w:ind w:left="700" w:right="5039" w:hanging="374"/>
        <w:spacing w:after="0" w:line="382" w:lineRule="auto"/>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Address of Issuer's Principal Executive Offices 8000 South Federal Way, Boise, Idaho 83716-9632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19"/>
          <w:szCs w:val="19"/>
          <w:color w:val="auto"/>
        </w:rPr>
        <w:t>Orbis Investment Management Limited (OIML), Orbis Asset Mangement Limited (OAML)</w:t>
      </w:r>
    </w:p>
    <w:p>
      <w:pPr>
        <w:spacing w:after="0" w:line="114"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34 Bermudiana Road, Hamilton, HM 11, Bermuda</w:t>
      </w: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The Reporting Persons are companies organised under the laws of Bermuda</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Common stock, par value $0.10 per share</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CUSIP Number 595112103</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9"/>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300" w:right="1440" w:bottom="0" w:gutter="0" w:footer="0" w:header="0"/>
        </w:sectPr>
      </w:pPr>
    </w:p>
    <w:bookmarkStart w:id="2" w:name="page3"/>
    <w:bookmarkEnd w:id="2"/>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54" w:lineRule="exact"/>
        <w:rPr>
          <w:rFonts w:ascii="Arial" w:cs="Arial" w:eastAsia="Arial" w:hAnsi="Arial"/>
          <w:sz w:val="19"/>
          <w:szCs w:val="19"/>
          <w:color w:val="auto"/>
        </w:rPr>
      </w:pPr>
    </w:p>
    <w:p>
      <w:pPr>
        <w:ind w:left="780" w:hanging="476"/>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 A non-U.S. institution in accordance with 240.13d-1(b)(1)(ii)(J);.</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right="1639" w:hanging="476"/>
        <w:spacing w:after="0" w:line="328" w:lineRule="auto"/>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[X Group, in accordance with 240.13d-1(b)(1)(ii)(K).If filing as a non-U.S. institution in ] accordance with 240.13d-1(b)(ii)(J), please specify the type of institution: equiv IA</w:t>
      </w:r>
    </w:p>
    <w:p>
      <w:pPr>
        <w:spacing w:after="0" w:line="342"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600" w:right="1519" w:hanging="355"/>
        <w:spacing w:after="0" w:line="251" w:lineRule="auto"/>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Orbis Investment Management Limited 75,252,147 and Orbis Asset Management Limited, 362,118</w:t>
      </w:r>
    </w:p>
    <w:p>
      <w:pPr>
        <w:spacing w:after="0" w:line="65" w:lineRule="exact"/>
        <w:rPr>
          <w:rFonts w:ascii="Arial" w:cs="Arial" w:eastAsia="Arial" w:hAnsi="Arial"/>
          <w:sz w:val="22"/>
          <w:szCs w:val="22"/>
          <w:color w:val="auto"/>
        </w:rPr>
      </w:pPr>
    </w:p>
    <w:p>
      <w:pPr>
        <w:ind w:left="1600" w:hanging="355"/>
        <w:spacing w:after="0"/>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9.9%</w:t>
      </w:r>
    </w:p>
    <w:p>
      <w:pPr>
        <w:spacing w:after="0" w:line="98" w:lineRule="exact"/>
        <w:rPr>
          <w:rFonts w:ascii="Arial" w:cs="Arial" w:eastAsia="Arial" w:hAnsi="Arial"/>
          <w:sz w:val="22"/>
          <w:szCs w:val="22"/>
          <w:color w:val="auto"/>
        </w:rPr>
      </w:pPr>
    </w:p>
    <w:p>
      <w:pPr>
        <w:ind w:left="1600" w:hanging="355"/>
        <w:spacing w:after="0"/>
        <w:tabs>
          <w:tab w:leader="none" w:pos="1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to direct the vote 74,599,601</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1,014,664</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75,614,265</w:t>
      </w:r>
    </w:p>
    <w:p>
      <w:pPr>
        <w:spacing w:after="0" w:line="98" w:lineRule="exact"/>
        <w:rPr>
          <w:rFonts w:ascii="Arial" w:cs="Arial" w:eastAsia="Arial" w:hAnsi="Arial"/>
          <w:sz w:val="22"/>
          <w:szCs w:val="22"/>
          <w:color w:val="auto"/>
        </w:rPr>
      </w:pPr>
    </w:p>
    <w:p>
      <w:pPr>
        <w:ind w:left="2040" w:hanging="431"/>
        <w:spacing w:after="0"/>
        <w:tabs>
          <w:tab w:leader="none" w:pos="20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Other</w:t>
      </w:r>
    </w:p>
    <w:p>
      <w:pPr>
        <w:spacing w:after="0" w:line="180" w:lineRule="auto"/>
        <w:rPr>
          <w:sz w:val="20"/>
          <w:szCs w:val="20"/>
          <w:color w:val="auto"/>
        </w:rPr>
      </w:pPr>
      <w:r>
        <w:rPr>
          <w:rFonts w:ascii="Arial" w:cs="Arial" w:eastAsia="Arial" w:hAnsi="Arial"/>
          <w:sz w:val="15"/>
          <w:szCs w:val="15"/>
          <w:color w:val="auto"/>
        </w:rPr>
        <w:t>persons have</w:t>
      </w:r>
    </w:p>
    <w:p>
      <w:pPr>
        <w:ind w:right="160"/>
        <w:spacing w:after="0" w:line="200" w:lineRule="auto"/>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color w:val="auto"/>
        </w:rPr>
        <w:t>the right to</w:t>
      </w:r>
    </w:p>
    <w:p>
      <w:pPr>
        <w:ind w:right="40"/>
        <w:spacing w:after="0" w:line="222" w:lineRule="auto"/>
        <w:rPr>
          <w:sz w:val="20"/>
          <w:szCs w:val="20"/>
          <w:color w:val="auto"/>
        </w:rPr>
      </w:pPr>
      <w:r>
        <w:rPr>
          <w:rFonts w:ascii="Arial" w:cs="Arial" w:eastAsia="Arial" w:hAnsi="Arial"/>
          <w:sz w:val="19"/>
          <w:szCs w:val="19"/>
          <w:color w:val="auto"/>
        </w:rPr>
        <w:t>receive and the power to direct the</w:t>
      </w:r>
    </w:p>
    <w:p>
      <w:pPr>
        <w:spacing w:after="0" w:line="1" w:lineRule="exact"/>
        <w:rPr>
          <w:sz w:val="20"/>
          <w:szCs w:val="20"/>
          <w:color w:val="auto"/>
        </w:rPr>
      </w:pPr>
    </w:p>
    <w:p>
      <w:pPr>
        <w:ind w:right="300"/>
        <w:spacing w:after="0" w:line="192" w:lineRule="auto"/>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color w:val="auto"/>
        </w:rPr>
        <w:t>receipt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200" w:lineRule="exact"/>
        <w:rPr>
          <w:sz w:val="20"/>
          <w:szCs w:val="20"/>
          <w:color w:val="auto"/>
        </w:rPr>
      </w:pPr>
    </w:p>
    <w:p>
      <w:pPr>
        <w:spacing w:after="0" w:line="297" w:lineRule="exact"/>
        <w:rPr>
          <w:sz w:val="20"/>
          <w:szCs w:val="20"/>
          <w:color w:val="auto"/>
        </w:rPr>
      </w:pPr>
    </w:p>
    <w:p>
      <w:pPr>
        <w:ind w:right="1899"/>
        <w:spacing w:after="0" w:line="243"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122" w:lineRule="exact"/>
        <w:rPr>
          <w:sz w:val="20"/>
          <w:szCs w:val="20"/>
          <w:color w:val="auto"/>
        </w:rPr>
      </w:pPr>
    </w:p>
    <w:p>
      <w:pPr>
        <w:sectPr>
          <w:pgSz w:w="11900" w:h="16838" w:orient="portrait"/>
          <w:cols w:equalWidth="0" w:num="2">
            <w:col w:w="1120" w:space="480"/>
            <w:col w:w="8559"/>
          </w:cols>
          <w:pgMar w:left="300" w:top="118" w:right="1440" w:bottom="0" w:gutter="0" w:footer="0" w:header="0"/>
          <w:type w:val="continuous"/>
        </w:sectPr>
      </w:pPr>
    </w:p>
    <w:p>
      <w:pPr>
        <w:ind w:right="1279"/>
        <w:spacing w:after="0" w:line="281" w:lineRule="auto"/>
        <w:rPr>
          <w:sz w:val="20"/>
          <w:szCs w:val="20"/>
          <w:color w:val="auto"/>
        </w:rPr>
      </w:pPr>
      <w:r>
        <w:rPr>
          <w:rFonts w:ascii="Arial" w:cs="Arial" w:eastAsia="Arial" w:hAnsi="Arial"/>
          <w:sz w:val="18"/>
          <w:szCs w:val="18"/>
          <w:color w:val="auto"/>
        </w:rPr>
        <w:t>OrbisdividendsInvestment Management Limited ("OIML") and Orbis Asset Management Limited ("OAML") arefrom,togetheror making this filing because they may be deemed to constitute a "group" for the purposes of Sectionproceeds13(d)(3) of the Securities Exchange Act of 1934, as amended. Information with respect to eachfrom oftheOIMLsale and OAML (collectively, the "Reporting Persons") is given solely by each such</w:t>
      </w:r>
    </w:p>
    <w:p>
      <w:pPr>
        <w:spacing w:after="0" w:line="3" w:lineRule="exact"/>
        <w:rPr>
          <w:sz w:val="20"/>
          <w:szCs w:val="20"/>
          <w:color w:val="auto"/>
        </w:rPr>
      </w:pPr>
    </w:p>
    <w:p>
      <w:pPr>
        <w:ind w:right="1419"/>
        <w:spacing w:after="0" w:line="281" w:lineRule="auto"/>
        <w:rPr>
          <w:sz w:val="20"/>
          <w:szCs w:val="20"/>
          <w:color w:val="auto"/>
        </w:rPr>
      </w:pPr>
      <w:r>
        <w:rPr>
          <w:rFonts w:ascii="Arial" w:cs="Arial" w:eastAsia="Arial" w:hAnsi="Arial"/>
          <w:sz w:val="18"/>
          <w:szCs w:val="18"/>
          <w:color w:val="auto"/>
        </w:rPr>
        <w:t xml:space="preserve">Reportingofthe Person and no Reporting Person has responsibility for the accuracy or completeness of information75,252,147 supplied by the other Reporting Person. OIML is the beneficial owner of 75,252,147 </w:t>
      </w:r>
      <w:r>
        <w:rPr>
          <w:rFonts w:ascii="Arial" w:cs="Arial" w:eastAsia="Arial" w:hAnsi="Arial"/>
          <w:sz w:val="18"/>
          <w:szCs w:val="18"/>
          <w:b w:val="1"/>
          <w:bCs w:val="1"/>
          <w:color w:val="auto"/>
        </w:rPr>
        <w:t xml:space="preserve">shares of </w:t>
      </w:r>
      <w:r>
        <w:rPr>
          <w:rFonts w:ascii="Arial" w:cs="Arial" w:eastAsia="Arial" w:hAnsi="Arial"/>
          <w:sz w:val="18"/>
          <w:szCs w:val="18"/>
          <w:color w:val="auto"/>
        </w:rPr>
        <w:t>common stock or 9.8% of the 763,759,118 shares of common stock of Micron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Inccommonbelieved to be outstanding. OAML is the beneficial owner of 362,118 shares of common stock or</w:t>
      </w:r>
    </w:p>
    <w:p>
      <w:pPr>
        <w:spacing w:after="0" w:line="3" w:lineRule="exact"/>
        <w:rPr>
          <w:sz w:val="20"/>
          <w:szCs w:val="20"/>
          <w:color w:val="auto"/>
        </w:rPr>
      </w:pPr>
    </w:p>
    <w:p>
      <w:pPr>
        <w:ind w:right="2239"/>
        <w:spacing w:after="0" w:line="237" w:lineRule="auto"/>
        <w:rPr>
          <w:sz w:val="20"/>
          <w:szCs w:val="20"/>
          <w:color w:val="auto"/>
        </w:rPr>
      </w:pPr>
      <w:r>
        <w:rPr>
          <w:rFonts w:ascii="Arial" w:cs="Arial" w:eastAsia="Arial" w:hAnsi="Arial"/>
          <w:sz w:val="22"/>
          <w:szCs w:val="22"/>
          <w:color w:val="auto"/>
        </w:rPr>
        <w:t xml:space="preserve">0stock.1% </w:t>
      </w:r>
      <w:r>
        <w:rPr>
          <w:rFonts w:ascii="Arial" w:cs="Arial" w:eastAsia="Arial" w:hAnsi="Arial"/>
          <w:sz w:val="22"/>
          <w:szCs w:val="22"/>
          <w:b w:val="1"/>
          <w:bCs w:val="1"/>
          <w:color w:val="auto"/>
        </w:rPr>
        <w:t>of</w:t>
      </w:r>
      <w:r>
        <w:rPr>
          <w:rFonts w:ascii="Arial" w:cs="Arial" w:eastAsia="Arial" w:hAnsi="Arial"/>
          <w:sz w:val="22"/>
          <w:szCs w:val="22"/>
          <w:color w:val="auto"/>
        </w:rPr>
        <w:t xml:space="preserve"> the 763,759,118 shares of common stock of Micron Technology, Inc believed to be Micronoutstading.</w:t>
      </w:r>
    </w:p>
    <w:tbl>
      <w:tblPr>
        <w:tblLayout w:type="fixed"/>
        <w:tblInd w:w="0" w:type="dxa"/>
        <w:tblCellMar>
          <w:top w:w="0" w:type="dxa"/>
          <w:left w:w="0" w:type="dxa"/>
          <w:bottom w:w="0" w:type="dxa"/>
          <w:right w:w="0" w:type="dxa"/>
        </w:tblCellMar>
      </w:tblPr>
      <w:tr>
        <w:trPr>
          <w:trHeight w:val="193"/>
        </w:trPr>
        <w:tc>
          <w:tcPr>
            <w:tcW w:w="1340" w:type="dxa"/>
            <w:vAlign w:val="bottom"/>
          </w:tcPr>
          <w:p>
            <w:pPr>
              <w:spacing w:after="0" w:line="192" w:lineRule="exact"/>
              <w:rPr>
                <w:sz w:val="20"/>
                <w:szCs w:val="20"/>
                <w:color w:val="auto"/>
              </w:rPr>
            </w:pPr>
            <w:r>
              <w:rPr>
                <w:rFonts w:ascii="Arial" w:cs="Arial" w:eastAsia="Arial" w:hAnsi="Arial"/>
                <w:sz w:val="22"/>
                <w:szCs w:val="22"/>
                <w:color w:val="auto"/>
              </w:rPr>
              <w:t>Technology,</w:t>
            </w:r>
          </w:p>
        </w:tc>
        <w:tc>
          <w:tcPr>
            <w:tcW w:w="3080" w:type="dxa"/>
            <w:vAlign w:val="bottom"/>
            <w:vMerge w:val="restart"/>
          </w:tcPr>
          <w:p>
            <w:pPr>
              <w:ind w:left="260"/>
              <w:spacing w:after="0"/>
              <w:rPr>
                <w:sz w:val="20"/>
                <w:szCs w:val="20"/>
                <w:color w:val="auto"/>
              </w:rPr>
            </w:pPr>
            <w:r>
              <w:rPr>
                <w:rFonts w:ascii="Arial" w:cs="Arial" w:eastAsia="Arial" w:hAnsi="Arial"/>
                <w:sz w:val="22"/>
                <w:szCs w:val="22"/>
                <w:b w:val="1"/>
                <w:bCs w:val="1"/>
                <w:color w:val="auto"/>
                <w:w w:val="87"/>
              </w:rPr>
              <w:t>Notice of Dissolution of Group</w:t>
            </w:r>
          </w:p>
        </w:tc>
        <w:tc>
          <w:tcPr>
            <w:tcW w:w="0" w:type="dxa"/>
            <w:vAlign w:val="bottom"/>
          </w:tcPr>
          <w:p>
            <w:pPr>
              <w:spacing w:after="0"/>
              <w:rPr>
                <w:sz w:val="1"/>
                <w:szCs w:val="1"/>
                <w:color w:val="auto"/>
              </w:rPr>
            </w:pPr>
          </w:p>
        </w:tc>
      </w:tr>
      <w:tr>
        <w:trPr>
          <w:trHeight w:val="95"/>
        </w:trPr>
        <w:tc>
          <w:tcPr>
            <w:tcW w:w="1340" w:type="dxa"/>
            <w:vAlign w:val="bottom"/>
          </w:tcPr>
          <w:p>
            <w:pPr>
              <w:spacing w:after="0" w:line="95" w:lineRule="exact"/>
              <w:rPr>
                <w:sz w:val="20"/>
                <w:szCs w:val="20"/>
                <w:color w:val="auto"/>
              </w:rPr>
            </w:pPr>
            <w:r>
              <w:rPr>
                <w:rFonts w:ascii="Arial" w:cs="Arial" w:eastAsia="Arial" w:hAnsi="Arial"/>
                <w:sz w:val="10"/>
                <w:szCs w:val="10"/>
                <w:b w:val="1"/>
                <w:bCs w:val="1"/>
                <w:color w:val="auto"/>
              </w:rPr>
              <w:t>Item 9.</w:t>
            </w: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line="182" w:lineRule="exact"/>
              <w:rPr>
                <w:sz w:val="20"/>
                <w:szCs w:val="20"/>
                <w:color w:val="auto"/>
              </w:rPr>
            </w:pPr>
            <w:r>
              <w:rPr>
                <w:rFonts w:ascii="Arial" w:cs="Arial" w:eastAsia="Arial" w:hAnsi="Arial"/>
                <w:sz w:val="21"/>
                <w:szCs w:val="21"/>
                <w:color w:val="auto"/>
              </w:rPr>
              <w:t>Inc.</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0" w:lineRule="exact"/>
              <w:rPr>
                <w:sz w:val="20"/>
                <w:szCs w:val="20"/>
                <w:color w:val="auto"/>
              </w:rPr>
            </w:pPr>
            <w:r>
              <w:rPr>
                <w:rFonts w:ascii="Arial" w:cs="Arial" w:eastAsia="Arial" w:hAnsi="Arial"/>
                <w:sz w:val="22"/>
                <w:szCs w:val="22"/>
                <w:color w:val="auto"/>
              </w:rPr>
              <w:t>beneficially</w:t>
            </w:r>
          </w:p>
        </w:tc>
        <w:tc>
          <w:tcPr>
            <w:tcW w:w="30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Certification</w:t>
            </w:r>
          </w:p>
        </w:tc>
        <w:tc>
          <w:tcPr>
            <w:tcW w:w="0" w:type="dxa"/>
            <w:vAlign w:val="bottom"/>
          </w:tcPr>
          <w:p>
            <w:pPr>
              <w:spacing w:after="0"/>
              <w:rPr>
                <w:sz w:val="1"/>
                <w:szCs w:val="1"/>
                <w:color w:val="auto"/>
              </w:rPr>
            </w:pPr>
          </w:p>
        </w:tc>
      </w:tr>
      <w:tr>
        <w:trPr>
          <w:trHeight w:val="51"/>
        </w:trPr>
        <w:tc>
          <w:tcPr>
            <w:tcW w:w="1340" w:type="dxa"/>
            <w:vAlign w:val="bottom"/>
          </w:tcPr>
          <w:p>
            <w:pPr>
              <w:spacing w:after="0" w:line="51" w:lineRule="exact"/>
              <w:rPr>
                <w:sz w:val="20"/>
                <w:szCs w:val="20"/>
                <w:color w:val="auto"/>
              </w:rPr>
            </w:pPr>
            <w:r>
              <w:rPr>
                <w:rFonts w:ascii="Arial" w:cs="Arial" w:eastAsia="Arial" w:hAnsi="Arial"/>
                <w:sz w:val="5"/>
                <w:szCs w:val="5"/>
                <w:b w:val="1"/>
                <w:bCs w:val="1"/>
                <w:color w:val="auto"/>
              </w:rPr>
              <w:t>Item 10.</w:t>
            </w: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2" w:lineRule="auto"/>
        <w:rPr>
          <w:sz w:val="20"/>
          <w:szCs w:val="20"/>
          <w:color w:val="auto"/>
        </w:rPr>
      </w:pPr>
      <w:r>
        <w:rPr>
          <w:rFonts w:ascii="Arial" w:cs="Arial" w:eastAsia="Arial" w:hAnsi="Arial"/>
          <w:sz w:val="17"/>
          <w:szCs w:val="17"/>
          <w:color w:val="auto"/>
        </w:rPr>
        <w:t>owned by</w:t>
      </w:r>
    </w:p>
    <w:p>
      <w:pPr>
        <w:spacing w:after="0" w:line="181" w:lineRule="auto"/>
        <w:rPr>
          <w:sz w:val="20"/>
          <w:szCs w:val="20"/>
          <w:color w:val="auto"/>
        </w:rPr>
      </w:pPr>
      <w:r>
        <w:rPr>
          <w:rFonts w:ascii="Arial" w:cs="Arial" w:eastAsia="Arial" w:hAnsi="Arial"/>
          <w:sz w:val="28"/>
          <w:szCs w:val="28"/>
          <w:color w:val="auto"/>
          <w:vertAlign w:val="subscript"/>
        </w:rPr>
        <w:t>Orbis</w:t>
      </w:r>
      <w:r>
        <w:rPr>
          <w:rFonts w:ascii="Arial" w:cs="Arial" w:eastAsia="Arial" w:hAnsi="Arial"/>
          <w:sz w:val="16"/>
          <w:szCs w:val="16"/>
          <w:color w:val="auto"/>
        </w:rPr>
        <w:t>By signing below I certify that, to the best of my knowledge and belief, the securities</w:t>
      </w:r>
    </w:p>
    <w:p>
      <w:pPr>
        <w:spacing w:after="0" w:line="1" w:lineRule="exact"/>
        <w:rPr>
          <w:sz w:val="20"/>
          <w:szCs w:val="20"/>
          <w:color w:val="auto"/>
        </w:rPr>
      </w:pPr>
    </w:p>
    <w:p>
      <w:pPr>
        <w:ind w:right="1979" w:firstLine="486"/>
        <w:spacing w:after="0"/>
        <w:rPr>
          <w:sz w:val="20"/>
          <w:szCs w:val="20"/>
          <w:color w:val="auto"/>
        </w:rPr>
      </w:pPr>
      <w:r>
        <w:rPr>
          <w:rFonts w:ascii="Arial" w:cs="Arial" w:eastAsia="Arial" w:hAnsi="Arial"/>
          <w:sz w:val="17"/>
          <w:szCs w:val="17"/>
          <w:color w:val="auto"/>
        </w:rPr>
        <w:t>referred to above were acquired and are held in the ordinary course of business and were Investment</w:t>
      </w:r>
    </w:p>
    <w:p>
      <w:pPr>
        <w:spacing w:after="0" w:line="48" w:lineRule="exact"/>
        <w:rPr>
          <w:sz w:val="20"/>
          <w:szCs w:val="20"/>
          <w:color w:val="auto"/>
        </w:rPr>
      </w:pPr>
    </w:p>
    <w:p>
      <w:pPr>
        <w:ind w:right="1979" w:firstLine="486"/>
        <w:spacing w:after="0"/>
        <w:rPr>
          <w:sz w:val="20"/>
          <w:szCs w:val="20"/>
          <w:color w:val="auto"/>
        </w:rPr>
      </w:pPr>
      <w:r>
        <w:rPr>
          <w:rFonts w:ascii="Arial" w:cs="Arial" w:eastAsia="Arial" w:hAnsi="Arial"/>
          <w:sz w:val="18"/>
          <w:szCs w:val="18"/>
          <w:color w:val="auto"/>
        </w:rPr>
        <w:t>not acquired and are not held for the purpose of or with the effect of changing or Management</w:t>
      </w:r>
    </w:p>
    <w:p>
      <w:pPr>
        <w:spacing w:after="0" w:line="36" w:lineRule="exact"/>
        <w:rPr>
          <w:sz w:val="20"/>
          <w:szCs w:val="20"/>
          <w:color w:val="auto"/>
        </w:rPr>
      </w:pPr>
    </w:p>
    <w:p>
      <w:pPr>
        <w:ind w:right="1979" w:firstLine="486"/>
        <w:spacing w:after="0"/>
        <w:rPr>
          <w:sz w:val="20"/>
          <w:szCs w:val="20"/>
          <w:color w:val="auto"/>
        </w:rPr>
      </w:pPr>
      <w:r>
        <w:rPr>
          <w:rFonts w:ascii="Arial" w:cs="Arial" w:eastAsia="Arial" w:hAnsi="Arial"/>
          <w:sz w:val="18"/>
          <w:szCs w:val="18"/>
          <w:color w:val="auto"/>
        </w:rPr>
        <w:t>influencing the control of the issuer of the securities and were not acquired and are not Limited.</w:t>
      </w:r>
    </w:p>
    <w:p>
      <w:pPr>
        <w:spacing w:after="0" w:line="36" w:lineRule="exact"/>
        <w:rPr>
          <w:sz w:val="20"/>
          <w:szCs w:val="20"/>
          <w:color w:val="auto"/>
        </w:rPr>
      </w:pPr>
    </w:p>
    <w:p>
      <w:pPr>
        <w:ind w:right="1979" w:firstLine="486"/>
        <w:spacing w:after="0"/>
        <w:rPr>
          <w:sz w:val="20"/>
          <w:szCs w:val="20"/>
          <w:color w:val="auto"/>
        </w:rPr>
      </w:pPr>
      <w:r>
        <w:rPr>
          <w:rFonts w:ascii="Arial" w:cs="Arial" w:eastAsia="Arial" w:hAnsi="Arial"/>
          <w:sz w:val="19"/>
          <w:szCs w:val="19"/>
          <w:color w:val="auto"/>
        </w:rPr>
        <w:t>held in connection with or as a participant in any transaction having that purpose or Another</w:t>
      </w:r>
    </w:p>
    <w:p>
      <w:pPr>
        <w:ind w:left="480"/>
        <w:spacing w:after="0" w:line="191" w:lineRule="auto"/>
        <w:rPr>
          <w:sz w:val="20"/>
          <w:szCs w:val="20"/>
          <w:color w:val="auto"/>
        </w:rPr>
      </w:pPr>
      <w:r>
        <w:rPr>
          <w:rFonts w:ascii="Arial" w:cs="Arial" w:eastAsia="Arial" w:hAnsi="Arial"/>
          <w:sz w:val="13"/>
          <w:szCs w:val="13"/>
          <w:color w:val="auto"/>
        </w:rPr>
        <w:t>effect.</w:t>
      </w:r>
    </w:p>
    <w:p>
      <w:pPr>
        <w:spacing w:after="0"/>
        <w:rPr>
          <w:sz w:val="20"/>
          <w:szCs w:val="20"/>
          <w:color w:val="auto"/>
        </w:rPr>
      </w:pPr>
      <w:r>
        <w:rPr>
          <w:rFonts w:ascii="Arial" w:cs="Arial" w:eastAsia="Arial" w:hAnsi="Arial"/>
          <w:sz w:val="22"/>
          <w:szCs w:val="22"/>
          <w:color w:val="auto"/>
        </w:rPr>
        <w:t>person has</w:t>
      </w:r>
    </w:p>
    <w:p>
      <w:pPr>
        <w:sectPr>
          <w:pgSz w:w="11900" w:h="16838" w:orient="portrait"/>
          <w:cols w:equalWidth="0" w:num="1">
            <w:col w:w="10159"/>
          </w:cols>
          <w:pgMar w:left="30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the rightBy tosigning below I certify that, to the best of my knowledge and belief, the foreign</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receiveregulatoryand scheme applicable to Orbis Investment Management Limited is substantially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 powercomparableto to the regulatory scheme applicable to the functionally equivalent U.S.</w:t>
      </w:r>
    </w:p>
    <w:p>
      <w:pPr>
        <w:spacing w:after="0" w:line="232" w:lineRule="auto"/>
        <w:rPr>
          <w:sz w:val="20"/>
          <w:szCs w:val="20"/>
          <w:color w:val="auto"/>
        </w:rPr>
      </w:pPr>
      <w:r>
        <w:rPr>
          <w:rFonts w:ascii="Arial" w:cs="Arial" w:eastAsia="Arial" w:hAnsi="Arial"/>
          <w:sz w:val="22"/>
          <w:szCs w:val="22"/>
          <w:color w:val="auto"/>
        </w:rPr>
        <w:t>directinstitution(s)the. I also undertake to furnish to the Commission staff, upon request,</w:t>
      </w:r>
    </w:p>
    <w:p>
      <w:pPr>
        <w:spacing w:after="0" w:line="230" w:lineRule="auto"/>
        <w:rPr>
          <w:sz w:val="20"/>
          <w:szCs w:val="20"/>
          <w:color w:val="auto"/>
        </w:rPr>
      </w:pPr>
      <w:r>
        <w:rPr>
          <w:rFonts w:ascii="Arial" w:cs="Arial" w:eastAsia="Arial" w:hAnsi="Arial"/>
          <w:sz w:val="22"/>
          <w:szCs w:val="22"/>
          <w:color w:val="auto"/>
        </w:rPr>
        <w:t>receiptinformationof that would otherwise be disclosed in a Schedule 13D.</w:t>
      </w:r>
    </w:p>
    <w:p>
      <w:pPr>
        <w:spacing w:after="0" w:line="231" w:lineRule="auto"/>
        <w:rPr>
          <w:sz w:val="20"/>
          <w:szCs w:val="20"/>
          <w:color w:val="auto"/>
        </w:rPr>
      </w:pPr>
      <w:r>
        <w:rPr>
          <w:rFonts w:ascii="Arial" w:cs="Arial" w:eastAsia="Arial" w:hAnsi="Arial"/>
          <w:sz w:val="22"/>
          <w:szCs w:val="22"/>
          <w:color w:val="auto"/>
        </w:rPr>
        <w:t>dividends</w:t>
      </w:r>
    </w:p>
    <w:p>
      <w:pPr>
        <w:spacing w:after="0" w:line="225" w:lineRule="auto"/>
        <w:rPr>
          <w:sz w:val="20"/>
          <w:szCs w:val="20"/>
          <w:color w:val="auto"/>
        </w:rPr>
      </w:pPr>
      <w:r>
        <w:rPr>
          <w:rFonts w:ascii="Arial" w:cs="Arial" w:eastAsia="Arial" w:hAnsi="Arial"/>
          <w:sz w:val="22"/>
          <w:szCs w:val="22"/>
          <w:color w:val="auto"/>
        </w:rPr>
        <w:t>from, or the</w:t>
      </w:r>
    </w:p>
    <w:p>
      <w:pPr>
        <w:spacing w:after="0" w:line="1" w:lineRule="exact"/>
        <w:rPr>
          <w:sz w:val="20"/>
          <w:szCs w:val="20"/>
          <w:color w:val="auto"/>
        </w:rPr>
      </w:pPr>
    </w:p>
    <w:p>
      <w:pPr>
        <w:ind w:right="4739"/>
        <w:spacing w:after="0"/>
        <w:rPr>
          <w:sz w:val="20"/>
          <w:szCs w:val="20"/>
          <w:color w:val="auto"/>
        </w:rPr>
      </w:pPr>
      <w:r>
        <w:rPr>
          <w:rFonts w:ascii="Arial" w:cs="Arial" w:eastAsia="Arial" w:hAnsi="Arial"/>
          <w:sz w:val="22"/>
          <w:szCs w:val="22"/>
          <w:color w:val="auto"/>
        </w:rPr>
        <w:t xml:space="preserve">proceeds </w:t>
      </w:r>
      <w:r>
        <w:rPr>
          <w:rFonts w:ascii="Arial" w:cs="Arial" w:eastAsia="Arial" w:hAnsi="Arial"/>
          <w:sz w:val="25"/>
          <w:szCs w:val="25"/>
          <w:b w:val="1"/>
          <w:bCs w:val="1"/>
          <w:color w:val="auto"/>
        </w:rPr>
        <w:t>SIGNATURE</w:t>
      </w:r>
      <w:r>
        <w:rPr>
          <w:rFonts w:ascii="Arial" w:cs="Arial" w:eastAsia="Arial" w:hAnsi="Arial"/>
          <w:sz w:val="22"/>
          <w:szCs w:val="22"/>
          <w:color w:val="auto"/>
        </w:rPr>
        <w:t xml:space="preserve"> from the sale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of, the</w:t>
      </w:r>
    </w:p>
    <w:p>
      <w:pPr>
        <w:ind w:right="1159" w:firstLine="236"/>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362,118</w:t>
      </w:r>
    </w:p>
    <w:p>
      <w:pPr>
        <w:ind w:left="240"/>
        <w:spacing w:after="0" w:line="188" w:lineRule="auto"/>
        <w:rPr>
          <w:sz w:val="20"/>
          <w:szCs w:val="20"/>
          <w:color w:val="auto"/>
        </w:rPr>
      </w:pPr>
      <w:r>
        <w:rPr>
          <w:rFonts w:ascii="Arial" w:cs="Arial" w:eastAsia="Arial" w:hAnsi="Arial"/>
          <w:sz w:val="19"/>
          <w:szCs w:val="19"/>
          <w:color w:val="auto"/>
        </w:rPr>
        <w:t>forth in this statement is true, complete and correct.</w:t>
      </w:r>
    </w:p>
    <w:p>
      <w:pPr>
        <w:spacing w:after="0" w:line="230" w:lineRule="auto"/>
        <w:rPr>
          <w:sz w:val="20"/>
          <w:szCs w:val="20"/>
          <w:color w:val="auto"/>
        </w:rPr>
      </w:pPr>
      <w:r>
        <w:rPr>
          <w:rFonts w:ascii="Arial" w:cs="Arial" w:eastAsia="Arial" w:hAnsi="Arial"/>
          <w:sz w:val="22"/>
          <w:szCs w:val="22"/>
          <w:color w:val="auto"/>
        </w:rPr>
        <w:t>shares of</w:t>
      </w:r>
    </w:p>
    <w:tbl>
      <w:tblPr>
        <w:tblLayout w:type="fixed"/>
        <w:tblInd w:w="0" w:type="dxa"/>
        <w:tblCellMar>
          <w:top w:w="0" w:type="dxa"/>
          <w:left w:w="0" w:type="dxa"/>
          <w:bottom w:w="0" w:type="dxa"/>
          <w:right w:w="0" w:type="dxa"/>
        </w:tblCellMar>
      </w:tblPr>
      <w:tr>
        <w:trPr>
          <w:trHeight w:val="226"/>
        </w:trPr>
        <w:tc>
          <w:tcPr>
            <w:tcW w:w="2000" w:type="dxa"/>
            <w:vAlign w:val="bottom"/>
          </w:tcPr>
          <w:p>
            <w:pPr>
              <w:spacing w:after="0" w:line="226" w:lineRule="exact"/>
              <w:rPr>
                <w:sz w:val="20"/>
                <w:szCs w:val="20"/>
                <w:color w:val="auto"/>
              </w:rPr>
            </w:pPr>
            <w:r>
              <w:rPr>
                <w:rFonts w:ascii="Arial" w:cs="Arial" w:eastAsia="Arial" w:hAnsi="Arial"/>
                <w:sz w:val="22"/>
                <w:szCs w:val="22"/>
                <w:color w:val="auto"/>
              </w:rPr>
              <w:t>common</w:t>
            </w:r>
          </w:p>
        </w:tc>
        <w:tc>
          <w:tcPr>
            <w:tcW w:w="5340" w:type="dxa"/>
            <w:vAlign w:val="bottom"/>
            <w:vMerge w:val="restart"/>
          </w:tcPr>
          <w:p>
            <w:pPr>
              <w:jc w:val="center"/>
              <w:spacing w:after="0"/>
              <w:rPr>
                <w:sz w:val="20"/>
                <w:szCs w:val="20"/>
                <w:color w:val="auto"/>
              </w:rPr>
            </w:pPr>
            <w:r>
              <w:rPr>
                <w:rFonts w:ascii="Arial" w:cs="Arial" w:eastAsia="Arial" w:hAnsi="Arial"/>
                <w:sz w:val="22"/>
                <w:szCs w:val="22"/>
                <w:color w:val="auto"/>
                <w:w w:val="88"/>
              </w:rPr>
              <w:t>February 13, 2009</w:t>
            </w:r>
          </w:p>
        </w:tc>
        <w:tc>
          <w:tcPr>
            <w:tcW w:w="0" w:type="dxa"/>
            <w:vAlign w:val="bottom"/>
          </w:tcPr>
          <w:p>
            <w:pPr>
              <w:spacing w:after="0"/>
              <w:rPr>
                <w:sz w:val="1"/>
                <w:szCs w:val="1"/>
                <w:color w:val="auto"/>
              </w:rPr>
            </w:pPr>
          </w:p>
        </w:tc>
      </w:tr>
      <w:tr>
        <w:trPr>
          <w:trHeight w:val="216"/>
        </w:trPr>
        <w:tc>
          <w:tcPr>
            <w:tcW w:w="2000" w:type="dxa"/>
            <w:vAlign w:val="bottom"/>
          </w:tcPr>
          <w:p>
            <w:pPr>
              <w:spacing w:after="0" w:line="190" w:lineRule="exact"/>
              <w:rPr>
                <w:sz w:val="20"/>
                <w:szCs w:val="20"/>
                <w:color w:val="auto"/>
              </w:rPr>
            </w:pPr>
            <w:r>
              <w:rPr>
                <w:rFonts w:ascii="Arial" w:cs="Arial" w:eastAsia="Arial" w:hAnsi="Arial"/>
                <w:sz w:val="22"/>
                <w:szCs w:val="22"/>
                <w:color w:val="auto"/>
              </w:rPr>
              <w:t>stock of</w:t>
            </w:r>
          </w:p>
        </w:tc>
        <w:tc>
          <w:tcPr>
            <w:tcW w:w="5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22"/>
                <w:szCs w:val="22"/>
                <w:color w:val="auto"/>
              </w:rPr>
              <w:t>Micron</w:t>
            </w:r>
          </w:p>
        </w:tc>
        <w:tc>
          <w:tcPr>
            <w:tcW w:w="534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0" w:type="dxa"/>
            <w:vAlign w:val="bottom"/>
          </w:tcPr>
          <w:p>
            <w:pPr>
              <w:spacing w:after="0"/>
              <w:rPr>
                <w:sz w:val="1"/>
                <w:szCs w:val="1"/>
                <w:color w:val="auto"/>
              </w:rPr>
            </w:pPr>
          </w:p>
        </w:tc>
      </w:tr>
      <w:tr>
        <w:trPr>
          <w:trHeight w:val="265"/>
        </w:trPr>
        <w:tc>
          <w:tcPr>
            <w:tcW w:w="2000" w:type="dxa"/>
            <w:vAlign w:val="bottom"/>
          </w:tcPr>
          <w:p>
            <w:pPr>
              <w:spacing w:after="0"/>
              <w:rPr>
                <w:sz w:val="20"/>
                <w:szCs w:val="20"/>
                <w:color w:val="auto"/>
              </w:rPr>
            </w:pPr>
            <w:r>
              <w:rPr>
                <w:rFonts w:ascii="Arial" w:cs="Arial" w:eastAsia="Arial" w:hAnsi="Arial"/>
                <w:sz w:val="22"/>
                <w:szCs w:val="22"/>
                <w:color w:val="auto"/>
              </w:rPr>
              <w:t>Technology,</w:t>
            </w:r>
          </w:p>
        </w:tc>
        <w:tc>
          <w:tcPr>
            <w:tcW w:w="5340" w:type="dxa"/>
            <w:vAlign w:val="bottom"/>
          </w:tcPr>
          <w:p>
            <w:pPr>
              <w:jc w:val="center"/>
              <w:spacing w:after="0"/>
              <w:rPr>
                <w:sz w:val="20"/>
                <w:szCs w:val="20"/>
                <w:color w:val="auto"/>
              </w:rPr>
            </w:pPr>
            <w:r>
              <w:rPr>
                <w:rFonts w:ascii="Arial" w:cs="Arial" w:eastAsia="Arial" w:hAnsi="Arial"/>
                <w:sz w:val="22"/>
                <w:szCs w:val="22"/>
                <w:color w:val="auto"/>
                <w:w w:val="90"/>
              </w:rPr>
              <w:t>Orbis Investment Management Limited</w:t>
            </w:r>
          </w:p>
        </w:tc>
        <w:tc>
          <w:tcPr>
            <w:tcW w:w="0" w:type="dxa"/>
            <w:vAlign w:val="bottom"/>
          </w:tcPr>
          <w:p>
            <w:pPr>
              <w:spacing w:after="0"/>
              <w:rPr>
                <w:sz w:val="1"/>
                <w:szCs w:val="1"/>
                <w:color w:val="auto"/>
              </w:rPr>
            </w:pP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Inc.</w:t>
            </w:r>
          </w:p>
        </w:tc>
        <w:tc>
          <w:tcPr>
            <w:tcW w:w="5340" w:type="dxa"/>
            <w:vAlign w:val="bottom"/>
          </w:tcPr>
          <w:p>
            <w:pPr>
              <w:jc w:val="center"/>
              <w:spacing w:after="0" w:line="243" w:lineRule="exact"/>
              <w:rPr>
                <w:sz w:val="20"/>
                <w:szCs w:val="20"/>
                <w:color w:val="auto"/>
              </w:rPr>
            </w:pPr>
            <w:r>
              <w:rPr>
                <w:rFonts w:ascii="Arial" w:cs="Arial" w:eastAsia="Arial" w:hAnsi="Arial"/>
                <w:sz w:val="22"/>
                <w:szCs w:val="22"/>
                <w:color w:val="auto"/>
                <w:w w:val="90"/>
              </w:rPr>
              <w:t>Orbis Asset Management Limited</w:t>
            </w:r>
          </w:p>
        </w:tc>
        <w:tc>
          <w:tcPr>
            <w:tcW w:w="0" w:type="dxa"/>
            <w:vAlign w:val="bottom"/>
          </w:tcPr>
          <w:p>
            <w:pPr>
              <w:spacing w:after="0"/>
              <w:rPr>
                <w:sz w:val="1"/>
                <w:szCs w:val="1"/>
                <w:color w:val="auto"/>
              </w:rPr>
            </w:pPr>
          </w:p>
        </w:tc>
      </w:tr>
      <w:tr>
        <w:trPr>
          <w:trHeight w:val="68"/>
        </w:trPr>
        <w:tc>
          <w:tcPr>
            <w:tcW w:w="2000" w:type="dxa"/>
            <w:vAlign w:val="bottom"/>
            <w:vMerge w:val="restart"/>
          </w:tcPr>
          <w:p>
            <w:pPr>
              <w:spacing w:after="0" w:line="222" w:lineRule="exact"/>
              <w:rPr>
                <w:sz w:val="20"/>
                <w:szCs w:val="20"/>
                <w:color w:val="auto"/>
              </w:rPr>
            </w:pPr>
            <w:r>
              <w:rPr>
                <w:rFonts w:ascii="Arial" w:cs="Arial" w:eastAsia="Arial" w:hAnsi="Arial"/>
                <w:sz w:val="22"/>
                <w:szCs w:val="22"/>
                <w:color w:val="auto"/>
              </w:rPr>
              <w:t>beneficially</w:t>
            </w:r>
          </w:p>
        </w:tc>
        <w:tc>
          <w:tcPr>
            <w:tcW w:w="5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00" w:type="dxa"/>
            <w:vAlign w:val="bottom"/>
            <w:vMerge w:val="continue"/>
          </w:tcPr>
          <w:p>
            <w:pPr>
              <w:spacing w:after="0"/>
              <w:rPr>
                <w:sz w:val="11"/>
                <w:szCs w:val="11"/>
                <w:color w:val="auto"/>
              </w:rPr>
            </w:pPr>
          </w:p>
        </w:tc>
        <w:tc>
          <w:tcPr>
            <w:tcW w:w="5340" w:type="dxa"/>
            <w:vAlign w:val="bottom"/>
            <w:vMerge w:val="restart"/>
          </w:tcPr>
          <w:p>
            <w:pPr>
              <w:jc w:val="center"/>
              <w:spacing w:after="0"/>
              <w:rPr>
                <w:sz w:val="20"/>
                <w:szCs w:val="20"/>
                <w:color w:val="auto"/>
              </w:rPr>
            </w:pPr>
            <w:r>
              <w:rPr>
                <w:rFonts w:ascii="Arial" w:cs="Arial" w:eastAsia="Arial" w:hAnsi="Arial"/>
                <w:sz w:val="22"/>
                <w:szCs w:val="22"/>
                <w:color w:val="auto"/>
                <w:w w:val="87"/>
              </w:rPr>
              <w:t>Signature</w:t>
            </w:r>
          </w:p>
        </w:tc>
        <w:tc>
          <w:tcPr>
            <w:tcW w:w="0" w:type="dxa"/>
            <w:vAlign w:val="bottom"/>
          </w:tcPr>
          <w:p>
            <w:pPr>
              <w:spacing w:after="0"/>
              <w:rPr>
                <w:sz w:val="1"/>
                <w:szCs w:val="1"/>
                <w:color w:val="auto"/>
              </w:rPr>
            </w:pPr>
          </w:p>
        </w:tc>
      </w:tr>
      <w:tr>
        <w:trPr>
          <w:trHeight w:val="153"/>
        </w:trPr>
        <w:tc>
          <w:tcPr>
            <w:tcW w:w="200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5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00" w:type="dxa"/>
            <w:vAlign w:val="bottom"/>
            <w:vMerge w:val="continue"/>
          </w:tcPr>
          <w:p>
            <w:pPr>
              <w:spacing w:after="0"/>
              <w:rPr>
                <w:sz w:val="7"/>
                <w:szCs w:val="7"/>
                <w:color w:val="auto"/>
              </w:rPr>
            </w:pPr>
          </w:p>
        </w:tc>
        <w:tc>
          <w:tcPr>
            <w:tcW w:w="5340" w:type="dxa"/>
            <w:vAlign w:val="bottom"/>
            <w:vMerge w:val="restart"/>
          </w:tcPr>
          <w:p>
            <w:pPr>
              <w:jc w:val="center"/>
              <w:spacing w:after="0"/>
              <w:rPr>
                <w:sz w:val="20"/>
                <w:szCs w:val="20"/>
                <w:color w:val="auto"/>
              </w:rPr>
            </w:pPr>
            <w:r>
              <w:rPr>
                <w:rFonts w:ascii="Arial" w:cs="Arial" w:eastAsia="Arial" w:hAnsi="Arial"/>
                <w:sz w:val="22"/>
                <w:szCs w:val="22"/>
                <w:color w:val="auto"/>
                <w:w w:val="87"/>
              </w:rPr>
              <w:t>James Dorr, General Counsel</w:t>
            </w:r>
          </w:p>
        </w:tc>
        <w:tc>
          <w:tcPr>
            <w:tcW w:w="0" w:type="dxa"/>
            <w:vAlign w:val="bottom"/>
          </w:tcPr>
          <w:p>
            <w:pPr>
              <w:spacing w:after="0"/>
              <w:rPr>
                <w:sz w:val="1"/>
                <w:szCs w:val="1"/>
                <w:color w:val="auto"/>
              </w:rPr>
            </w:pPr>
          </w:p>
        </w:tc>
      </w:tr>
      <w:tr>
        <w:trPr>
          <w:trHeight w:val="216"/>
        </w:trPr>
        <w:tc>
          <w:tcPr>
            <w:tcW w:w="2000" w:type="dxa"/>
            <w:vAlign w:val="bottom"/>
          </w:tcPr>
          <w:p>
            <w:pPr>
              <w:spacing w:after="0" w:line="190" w:lineRule="exact"/>
              <w:rPr>
                <w:sz w:val="20"/>
                <w:szCs w:val="20"/>
                <w:color w:val="auto"/>
              </w:rPr>
            </w:pPr>
            <w:r>
              <w:rPr>
                <w:rFonts w:ascii="Arial" w:cs="Arial" w:eastAsia="Arial" w:hAnsi="Arial"/>
                <w:sz w:val="22"/>
                <w:szCs w:val="22"/>
                <w:color w:val="auto"/>
              </w:rPr>
              <w:t>Orbis Asset</w:t>
            </w:r>
          </w:p>
        </w:tc>
        <w:tc>
          <w:tcPr>
            <w:tcW w:w="5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00" w:type="dxa"/>
            <w:vAlign w:val="bottom"/>
          </w:tcPr>
          <w:p>
            <w:pPr>
              <w:spacing w:after="0"/>
              <w:rPr>
                <w:sz w:val="20"/>
                <w:szCs w:val="20"/>
                <w:color w:val="auto"/>
              </w:rPr>
            </w:pPr>
            <w:r>
              <w:rPr>
                <w:rFonts w:ascii="Arial" w:cs="Arial" w:eastAsia="Arial" w:hAnsi="Arial"/>
                <w:sz w:val="22"/>
                <w:szCs w:val="22"/>
                <w:color w:val="auto"/>
              </w:rPr>
              <w:t>Management</w:t>
            </w:r>
          </w:p>
        </w:tc>
        <w:tc>
          <w:tcPr>
            <w:tcW w:w="5340" w:type="dxa"/>
            <w:vAlign w:val="bottom"/>
          </w:tcPr>
          <w:p>
            <w:pPr>
              <w:jc w:val="center"/>
              <w:spacing w:after="0"/>
              <w:rPr>
                <w:sz w:val="20"/>
                <w:szCs w:val="20"/>
                <w:color w:val="auto"/>
              </w:rPr>
            </w:pPr>
            <w:r>
              <w:rPr>
                <w:rFonts w:ascii="Arial" w:cs="Arial" w:eastAsia="Arial" w:hAnsi="Arial"/>
                <w:sz w:val="22"/>
                <w:szCs w:val="22"/>
                <w:color w:val="auto"/>
                <w:w w:val="92"/>
              </w:rPr>
              <w:t>Name/Title</w:t>
            </w: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9"/>
          <w:szCs w:val="9"/>
          <w:color w:val="auto"/>
        </w:rPr>
        <w:t>Limited.</w:t>
      </w:r>
    </w:p>
    <w:p>
      <w:pPr>
        <w:ind w:left="1060" w:right="1379" w:hanging="1079"/>
        <w:spacing w:after="0" w:line="237"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74"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Advisor Consultant Network, Inc. Copyright © 2007-2008</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lvl w:ilvl="1">
      <w:lvlJc w:val="left"/>
      <w:lvlText w:val="(%2)"/>
      <w:numFmt w:val="lowerLetter"/>
      <w:start w:val="2"/>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3"/>
    </w:lvl>
    <w:lvl w:ilvl="1">
      <w:lvlJc w:val="left"/>
      <w:lvlText w:val="%2"/>
      <w:numFmt w:val="lowerLetter"/>
      <w:start w:val="1"/>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6"/>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2019-12-10T04:35:52Z</dcterms:created>
  <dcterms:modified xsi:type="dcterms:W3CDTF">2019-12-10T04:35:52Z</dcterms:modified>
</cp:coreProperties>
</file>