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5267325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14605</wp:posOffset>
            </wp:positionV>
            <wp:extent cx="6994525" cy="7784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778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Poppen Joel L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" w:right="660" w:firstLine="1"/>
        <w:spacing w:after="0" w:line="23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General Counsel&amp;Secretary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40" w:space="581"/>
            <w:col w:w="3359"/>
          </w:cols>
          <w:pgMar w:left="460" w:top="221" w:right="359" w:bottom="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507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2,373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263,932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3,323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267,255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8,277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275,532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4,455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271,077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1,460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269,617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3,636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265,981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2,989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262,992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2,733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260,259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1,043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259,216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2,373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3,542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3,323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1,662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8,277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-2780030</wp:posOffset>
            </wp:positionV>
            <wp:extent cx="29210" cy="2785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8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380" w:firstLine="1"/>
        <w:spacing w:after="0" w:line="23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67% of the total target shares under the FCF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1"/>
        <w:spacing w:after="0" w:line="23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100% of the total target shares under the PE Ratio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1"/>
        <w:spacing w:after="0" w:line="23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100% of the total target shares under the NAND delivery and solutions performance-based restricted stock units previously awarded on October 16, 2018. As reported at grant, the performance-based restricted stock unit could result in a payout that varies from 0% to an aggregate of 200% of target shares under all related awards based on actual achievement of the goals.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awards under the Issuer's 2007 Equity Incentive Plan.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awards under the Issuer's 2004 Equity Incentive Plan.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220" w:firstLine="1"/>
        <w:spacing w:after="0" w:line="23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shares of common stock based upon the achievement of pre-established performance metrics related to FCF over a 3-year performance period beginning August 31, 2018 and ending on September 2, 2021 (payout is from 0% up to a 200% aggregate limit on the total target shares that may be received under the performance-based restricted stock units awarded on October 16, 2018), and certification of such performance by the Compensation Committee.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1"/>
        <w:spacing w:after="0" w:line="266" w:lineRule="auto"/>
        <w:tabs>
          <w:tab w:leader="none" w:pos="128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shares of common stock based upon the achievement of pre-established performance metrics related to PE Ratio over a 3-year performance period beginning August 31, 2018 and ending on September 2, 2021 (payout is from 0% up to a 200% aggregate limit on the total target shares that may be received under the performance-based restricted stock units awarded on October 16, 2018), and certification of such performance by the Compensation Committee.</w:t>
      </w:r>
    </w:p>
    <w:p>
      <w:pPr>
        <w:spacing w:after="0" w:line="1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80" w:firstLine="1"/>
        <w:spacing w:after="0" w:line="266" w:lineRule="auto"/>
        <w:tabs>
          <w:tab w:leader="none" w:pos="128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shares of common stock based upon the achievement of pre-established performance metrics related to NAND delivery and solutions over a 3-year performance period beginning August 31, 2018 and ending on September 2, 2021 (payout is from 0% up to a 200% aggregate limit on the total target shares that may be received under the performance-based restricted stock units awarded on October 16, 2018), and certification of such performance by the Compensation Committee.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Rob Beard, 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10/19/2021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right="3380" w:firstLine="1"/>
        <w:spacing w:after="0" w:line="331" w:lineRule="auto"/>
        <w:tabs>
          <w:tab w:leader="none" w:pos="135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80"/>
      </w:cols>
      <w:pgMar w:left="500" w:top="131" w:right="6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7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2021-10-19T17:34:20Z</dcterms:created>
  <dcterms:modified xsi:type="dcterms:W3CDTF">2021-10-19T17:34:20Z</dcterms:modified>
</cp:coreProperties>
</file>