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alibri" w:cs="Calibri" w:eastAsia="Calibri" w:hAnsi="Calibri"/>
          <w:sz w:val="11"/>
          <w:szCs w:val="11"/>
          <w:color w:val="003366"/>
        </w:rPr>
        <w:t>TABLE OF CONTENTS</w:t>
      </w:r>
    </w:p>
    <w:p>
      <w:pPr>
        <w:spacing w:after="0" w:line="368" w:lineRule="exact"/>
        <w:rPr>
          <w:sz w:val="24"/>
          <w:szCs w:val="24"/>
          <w:color w:val="auto"/>
        </w:rPr>
      </w:pPr>
    </w:p>
    <w:p>
      <w:pPr>
        <w:jc w:val="right"/>
        <w:ind w:right="679"/>
        <w:spacing w:after="0"/>
        <w:rPr>
          <w:sz w:val="20"/>
          <w:szCs w:val="20"/>
          <w:color w:val="auto"/>
        </w:rPr>
      </w:pPr>
      <w:r>
        <w:rPr>
          <w:rFonts w:ascii="Arial" w:cs="Arial" w:eastAsia="Arial" w:hAnsi="Arial"/>
          <w:sz w:val="14"/>
          <w:szCs w:val="14"/>
          <w:b w:val="1"/>
          <w:bCs w:val="1"/>
          <w:color w:val="auto"/>
        </w:rPr>
        <w:t> Filed Pursuant to Rule 424(b)(5)​</w:t>
      </w:r>
    </w:p>
    <w:p>
      <w:pPr>
        <w:jc w:val="right"/>
        <w:ind w:right="679"/>
        <w:spacing w:after="0"/>
        <w:rPr>
          <w:sz w:val="20"/>
          <w:szCs w:val="20"/>
          <w:color w:val="auto"/>
        </w:rPr>
      </w:pPr>
      <w:r>
        <w:rPr>
          <w:rFonts w:ascii="Arial" w:cs="Arial" w:eastAsia="Arial" w:hAnsi="Arial"/>
          <w:sz w:val="14"/>
          <w:szCs w:val="14"/>
          <w:b w:val="1"/>
          <w:bCs w:val="1"/>
          <w:color w:val="auto"/>
        </w:rPr>
        <w:t> Registration No. 333-275276​</w:t>
      </w:r>
    </w:p>
    <w:p>
      <w:pPr>
        <w:spacing w:after="0" w:line="19" w:lineRule="exact"/>
        <w:rPr>
          <w:sz w:val="24"/>
          <w:szCs w:val="24"/>
          <w:color w:val="auto"/>
        </w:rPr>
      </w:pPr>
    </w:p>
    <w:p>
      <w:pPr>
        <w:ind w:left="700"/>
        <w:spacing w:after="0"/>
        <w:rPr>
          <w:sz w:val="20"/>
          <w:szCs w:val="20"/>
          <w:color w:val="auto"/>
        </w:rPr>
      </w:pPr>
      <w:r>
        <w:rPr>
          <w:rFonts w:ascii="Arial" w:cs="Arial" w:eastAsia="Arial" w:hAnsi="Arial"/>
          <w:sz w:val="13"/>
          <w:szCs w:val="13"/>
          <w:b w:val="1"/>
          <w:bCs w:val="1"/>
          <w:color w:val="auto"/>
        </w:rPr>
        <w:t>Prospectus Supplement</w:t>
      </w:r>
    </w:p>
    <w:p>
      <w:pPr>
        <w:spacing w:after="0" w:line="10" w:lineRule="exact"/>
        <w:rPr>
          <w:sz w:val="24"/>
          <w:szCs w:val="24"/>
          <w:color w:val="auto"/>
        </w:rPr>
      </w:pPr>
    </w:p>
    <w:p>
      <w:pPr>
        <w:ind w:left="700"/>
        <w:spacing w:after="0"/>
        <w:rPr>
          <w:sz w:val="20"/>
          <w:szCs w:val="20"/>
          <w:color w:val="auto"/>
        </w:rPr>
      </w:pPr>
      <w:r>
        <w:rPr>
          <w:rFonts w:ascii="Arial" w:cs="Arial" w:eastAsia="Arial" w:hAnsi="Arial"/>
          <w:sz w:val="13"/>
          <w:szCs w:val="13"/>
          <w:b w:val="1"/>
          <w:bCs w:val="1"/>
          <w:color w:val="auto"/>
        </w:rPr>
        <w:t>(To Prospectus dated November 2, 2023)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51435</wp:posOffset>
            </wp:positionV>
            <wp:extent cx="1503045" cy="314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3045" cy="3143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Micron Technology,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5.80% Senior Notes due 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53340</wp:posOffset>
            </wp:positionV>
            <wp:extent cx="9620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59" w:lineRule="exact"/>
        <w:rPr>
          <w:sz w:val="24"/>
          <w:szCs w:val="24"/>
          <w:color w:val="auto"/>
        </w:rPr>
      </w:pPr>
    </w:p>
    <w:p>
      <w:pPr>
        <w:ind w:left="700"/>
        <w:spacing w:after="0"/>
        <w:rPr>
          <w:sz w:val="20"/>
          <w:szCs w:val="20"/>
          <w:color w:val="auto"/>
        </w:rPr>
      </w:pPr>
      <w:r>
        <w:rPr>
          <w:rFonts w:ascii="Arial" w:cs="Arial" w:eastAsia="Arial" w:hAnsi="Arial"/>
          <w:sz w:val="13"/>
          <w:szCs w:val="13"/>
          <w:color w:val="auto"/>
        </w:rPr>
        <w:t>Micron Technology, Inc. is offering $1,000,000,000 aggregate principal amount of 5.80% senior notes due 2035 (the “notes”).</w:t>
      </w:r>
    </w:p>
    <w:p>
      <w:pPr>
        <w:spacing w:after="0" w:line="61" w:lineRule="exact"/>
        <w:rPr>
          <w:sz w:val="24"/>
          <w:szCs w:val="24"/>
          <w:color w:val="auto"/>
        </w:rPr>
      </w:pPr>
    </w:p>
    <w:p>
      <w:pPr>
        <w:ind w:left="700" w:right="759"/>
        <w:spacing w:after="0" w:line="246" w:lineRule="auto"/>
        <w:rPr>
          <w:sz w:val="20"/>
          <w:szCs w:val="20"/>
          <w:color w:val="auto"/>
        </w:rPr>
      </w:pPr>
      <w:r>
        <w:rPr>
          <w:rFonts w:ascii="Arial" w:cs="Arial" w:eastAsia="Arial" w:hAnsi="Arial"/>
          <w:sz w:val="13"/>
          <w:szCs w:val="13"/>
          <w:color w:val="auto"/>
        </w:rPr>
        <w:t>The notes will bear interest at the rate of 5.80% per year. Interest on the notes will be payable semi-annually in arrears on January 15 and July 15 of each year, beginning July 15, 2025.</w:t>
      </w:r>
    </w:p>
    <w:p>
      <w:pPr>
        <w:spacing w:after="0" w:line="41" w:lineRule="exact"/>
        <w:rPr>
          <w:sz w:val="24"/>
          <w:szCs w:val="24"/>
          <w:color w:val="auto"/>
        </w:rPr>
      </w:pPr>
    </w:p>
    <w:p>
      <w:pPr>
        <w:ind w:left="700"/>
        <w:spacing w:after="0"/>
        <w:rPr>
          <w:sz w:val="20"/>
          <w:szCs w:val="20"/>
          <w:color w:val="auto"/>
        </w:rPr>
      </w:pPr>
      <w:r>
        <w:rPr>
          <w:rFonts w:ascii="Arial" w:cs="Arial" w:eastAsia="Arial" w:hAnsi="Arial"/>
          <w:sz w:val="13"/>
          <w:szCs w:val="13"/>
          <w:color w:val="auto"/>
        </w:rPr>
        <w:t>The notes will mature on January 15, 2035.</w:t>
      </w:r>
    </w:p>
    <w:p>
      <w:pPr>
        <w:spacing w:after="0" w:line="61" w:lineRule="exact"/>
        <w:rPr>
          <w:sz w:val="24"/>
          <w:szCs w:val="24"/>
          <w:color w:val="auto"/>
        </w:rPr>
      </w:pPr>
    </w:p>
    <w:p>
      <w:pPr>
        <w:ind w:left="700" w:right="779"/>
        <w:spacing w:after="0" w:line="230" w:lineRule="auto"/>
        <w:rPr>
          <w:sz w:val="20"/>
          <w:szCs w:val="20"/>
          <w:color w:val="auto"/>
        </w:rPr>
      </w:pPr>
      <w:r>
        <w:rPr>
          <w:rFonts w:ascii="Arial" w:cs="Arial" w:eastAsia="Arial" w:hAnsi="Arial"/>
          <w:sz w:val="13"/>
          <w:szCs w:val="13"/>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notes, in whole or in part, at any time from or after October 15, 2034,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47" w:lineRule="exact"/>
        <w:rPr>
          <w:sz w:val="24"/>
          <w:szCs w:val="24"/>
          <w:color w:val="auto"/>
        </w:rPr>
      </w:pPr>
    </w:p>
    <w:p>
      <w:pPr>
        <w:ind w:left="700" w:right="1419"/>
        <w:spacing w:after="0" w:line="246" w:lineRule="auto"/>
        <w:rPr>
          <w:sz w:val="20"/>
          <w:szCs w:val="20"/>
          <w:color w:val="auto"/>
        </w:rPr>
      </w:pPr>
      <w:r>
        <w:rPr>
          <w:rFonts w:ascii="Arial" w:cs="Arial" w:eastAsia="Arial" w:hAnsi="Arial"/>
          <w:sz w:val="13"/>
          <w:szCs w:val="13"/>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26035</wp:posOffset>
            </wp:positionV>
            <wp:extent cx="962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26" w:lineRule="exact"/>
        <w:rPr>
          <w:sz w:val="24"/>
          <w:szCs w:val="24"/>
          <w:color w:val="auto"/>
        </w:rPr>
      </w:pPr>
    </w:p>
    <w:p>
      <w:pPr>
        <w:ind w:left="700" w:right="739"/>
        <w:spacing w:after="0" w:line="273" w:lineRule="auto"/>
        <w:rPr>
          <w:sz w:val="20"/>
          <w:szCs w:val="20"/>
          <w:color w:val="auto"/>
        </w:rPr>
      </w:pPr>
      <w:r>
        <w:rPr>
          <w:rFonts w:ascii="Arial" w:cs="Arial" w:eastAsia="Arial" w:hAnsi="Arial"/>
          <w:sz w:val="13"/>
          <w:szCs w:val="13"/>
          <w:b w:val="1"/>
          <w:bCs w:val="1"/>
          <w:color w:val="auto"/>
        </w:rPr>
        <w:t xml:space="preserve">Investing in the notes involves risks. See “Risk Factors” beginning on page </w:t>
      </w:r>
      <w:r>
        <w:rPr>
          <w:rFonts w:ascii="Arial" w:cs="Arial" w:eastAsia="Arial" w:hAnsi="Arial"/>
          <w:sz w:val="13"/>
          <w:szCs w:val="13"/>
          <w:b w:val="1"/>
          <w:bCs w:val="1"/>
          <w:u w:val="single" w:color="auto"/>
          <w:color w:val="0000EE"/>
        </w:rPr>
        <w:t>S-6</w:t>
      </w:r>
      <w:r>
        <w:rPr>
          <w:rFonts w:ascii="Arial" w:cs="Arial" w:eastAsia="Arial" w:hAnsi="Arial"/>
          <w:sz w:val="13"/>
          <w:szCs w:val="13"/>
          <w:b w:val="1"/>
          <w:bCs w:val="1"/>
          <w:color w:val="auto"/>
        </w:rPr>
        <w:t xml:space="preserve"> for a discussion of certain risks that should be considered in connection with an investment in the notes.</w:t>
      </w:r>
    </w:p>
    <w:p>
      <w:pPr>
        <w:spacing w:after="0" w:line="18" w:lineRule="exact"/>
        <w:rPr>
          <w:sz w:val="24"/>
          <w:szCs w:val="24"/>
          <w:color w:val="auto"/>
        </w:rPr>
      </w:pPr>
    </w:p>
    <w:p>
      <w:pPr>
        <w:ind w:left="700" w:right="899"/>
        <w:spacing w:after="0" w:line="238"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31750</wp:posOffset>
            </wp:positionV>
            <wp:extent cx="962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44" w:lineRule="exact"/>
        <w:rPr>
          <w:sz w:val="24"/>
          <w:szCs w:val="24"/>
          <w:color w:val="auto"/>
        </w:rPr>
      </w:pPr>
    </w:p>
    <w:tbl>
      <w:tblPr>
        <w:tblLayout w:type="fixed"/>
        <w:tblInd w:w="70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122"/>
              <w:spacing w:after="0"/>
              <w:rPr>
                <w:sz w:val="20"/>
                <w:szCs w:val="20"/>
                <w:color w:val="auto"/>
              </w:rPr>
            </w:pPr>
            <w:r>
              <w:rPr>
                <w:rFonts w:ascii="Arial" w:cs="Arial" w:eastAsia="Arial" w:hAnsi="Arial"/>
                <w:sz w:val="11"/>
                <w:szCs w:val="11"/>
                <w:b w:val="1"/>
                <w:bCs w:val="1"/>
                <w:color w:val="auto"/>
              </w:rPr>
              <w:t>Public</w:t>
            </w:r>
          </w:p>
        </w:tc>
        <w:tc>
          <w:tcPr>
            <w:tcW w:w="16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Underwriting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79"/>
              <w:spacing w:after="0"/>
              <w:rPr>
                <w:sz w:val="20"/>
                <w:szCs w:val="20"/>
                <w:color w:val="auto"/>
              </w:rPr>
            </w:pPr>
            <w:r>
              <w:rPr>
                <w:rFonts w:ascii="Arial" w:cs="Arial" w:eastAsia="Arial" w:hAnsi="Arial"/>
                <w:sz w:val="11"/>
                <w:szCs w:val="11"/>
                <w:b w:val="1"/>
                <w:bCs w:val="1"/>
                <w:color w:val="auto"/>
              </w:rPr>
              <w:t>Proceeds</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122"/>
              <w:spacing w:after="0" w:line="116" w:lineRule="exact"/>
              <w:rPr>
                <w:sz w:val="20"/>
                <w:szCs w:val="20"/>
                <w:color w:val="auto"/>
              </w:rPr>
            </w:pPr>
            <w:r>
              <w:rPr>
                <w:rFonts w:ascii="Arial" w:cs="Arial" w:eastAsia="Arial" w:hAnsi="Arial"/>
                <w:sz w:val="11"/>
                <w:szCs w:val="11"/>
                <w:b w:val="1"/>
                <w:bCs w:val="1"/>
                <w:color w:val="auto"/>
              </w:rPr>
              <w:t>offering</w:t>
            </w: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center"/>
              <w:ind w:right="79"/>
              <w:spacing w:after="0" w:line="116" w:lineRule="exact"/>
              <w:rPr>
                <w:sz w:val="20"/>
                <w:szCs w:val="20"/>
                <w:color w:val="auto"/>
              </w:rPr>
            </w:pPr>
            <w:r>
              <w:rPr>
                <w:rFonts w:ascii="Arial" w:cs="Arial" w:eastAsia="Arial" w:hAnsi="Arial"/>
                <w:sz w:val="11"/>
                <w:szCs w:val="11"/>
                <w:b w:val="1"/>
                <w:bCs w:val="1"/>
                <w:color w:val="auto"/>
              </w:rPr>
              <w:t>to us, before</w:t>
            </w: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Arial" w:cs="Arial" w:eastAsia="Arial" w:hAnsi="Arial"/>
                <w:sz w:val="11"/>
                <w:szCs w:val="11"/>
                <w:b w:val="1"/>
                <w:bCs w:val="1"/>
                <w:color w:val="auto"/>
              </w:rPr>
              <w:t>​</w:t>
            </w:r>
          </w:p>
        </w:tc>
        <w:tc>
          <w:tcPr>
            <w:tcW w:w="2300" w:type="dxa"/>
            <w:vAlign w:val="bottom"/>
          </w:tcPr>
          <w:p>
            <w:pPr>
              <w:ind w:left="2160"/>
              <w:spacing w:after="0"/>
              <w:rPr>
                <w:sz w:val="20"/>
                <w:szCs w:val="20"/>
                <w:color w:val="auto"/>
              </w:rPr>
            </w:pPr>
            <w:r>
              <w:rPr>
                <w:rFonts w:ascii="Arial" w:cs="Arial" w:eastAsia="Arial" w:hAnsi="Arial"/>
                <w:sz w:val="11"/>
                <w:szCs w:val="11"/>
                <w:b w:val="1"/>
                <w:bCs w:val="1"/>
                <w:color w:val="auto"/>
              </w:rPr>
              <w:t>​ ​</w:t>
            </w:r>
          </w:p>
        </w:tc>
        <w:tc>
          <w:tcPr>
            <w:tcW w:w="140" w:type="dxa"/>
            <w:vAlign w:val="bottom"/>
          </w:tcPr>
          <w:p>
            <w:pPr>
              <w:spacing w:after="0"/>
              <w:rPr>
                <w:sz w:val="12"/>
                <w:szCs w:val="12"/>
                <w:color w:val="auto"/>
              </w:rPr>
            </w:pPr>
          </w:p>
        </w:tc>
        <w:tc>
          <w:tcPr>
            <w:tcW w:w="640" w:type="dxa"/>
            <w:vAlign w:val="bottom"/>
          </w:tcPr>
          <w:p>
            <w:pPr>
              <w:jc w:val="center"/>
              <w:ind w:right="82"/>
              <w:spacing w:after="0"/>
              <w:rPr>
                <w:sz w:val="20"/>
                <w:szCs w:val="20"/>
                <w:color w:val="auto"/>
              </w:rPr>
            </w:pPr>
            <w:r>
              <w:rPr>
                <w:rFonts w:ascii="Arial" w:cs="Arial" w:eastAsia="Arial" w:hAnsi="Arial"/>
                <w:sz w:val="11"/>
                <w:szCs w:val="11"/>
                <w:b w:val="1"/>
                <w:bCs w:val="1"/>
                <w:color w:val="auto"/>
                <w:w w:val="97"/>
              </w:rPr>
              <w:t>price</w:t>
            </w:r>
            <w:r>
              <w:rPr>
                <w:rFonts w:ascii="Arial" w:cs="Arial" w:eastAsia="Arial" w:hAnsi="Arial"/>
                <w:sz w:val="7"/>
                <w:szCs w:val="7"/>
                <w:b w:val="1"/>
                <w:bCs w:val="1"/>
                <w:color w:val="auto"/>
                <w:w w:val="97"/>
              </w:rPr>
              <w:t>(1)</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 ​  discount</w:t>
            </w:r>
            <w:r>
              <w:rPr>
                <w:rFonts w:ascii="Arial" w:cs="Arial" w:eastAsia="Arial" w:hAnsi="Arial"/>
                <w:sz w:val="7"/>
                <w:szCs w:val="7"/>
                <w:b w:val="1"/>
                <w:bCs w:val="1"/>
                <w:color w:val="auto"/>
              </w:rPr>
              <w:t>(2)</w:t>
            </w:r>
          </w:p>
        </w:tc>
        <w:tc>
          <w:tcPr>
            <w:tcW w:w="1060" w:type="dxa"/>
            <w:vAlign w:val="bottom"/>
            <w:gridSpan w:val="4"/>
          </w:tcPr>
          <w:p>
            <w:pPr>
              <w:ind w:left="40"/>
              <w:spacing w:after="0" w:line="143" w:lineRule="exact"/>
              <w:rPr>
                <w:sz w:val="20"/>
                <w:szCs w:val="20"/>
                <w:color w:val="auto"/>
              </w:rPr>
            </w:pPr>
            <w:r>
              <w:rPr>
                <w:rFonts w:ascii="Arial" w:cs="Arial" w:eastAsia="Arial" w:hAnsi="Arial"/>
                <w:sz w:val="11"/>
                <w:szCs w:val="11"/>
                <w:b w:val="1"/>
                <w:bCs w:val="1"/>
                <w:color w:val="auto"/>
              </w:rPr>
              <w:t>​ ​  expenses</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 xml:space="preserve">   ​</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Per Note</w:t>
            </w:r>
          </w:p>
        </w:tc>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59"/>
        </w:trPr>
        <w:tc>
          <w:tcPr>
            <w:tcW w:w="2660" w:type="dxa"/>
            <w:vAlign w:val="bottom"/>
            <w:vMerge w:val="continue"/>
            <w:shd w:val="clear" w:color="auto" w:fill="CCEEFF"/>
          </w:tcPr>
          <w:p>
            <w:pPr>
              <w:spacing w:after="0"/>
              <w:rPr>
                <w:sz w:val="13"/>
                <w:szCs w:val="13"/>
                <w:color w:val="auto"/>
              </w:rPr>
            </w:pPr>
          </w:p>
        </w:tc>
        <w:tc>
          <w:tcPr>
            <w:tcW w:w="2440" w:type="dxa"/>
            <w:vAlign w:val="bottom"/>
            <w:gridSpan w:val="2"/>
            <w:shd w:val="clear" w:color="auto" w:fill="CCEEFF"/>
          </w:tcPr>
          <w:p>
            <w:pPr>
              <w:ind w:left="2160"/>
              <w:spacing w:after="0"/>
              <w:rPr>
                <w:sz w:val="20"/>
                <w:szCs w:val="20"/>
                <w:color w:val="auto"/>
              </w:rPr>
            </w:pPr>
            <w:r>
              <w:rPr>
                <w:rFonts w:ascii="Arial" w:cs="Arial" w:eastAsia="Arial" w:hAnsi="Arial"/>
                <w:sz w:val="13"/>
                <w:szCs w:val="13"/>
                <w:color w:val="auto"/>
              </w:rPr>
              <w:t>​ ​​ ​</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99.895​​% ​​ ​</w:t>
            </w: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0.400%​​ ​​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99.495</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60" w:type="dxa"/>
            <w:vAlign w:val="bottom"/>
          </w:tcPr>
          <w:p>
            <w:pPr>
              <w:spacing w:after="0"/>
              <w:rPr>
                <w:sz w:val="20"/>
                <w:szCs w:val="20"/>
                <w:color w:val="auto"/>
              </w:rPr>
            </w:pPr>
            <w:r>
              <w:rPr>
                <w:rFonts w:ascii="Arial" w:cs="Arial" w:eastAsia="Arial" w:hAnsi="Arial"/>
                <w:sz w:val="13"/>
                <w:szCs w:val="13"/>
                <w:color w:val="auto"/>
              </w:rPr>
              <w:t>Total</w:t>
            </w:r>
          </w:p>
        </w:tc>
        <w:tc>
          <w:tcPr>
            <w:tcW w:w="3400" w:type="dxa"/>
            <w:vAlign w:val="bottom"/>
            <w:gridSpan w:val="5"/>
          </w:tcPr>
          <w:p>
            <w:pPr>
              <w:ind w:left="2160"/>
              <w:spacing w:after="0"/>
              <w:rPr>
                <w:sz w:val="20"/>
                <w:szCs w:val="20"/>
                <w:color w:val="auto"/>
              </w:rPr>
            </w:pPr>
            <w:r>
              <w:rPr>
                <w:rFonts w:ascii="Arial" w:cs="Arial" w:eastAsia="Arial" w:hAnsi="Arial"/>
                <w:sz w:val="13"/>
                <w:szCs w:val="13"/>
                <w:color w:val="auto"/>
              </w:rPr>
              <w:t>​ ​​$998,950,000​​ ​​$</w:t>
            </w:r>
          </w:p>
        </w:tc>
        <w:tc>
          <w:tcPr>
            <w:tcW w:w="1540" w:type="dxa"/>
            <w:vAlign w:val="bottom"/>
            <w:gridSpan w:val="4"/>
          </w:tcPr>
          <w:p>
            <w:pPr>
              <w:jc w:val="right"/>
              <w:spacing w:after="0"/>
              <w:rPr>
                <w:sz w:val="20"/>
                <w:szCs w:val="20"/>
                <w:color w:val="auto"/>
              </w:rPr>
            </w:pPr>
            <w:r>
              <w:rPr>
                <w:rFonts w:ascii="Arial" w:cs="Arial" w:eastAsia="Arial" w:hAnsi="Arial"/>
                <w:sz w:val="13"/>
                <w:szCs w:val="13"/>
                <w:color w:val="auto"/>
              </w:rPr>
              <w:t>4,000,000​​ ​​$994,950,000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-225425</wp:posOffset>
            </wp:positionV>
            <wp:extent cx="43160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609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114935</wp:posOffset>
            </wp:positionV>
            <wp:extent cx="9620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73" w:lineRule="exact"/>
        <w:rPr>
          <w:sz w:val="24"/>
          <w:szCs w:val="24"/>
          <w:color w:val="auto"/>
        </w:rPr>
      </w:pPr>
    </w:p>
    <w:p>
      <w:pPr>
        <w:ind w:left="980" w:hanging="273"/>
        <w:spacing w:after="0"/>
        <w:tabs>
          <w:tab w:leader="none" w:pos="9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Plus accrued interest, if any, from January 16, 2025.</w:t>
      </w:r>
    </w:p>
    <w:p>
      <w:pPr>
        <w:spacing w:after="0" w:line="61" w:lineRule="exact"/>
        <w:rPr>
          <w:rFonts w:ascii="Arial" w:cs="Arial" w:eastAsia="Arial" w:hAnsi="Arial"/>
          <w:sz w:val="12"/>
          <w:szCs w:val="12"/>
          <w:color w:val="auto"/>
        </w:rPr>
      </w:pPr>
    </w:p>
    <w:p>
      <w:pPr>
        <w:ind w:left="980" w:hanging="273"/>
        <w:spacing w:after="0"/>
        <w:tabs>
          <w:tab w:leader="none" w:pos="9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underwriters have agreed to reimburse us for certain expenses in connection with the offering. See “Underwriting.”</w:t>
      </w:r>
    </w:p>
    <w:p>
      <w:pPr>
        <w:spacing w:after="0" w:line="56" w:lineRule="exact"/>
        <w:rPr>
          <w:sz w:val="24"/>
          <w:szCs w:val="24"/>
          <w:color w:val="auto"/>
        </w:rPr>
      </w:pPr>
    </w:p>
    <w:p>
      <w:pPr>
        <w:jc w:val="both"/>
        <w:ind w:left="700" w:right="1079"/>
        <w:spacing w:after="0" w:line="235" w:lineRule="auto"/>
        <w:rPr>
          <w:sz w:val="20"/>
          <w:szCs w:val="20"/>
          <w:color w:val="auto"/>
        </w:rPr>
      </w:pPr>
      <w:r>
        <w:rPr>
          <w:rFonts w:ascii="Arial" w:cs="Arial" w:eastAsia="Arial" w:hAnsi="Arial"/>
          <w:sz w:val="13"/>
          <w:szCs w:val="13"/>
          <w:color w:val="auto"/>
        </w:rPr>
        <w:t>Interest on the notes will accrue from January 16, 2025.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34" w:lineRule="exact"/>
        <w:rPr>
          <w:sz w:val="24"/>
          <w:szCs w:val="24"/>
          <w:color w:val="auto"/>
        </w:rPr>
      </w:pPr>
    </w:p>
    <w:p>
      <w:pPr>
        <w:ind w:left="700" w:right="799"/>
        <w:spacing w:after="0" w:line="241" w:lineRule="auto"/>
        <w:rPr>
          <w:sz w:val="20"/>
          <w:szCs w:val="20"/>
          <w:color w:val="auto"/>
        </w:rPr>
      </w:pPr>
      <w:r>
        <w:rPr>
          <w:rFonts w:ascii="Arial" w:cs="Arial" w:eastAsia="Arial" w:hAnsi="Arial"/>
          <w:sz w:val="13"/>
          <w:szCs w:val="13"/>
          <w:color w:val="auto"/>
        </w:rPr>
        <w:t>The underwriters expect to deliver the notes to purchasers through the book-entry delivery system of The Depository Trust Company and its participants, including Euroclear Bank S.A./N.V and Clearstream Banking, S.A., on or about January 16, 2025, which will be the third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34925</wp:posOffset>
            </wp:positionV>
            <wp:extent cx="9620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31" w:lineRule="exact"/>
        <w:rPr>
          <w:sz w:val="24"/>
          <w:szCs w:val="24"/>
          <w:color w:val="auto"/>
        </w:rPr>
      </w:pPr>
    </w:p>
    <w:tbl>
      <w:tblPr>
        <w:tblLayout w:type="fixed"/>
        <w:tblInd w:w="700" w:type="dxa"/>
        <w:tblCellMar>
          <w:top w:w="0" w:type="dxa"/>
          <w:left w:w="0" w:type="dxa"/>
          <w:bottom w:w="0" w:type="dxa"/>
          <w:right w:w="0" w:type="dxa"/>
        </w:tblCellMar>
      </w:tblPr>
      <w:tr>
        <w:trPr>
          <w:trHeight w:val="164"/>
        </w:trPr>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60" w:type="dxa"/>
            <w:vAlign w:val="bottom"/>
            <w:gridSpan w:val="2"/>
          </w:tcPr>
          <w:p>
            <w:pPr>
              <w:jc w:val="center"/>
              <w:ind w:right="101"/>
              <w:spacing w:after="0"/>
              <w:rPr>
                <w:sz w:val="20"/>
                <w:szCs w:val="20"/>
                <w:color w:val="auto"/>
              </w:rPr>
            </w:pPr>
            <w:r>
              <w:rPr>
                <w:rFonts w:ascii="Arial" w:cs="Arial" w:eastAsia="Arial" w:hAnsi="Arial"/>
                <w:sz w:val="13"/>
                <w:szCs w:val="13"/>
                <w:i w:val="1"/>
                <w:iCs w:val="1"/>
                <w:color w:val="auto"/>
                <w:w w:val="97"/>
              </w:rPr>
              <w:t>Joint Book-Running Managers</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1340" w:type="dxa"/>
            <w:vAlign w:val="bottom"/>
            <w:gridSpan w:val="2"/>
          </w:tcPr>
          <w:p>
            <w:pPr>
              <w:spacing w:after="0"/>
              <w:rPr>
                <w:sz w:val="20"/>
                <w:szCs w:val="20"/>
                <w:color w:val="auto"/>
              </w:rPr>
            </w:pPr>
            <w:r>
              <w:rPr>
                <w:rFonts w:ascii="Arial" w:cs="Arial" w:eastAsia="Arial" w:hAnsi="Arial"/>
                <w:sz w:val="17"/>
                <w:szCs w:val="17"/>
                <w:b w:val="1"/>
                <w:bCs w:val="1"/>
                <w:color w:val="auto"/>
              </w:rPr>
              <w:t>Morgan Stanley</w:t>
            </w:r>
          </w:p>
        </w:tc>
        <w:tc>
          <w:tcPr>
            <w:tcW w:w="2640" w:type="dxa"/>
            <w:vAlign w:val="bottom"/>
            <w:gridSpan w:val="2"/>
          </w:tcPr>
          <w:p>
            <w:pPr>
              <w:ind w:left="740"/>
              <w:spacing w:after="0"/>
              <w:rPr>
                <w:sz w:val="20"/>
                <w:szCs w:val="20"/>
                <w:color w:val="auto"/>
              </w:rPr>
            </w:pPr>
            <w:r>
              <w:rPr>
                <w:rFonts w:ascii="Arial" w:cs="Arial" w:eastAsia="Arial" w:hAnsi="Arial"/>
                <w:sz w:val="17"/>
                <w:szCs w:val="17"/>
                <w:b w:val="1"/>
                <w:bCs w:val="1"/>
                <w:color w:val="auto"/>
              </w:rPr>
              <w:t>BNP PARIBAS</w:t>
            </w:r>
          </w:p>
        </w:tc>
        <w:tc>
          <w:tcPr>
            <w:tcW w:w="1100" w:type="dxa"/>
            <w:vAlign w:val="bottom"/>
          </w:tcPr>
          <w:p>
            <w:pPr>
              <w:ind w:left="60"/>
              <w:spacing w:after="0"/>
              <w:rPr>
                <w:sz w:val="20"/>
                <w:szCs w:val="20"/>
                <w:color w:val="auto"/>
              </w:rPr>
            </w:pPr>
            <w:r>
              <w:rPr>
                <w:rFonts w:ascii="Arial" w:cs="Arial" w:eastAsia="Arial" w:hAnsi="Arial"/>
                <w:sz w:val="17"/>
                <w:szCs w:val="17"/>
                <w:b w:val="1"/>
                <w:bCs w:val="1"/>
                <w:color w:val="auto"/>
              </w:rPr>
              <w:t>J.P. Morgan</w:t>
            </w:r>
          </w:p>
        </w:tc>
        <w:tc>
          <w:tcPr>
            <w:tcW w:w="48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b w:val="1"/>
                <w:bCs w:val="1"/>
                <w:color w:val="auto"/>
              </w:rPr>
              <w:t>Wells Fargo Securities</w:t>
            </w:r>
          </w:p>
        </w:tc>
      </w:tr>
      <w:tr>
        <w:trPr>
          <w:trHeight w:val="230"/>
        </w:trPr>
        <w:tc>
          <w:tcPr>
            <w:tcW w:w="1340" w:type="dxa"/>
            <w:vAlign w:val="bottom"/>
            <w:gridSpan w:val="2"/>
          </w:tcPr>
          <w:p>
            <w:pPr>
              <w:spacing w:after="0"/>
              <w:rPr>
                <w:sz w:val="20"/>
                <w:szCs w:val="20"/>
                <w:color w:val="auto"/>
              </w:rPr>
            </w:pPr>
            <w:r>
              <w:rPr>
                <w:rFonts w:ascii="Arial" w:cs="Arial" w:eastAsia="Arial" w:hAnsi="Arial"/>
                <w:sz w:val="17"/>
                <w:szCs w:val="17"/>
                <w:b w:val="1"/>
                <w:bCs w:val="1"/>
                <w:color w:val="auto"/>
              </w:rPr>
              <w:t>ANZ Securities</w:t>
            </w:r>
          </w:p>
        </w:tc>
        <w:tc>
          <w:tcPr>
            <w:tcW w:w="2640" w:type="dxa"/>
            <w:vAlign w:val="bottom"/>
            <w:gridSpan w:val="2"/>
          </w:tcPr>
          <w:p>
            <w:pPr>
              <w:ind w:left="940"/>
              <w:spacing w:after="0"/>
              <w:rPr>
                <w:sz w:val="20"/>
                <w:szCs w:val="20"/>
                <w:color w:val="auto"/>
              </w:rPr>
            </w:pPr>
            <w:r>
              <w:rPr>
                <w:rFonts w:ascii="Arial" w:cs="Arial" w:eastAsia="Arial" w:hAnsi="Arial"/>
                <w:sz w:val="17"/>
                <w:szCs w:val="17"/>
                <w:b w:val="1"/>
                <w:bCs w:val="1"/>
                <w:color w:val="auto"/>
              </w:rPr>
              <w:t>BofA Securities</w:t>
            </w:r>
          </w:p>
        </w:tc>
        <w:tc>
          <w:tcPr>
            <w:tcW w:w="2540" w:type="dxa"/>
            <w:vAlign w:val="bottom"/>
            <w:gridSpan w:val="3"/>
          </w:tcPr>
          <w:p>
            <w:pPr>
              <w:ind w:left="660"/>
              <w:spacing w:after="0"/>
              <w:rPr>
                <w:sz w:val="20"/>
                <w:szCs w:val="20"/>
                <w:color w:val="auto"/>
              </w:rPr>
            </w:pPr>
            <w:r>
              <w:rPr>
                <w:rFonts w:ascii="Arial" w:cs="Arial" w:eastAsia="Arial" w:hAnsi="Arial"/>
                <w:sz w:val="17"/>
                <w:szCs w:val="17"/>
                <w:b w:val="1"/>
                <w:bCs w:val="1"/>
                <w:color w:val="auto"/>
              </w:rPr>
              <w:t>COMMERZBANK</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Mizuho</w:t>
            </w:r>
          </w:p>
        </w:tc>
      </w:tr>
      <w:tr>
        <w:trPr>
          <w:trHeight w:val="231"/>
        </w:trPr>
        <w:tc>
          <w:tcPr>
            <w:tcW w:w="820" w:type="dxa"/>
            <w:vAlign w:val="bottom"/>
          </w:tcPr>
          <w:p>
            <w:pPr>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20"/>
                <w:szCs w:val="20"/>
                <w:color w:val="auto"/>
              </w:rPr>
            </w:pPr>
          </w:p>
        </w:tc>
        <w:tc>
          <w:tcPr>
            <w:tcW w:w="1380" w:type="dxa"/>
            <w:vAlign w:val="bottom"/>
          </w:tcPr>
          <w:p>
            <w:pPr>
              <w:jc w:val="center"/>
              <w:ind w:right="261"/>
              <w:spacing w:after="0"/>
              <w:rPr>
                <w:sz w:val="20"/>
                <w:szCs w:val="20"/>
                <w:color w:val="auto"/>
              </w:rPr>
            </w:pPr>
            <w:r>
              <w:rPr>
                <w:rFonts w:ascii="Arial" w:cs="Arial" w:eastAsia="Arial" w:hAnsi="Arial"/>
                <w:sz w:val="17"/>
                <w:szCs w:val="17"/>
                <w:b w:val="1"/>
                <w:bCs w:val="1"/>
                <w:color w:val="auto"/>
                <w:w w:val="95"/>
              </w:rPr>
              <w:t>MUFG</w:t>
            </w:r>
          </w:p>
        </w:tc>
        <w:tc>
          <w:tcPr>
            <w:tcW w:w="1260" w:type="dxa"/>
            <w:vAlign w:val="bottom"/>
          </w:tcPr>
          <w:p>
            <w:pPr>
              <w:ind w:left="1040"/>
              <w:spacing w:after="0"/>
              <w:rPr>
                <w:sz w:val="20"/>
                <w:szCs w:val="20"/>
                <w:color w:val="auto"/>
              </w:rPr>
            </w:pPr>
            <w:r>
              <w:rPr>
                <w:rFonts w:ascii="Arial" w:cs="Arial" w:eastAsia="Arial" w:hAnsi="Arial"/>
                <w:sz w:val="17"/>
                <w:szCs w:val="17"/>
                <w:b w:val="1"/>
                <w:bCs w:val="1"/>
                <w:color w:val="auto"/>
              </w:rPr>
              <w:t>​ ​</w:t>
            </w:r>
          </w:p>
        </w:tc>
        <w:tc>
          <w:tcPr>
            <w:tcW w:w="1100" w:type="dxa"/>
            <w:vAlign w:val="bottom"/>
          </w:tcPr>
          <w:p>
            <w:pPr>
              <w:spacing w:after="0"/>
              <w:rPr>
                <w:sz w:val="20"/>
                <w:szCs w:val="20"/>
                <w:color w:val="auto"/>
              </w:rPr>
            </w:pPr>
          </w:p>
        </w:tc>
        <w:tc>
          <w:tcPr>
            <w:tcW w:w="1440" w:type="dxa"/>
            <w:vAlign w:val="bottom"/>
            <w:gridSpan w:val="2"/>
          </w:tcPr>
          <w:p>
            <w:pPr>
              <w:jc w:val="center"/>
              <w:ind w:right="45"/>
              <w:spacing w:after="0"/>
              <w:rPr>
                <w:sz w:val="20"/>
                <w:szCs w:val="20"/>
                <w:color w:val="auto"/>
              </w:rPr>
            </w:pPr>
            <w:r>
              <w:rPr>
                <w:rFonts w:ascii="Arial" w:cs="Arial" w:eastAsia="Arial" w:hAnsi="Arial"/>
                <w:sz w:val="17"/>
                <w:szCs w:val="17"/>
                <w:b w:val="1"/>
                <w:bCs w:val="1"/>
                <w:color w:val="auto"/>
                <w:w w:val="98"/>
              </w:rPr>
              <w:t>US Bancorp</w:t>
            </w:r>
          </w:p>
        </w:tc>
        <w:tc>
          <w:tcPr>
            <w:tcW w:w="1120" w:type="dxa"/>
            <w:vAlign w:val="bottom"/>
          </w:tcPr>
          <w:p>
            <w:pPr>
              <w:ind w:left="1060"/>
              <w:spacing w:after="0"/>
              <w:rPr>
                <w:sz w:val="20"/>
                <w:szCs w:val="20"/>
                <w:color w:val="auto"/>
              </w:rPr>
            </w:pPr>
            <w:r>
              <w:rPr>
                <w:rFonts w:ascii="Arial" w:cs="Arial" w:eastAsia="Arial" w:hAnsi="Arial"/>
                <w:sz w:val="17"/>
                <w:szCs w:val="17"/>
                <w:b w:val="1"/>
                <w:bCs w:val="1"/>
                <w:color w:val="auto"/>
              </w:rPr>
              <w:t>​</w:t>
            </w:r>
          </w:p>
        </w:tc>
      </w:tr>
      <w:tr>
        <w:trPr>
          <w:trHeight w:val="29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60" w:type="dxa"/>
            <w:vAlign w:val="bottom"/>
            <w:gridSpan w:val="2"/>
          </w:tcPr>
          <w:p>
            <w:pPr>
              <w:jc w:val="center"/>
              <w:ind w:right="121"/>
              <w:spacing w:after="0"/>
              <w:rPr>
                <w:sz w:val="20"/>
                <w:szCs w:val="20"/>
                <w:color w:val="auto"/>
              </w:rPr>
            </w:pPr>
            <w:r>
              <w:rPr>
                <w:rFonts w:ascii="Arial" w:cs="Arial" w:eastAsia="Arial" w:hAnsi="Arial"/>
                <w:sz w:val="13"/>
                <w:szCs w:val="13"/>
                <w:i w:val="1"/>
                <w:iCs w:val="1"/>
                <w:color w:val="auto"/>
                <w:w w:val="96"/>
              </w:rPr>
              <w:t>Co-Managers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gridSpan w:val="2"/>
          </w:tcPr>
          <w:p>
            <w:pPr>
              <w:ind w:left="1040"/>
              <w:spacing w:after="0"/>
              <w:rPr>
                <w:sz w:val="20"/>
                <w:szCs w:val="20"/>
                <w:color w:val="auto"/>
              </w:rPr>
            </w:pPr>
            <w:r>
              <w:rPr>
                <w:rFonts w:ascii="Arial" w:cs="Arial" w:eastAsia="Arial" w:hAnsi="Arial"/>
                <w:sz w:val="14"/>
                <w:szCs w:val="14"/>
                <w:b w:val="1"/>
                <w:bCs w:val="1"/>
                <w:color w:val="auto"/>
              </w:rPr>
              <w:t>Siebert Williams Shank</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80" w:type="dxa"/>
            <w:vAlign w:val="bottom"/>
            <w:gridSpan w:val="2"/>
          </w:tcPr>
          <w:p>
            <w:pPr>
              <w:jc w:val="right"/>
              <w:ind w:right="523"/>
              <w:spacing w:after="0"/>
              <w:rPr>
                <w:sz w:val="20"/>
                <w:szCs w:val="20"/>
                <w:color w:val="auto"/>
              </w:rPr>
            </w:pPr>
            <w:r>
              <w:rPr>
                <w:rFonts w:ascii="Arial" w:cs="Arial" w:eastAsia="Arial" w:hAnsi="Arial"/>
                <w:sz w:val="14"/>
                <w:szCs w:val="14"/>
                <w:b w:val="1"/>
                <w:bCs w:val="1"/>
                <w:color w:val="auto"/>
              </w:rPr>
              <w:t>Academy Securities</w:t>
            </w:r>
          </w:p>
        </w:tc>
      </w:tr>
      <w:tr>
        <w:trPr>
          <w:trHeight w:val="210"/>
        </w:trPr>
        <w:tc>
          <w:tcPr>
            <w:tcW w:w="820" w:type="dxa"/>
            <w:vAlign w:val="bottom"/>
          </w:tcPr>
          <w:p>
            <w:pPr>
              <w:spacing w:after="0"/>
              <w:rPr>
                <w:sz w:val="20"/>
                <w:szCs w:val="20"/>
                <w:color w:val="auto"/>
              </w:rPr>
            </w:pPr>
            <w:r>
              <w:rPr>
                <w:rFonts w:ascii="Arial" w:cs="Arial" w:eastAsia="Arial" w:hAnsi="Arial"/>
                <w:sz w:val="14"/>
                <w:szCs w:val="14"/>
                <w:b w:val="1"/>
                <w:bCs w:val="1"/>
                <w:color w:val="auto"/>
              </w:rPr>
              <w:t>Barclays</w:t>
            </w:r>
          </w:p>
        </w:tc>
        <w:tc>
          <w:tcPr>
            <w:tcW w:w="1900" w:type="dxa"/>
            <w:vAlign w:val="bottom"/>
            <w:gridSpan w:val="2"/>
          </w:tcPr>
          <w:p>
            <w:pPr>
              <w:ind w:left="260"/>
              <w:spacing w:after="0"/>
              <w:rPr>
                <w:sz w:val="20"/>
                <w:szCs w:val="20"/>
                <w:color w:val="auto"/>
              </w:rPr>
            </w:pPr>
            <w:r>
              <w:rPr>
                <w:rFonts w:ascii="Arial" w:cs="Arial" w:eastAsia="Arial" w:hAnsi="Arial"/>
                <w:sz w:val="14"/>
                <w:szCs w:val="14"/>
                <w:b w:val="1"/>
                <w:bCs w:val="1"/>
                <w:color w:val="auto"/>
              </w:rPr>
              <w:t>CIBC Capital Markets</w:t>
            </w: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Citigroup</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Credit Agricole CIB</w:t>
            </w: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Goldman Sachs &amp; Co. LLC</w:t>
            </w:r>
          </w:p>
        </w:tc>
      </w:tr>
      <w:tr>
        <w:trPr>
          <w:trHeight w:val="210"/>
        </w:trPr>
        <w:tc>
          <w:tcPr>
            <w:tcW w:w="820" w:type="dxa"/>
            <w:vAlign w:val="bottom"/>
          </w:tcPr>
          <w:p>
            <w:pPr>
              <w:spacing w:after="0"/>
              <w:rPr>
                <w:sz w:val="20"/>
                <w:szCs w:val="20"/>
                <w:color w:val="auto"/>
              </w:rPr>
            </w:pPr>
            <w:r>
              <w:rPr>
                <w:rFonts w:ascii="Arial" w:cs="Arial" w:eastAsia="Arial" w:hAnsi="Arial"/>
                <w:sz w:val="14"/>
                <w:szCs w:val="14"/>
                <w:b w:val="1"/>
                <w:bCs w:val="1"/>
                <w:color w:val="auto"/>
              </w:rPr>
              <w:t>HSBC</w:t>
            </w: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ICBC Standard Bank</w:t>
            </w:r>
          </w:p>
        </w:tc>
        <w:tc>
          <w:tcPr>
            <w:tcW w:w="2360" w:type="dxa"/>
            <w:vAlign w:val="bottom"/>
            <w:gridSpan w:val="2"/>
          </w:tcPr>
          <w:p>
            <w:pPr>
              <w:ind w:left="320"/>
              <w:spacing w:after="0"/>
              <w:rPr>
                <w:sz w:val="20"/>
                <w:szCs w:val="20"/>
                <w:color w:val="auto"/>
              </w:rPr>
            </w:pPr>
            <w:r>
              <w:rPr>
                <w:rFonts w:ascii="Arial" w:cs="Arial" w:eastAsia="Arial" w:hAnsi="Arial"/>
                <w:sz w:val="14"/>
                <w:szCs w:val="14"/>
                <w:b w:val="1"/>
                <w:bCs w:val="1"/>
                <w:color w:val="auto"/>
              </w:rPr>
              <w:t>PNC Capital Markets LLC</w:t>
            </w:r>
          </w:p>
        </w:tc>
        <w:tc>
          <w:tcPr>
            <w:tcW w:w="1440" w:type="dxa"/>
            <w:vAlign w:val="bottom"/>
            <w:gridSpan w:val="2"/>
          </w:tcPr>
          <w:p>
            <w:pPr>
              <w:jc w:val="center"/>
              <w:ind w:right="45"/>
              <w:spacing w:after="0"/>
              <w:rPr>
                <w:sz w:val="20"/>
                <w:szCs w:val="20"/>
                <w:color w:val="auto"/>
              </w:rPr>
            </w:pPr>
            <w:r>
              <w:rPr>
                <w:rFonts w:ascii="Arial" w:cs="Arial" w:eastAsia="Arial" w:hAnsi="Arial"/>
                <w:sz w:val="14"/>
                <w:szCs w:val="14"/>
                <w:b w:val="1"/>
                <w:bCs w:val="1"/>
                <w:color w:val="auto"/>
              </w:rPr>
              <w:t>Scotiabank</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SMBC Nikko</w:t>
            </w:r>
          </w:p>
        </w:tc>
      </w:tr>
      <w:tr>
        <w:trPr>
          <w:trHeight w:val="231"/>
        </w:trPr>
        <w:tc>
          <w:tcPr>
            <w:tcW w:w="820" w:type="dxa"/>
            <w:vAlign w:val="bottom"/>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0"/>
                <w:szCs w:val="20"/>
                <w:color w:val="auto"/>
              </w:rPr>
            </w:pPr>
          </w:p>
        </w:tc>
        <w:tc>
          <w:tcPr>
            <w:tcW w:w="1380" w:type="dxa"/>
            <w:vAlign w:val="bottom"/>
          </w:tcPr>
          <w:p>
            <w:pPr>
              <w:jc w:val="center"/>
              <w:ind w:right="261"/>
              <w:spacing w:after="0"/>
              <w:rPr>
                <w:sz w:val="20"/>
                <w:szCs w:val="20"/>
                <w:color w:val="auto"/>
              </w:rPr>
            </w:pPr>
            <w:r>
              <w:rPr>
                <w:rFonts w:ascii="Arial" w:cs="Arial" w:eastAsia="Arial" w:hAnsi="Arial"/>
                <w:sz w:val="14"/>
                <w:szCs w:val="14"/>
                <w:b w:val="1"/>
                <w:bCs w:val="1"/>
                <w:color w:val="auto"/>
                <w:w w:val="98"/>
              </w:rPr>
              <w:t>TD Securities</w:t>
            </w:r>
          </w:p>
        </w:tc>
        <w:tc>
          <w:tcPr>
            <w:tcW w:w="1260" w:type="dxa"/>
            <w:vAlign w:val="bottom"/>
          </w:tcPr>
          <w:p>
            <w:pPr>
              <w:ind w:left="1040"/>
              <w:spacing w:after="0"/>
              <w:rPr>
                <w:sz w:val="20"/>
                <w:szCs w:val="20"/>
                <w:color w:val="auto"/>
              </w:rPr>
            </w:pPr>
            <w:r>
              <w:rPr>
                <w:rFonts w:ascii="Arial" w:cs="Arial" w:eastAsia="Arial" w:hAnsi="Arial"/>
                <w:sz w:val="14"/>
                <w:szCs w:val="14"/>
                <w:b w:val="1"/>
                <w:bCs w:val="1"/>
                <w:color w:val="auto"/>
              </w:rPr>
              <w:t>​ ​</w:t>
            </w:r>
          </w:p>
        </w:tc>
        <w:tc>
          <w:tcPr>
            <w:tcW w:w="1100" w:type="dxa"/>
            <w:vAlign w:val="bottom"/>
          </w:tcPr>
          <w:p>
            <w:pPr>
              <w:spacing w:after="0"/>
              <w:rPr>
                <w:sz w:val="20"/>
                <w:szCs w:val="20"/>
                <w:color w:val="auto"/>
              </w:rPr>
            </w:pPr>
          </w:p>
        </w:tc>
        <w:tc>
          <w:tcPr>
            <w:tcW w:w="1440" w:type="dxa"/>
            <w:vAlign w:val="bottom"/>
            <w:gridSpan w:val="2"/>
          </w:tcPr>
          <w:p>
            <w:pPr>
              <w:jc w:val="center"/>
              <w:ind w:right="65"/>
              <w:spacing w:after="0"/>
              <w:rPr>
                <w:sz w:val="20"/>
                <w:szCs w:val="20"/>
                <w:color w:val="auto"/>
              </w:rPr>
            </w:pPr>
            <w:r>
              <w:rPr>
                <w:rFonts w:ascii="Arial" w:cs="Arial" w:eastAsia="Arial" w:hAnsi="Arial"/>
                <w:sz w:val="14"/>
                <w:szCs w:val="14"/>
                <w:b w:val="1"/>
                <w:bCs w:val="1"/>
                <w:color w:val="auto"/>
              </w:rPr>
              <w:t>Truist Securities</w:t>
            </w:r>
          </w:p>
        </w:tc>
        <w:tc>
          <w:tcPr>
            <w:tcW w:w="1120" w:type="dxa"/>
            <w:vAlign w:val="bottom"/>
          </w:tcPr>
          <w:p>
            <w:pPr>
              <w:ind w:left="1060"/>
              <w:spacing w:after="0"/>
              <w:rPr>
                <w:sz w:val="20"/>
                <w:szCs w:val="20"/>
                <w:color w:val="auto"/>
              </w:rPr>
            </w:pPr>
            <w:r>
              <w:rPr>
                <w:rFonts w:ascii="Arial" w:cs="Arial" w:eastAsia="Arial" w:hAnsi="Arial"/>
                <w:sz w:val="14"/>
                <w:szCs w:val="14"/>
                <w:b w:val="1"/>
                <w:bCs w:val="1"/>
                <w:color w:val="auto"/>
              </w:rPr>
              <w:t>​</w:t>
            </w:r>
          </w:p>
        </w:tc>
      </w:tr>
    </w:tbl>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194945</wp:posOffset>
            </wp:positionH>
            <wp:positionV relativeFrom="paragraph">
              <wp:posOffset>193040</wp:posOffset>
            </wp:positionV>
            <wp:extent cx="533082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TABLE OF CONTENTS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Prospectus Supplement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3810</wp:posOffset>
            </wp:positionV>
            <wp:extent cx="4062095"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Cautionary Note on Forward-Looking Statements</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27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Summary</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Use of Proceeds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Description of the Notes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Underwriting</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Experts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Where You Can Find More Information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Prospectus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3810</wp:posOffset>
            </wp:positionV>
            <wp:extent cx="4062095" cy="133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21590</wp:posOffset>
            </wp:positionV>
            <wp:extent cx="4062095"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The Company</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Use of Proceeds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Plan of Distribution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1"/>
          <w:szCs w:val="11"/>
          <w:b w:val="1"/>
          <w:bCs w:val="1"/>
          <w:color w:val="auto"/>
        </w:rPr>
        <w:t xml:space="preserve">  Page </w:t>
      </w:r>
      <w:r>
        <w:rPr>
          <w:rFonts w:ascii="Arial" w:cs="Arial" w:eastAsia="Arial" w:hAnsi="Arial"/>
          <w:sz w:val="22"/>
          <w:szCs w:val="22"/>
          <w:b w:val="1"/>
          <w:bCs w:val="1"/>
          <w:color w:val="auto"/>
          <w:vertAlign w:val="subscript"/>
        </w:rPr>
        <w: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u w:val="single" w:color="auto"/>
          <w:color w:val="0000EE"/>
        </w:rPr>
        <w:t>S-ii</w:t>
      </w:r>
      <w:r>
        <w:rPr>
          <w:rFonts w:ascii="Arial" w:cs="Arial" w:eastAsia="Arial" w:hAnsi="Arial"/>
          <w:sz w:val="14"/>
          <w:szCs w:val="14"/>
          <w:color w:val="auto"/>
        </w:rPr>
        <w:t>​</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u w:val="single" w:color="auto"/>
          <w:color w:val="0000EE"/>
        </w:rPr>
        <w:t>S-iv</w:t>
      </w:r>
      <w:r>
        <w:rPr>
          <w:rFonts w:ascii="Arial" w:cs="Arial" w:eastAsia="Arial" w:hAnsi="Arial"/>
          <w:sz w:val="14"/>
          <w:szCs w:val="14"/>
          <w:color w:val="auto"/>
        </w:rPr>
        <w:t>​</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u w:val="single" w:color="auto"/>
          <w:color w:val="0000EE"/>
        </w:rPr>
        <w:t>S-1</w:t>
      </w:r>
      <w:r>
        <w:rPr>
          <w:rFonts w:ascii="Arial" w:cs="Arial" w:eastAsia="Arial" w:hAnsi="Arial"/>
          <w:sz w:val="14"/>
          <w:szCs w:val="14"/>
          <w:color w:val="auto"/>
        </w:rPr>
        <w:t>​</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u w:val="single" w:color="auto"/>
          <w:color w:val="0000EE"/>
        </w:rPr>
        <w:t>S-6</w:t>
      </w:r>
      <w:r>
        <w:rPr>
          <w:rFonts w:ascii="Arial" w:cs="Arial" w:eastAsia="Arial" w:hAnsi="Arial"/>
          <w:sz w:val="14"/>
          <w:szCs w:val="14"/>
          <w:color w:val="auto"/>
        </w:rPr>
        <w:t>​</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S-10</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S-11</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S-13</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S-35</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S-40</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S-46</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S-46</w:t>
      </w:r>
      <w:r>
        <w:rPr>
          <w:rFonts w:ascii="Arial" w:cs="Arial" w:eastAsia="Arial" w:hAnsi="Arial"/>
          <w:sz w:val="14"/>
          <w:szCs w:val="14"/>
          <w:color w:val="auto"/>
        </w:rPr>
        <w: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u w:val="single" w:color="auto"/>
          <w:color w:val="0000EE"/>
        </w:rPr>
        <w:t>S-46</w:t>
      </w:r>
      <w:r>
        <w:rPr>
          <w:rFonts w:ascii="Arial" w:cs="Arial" w:eastAsia="Arial" w:hAnsi="Arial"/>
          <w:sz w:val="14"/>
          <w:szCs w:val="14"/>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1"/>
          <w:szCs w:val="11"/>
          <w:b w:val="1"/>
          <w:bCs w:val="1"/>
          <w:color w:val="auto"/>
        </w:rPr>
        <w:t xml:space="preserve">  Page </w:t>
      </w:r>
      <w:r>
        <w:rPr>
          <w:rFonts w:ascii="Arial" w:cs="Arial" w:eastAsia="Arial" w:hAnsi="Arial"/>
          <w:sz w:val="22"/>
          <w:szCs w:val="22"/>
          <w:b w:val="1"/>
          <w:bCs w:val="1"/>
          <w:color w:val="auto"/>
          <w:vertAlign w:val="subscript"/>
        </w:rPr>
        <w: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1</w:t>
      </w:r>
      <w:r>
        <w:rPr>
          <w:rFonts w:ascii="Arial" w:cs="Arial" w:eastAsia="Arial" w:hAnsi="Arial"/>
          <w:sz w:val="14"/>
          <w:szCs w:val="14"/>
          <w:color w:val="auto"/>
        </w:rPr>
        <w:t xml:space="preserve"> ​</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2</w:t>
      </w:r>
      <w:r>
        <w:rPr>
          <w:rFonts w:ascii="Arial" w:cs="Arial" w:eastAsia="Arial" w:hAnsi="Arial"/>
          <w:sz w:val="14"/>
          <w:szCs w:val="14"/>
          <w:color w:val="auto"/>
        </w:rPr>
        <w:t xml:space="preserve"> ​</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4</w:t>
      </w:r>
      <w:r>
        <w:rPr>
          <w:rFonts w:ascii="Arial" w:cs="Arial" w:eastAsia="Arial" w:hAnsi="Arial"/>
          <w:sz w:val="14"/>
          <w:szCs w:val="14"/>
          <w:color w:val="auto"/>
        </w:rPr>
        <w:t xml:space="preserve"> ​</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5</w:t>
      </w:r>
      <w:r>
        <w:rPr>
          <w:rFonts w:ascii="Arial" w:cs="Arial" w:eastAsia="Arial" w:hAnsi="Arial"/>
          <w:sz w:val="14"/>
          <w:szCs w:val="14"/>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6</w:t>
      </w:r>
      <w:r>
        <w:rPr>
          <w:rFonts w:ascii="Arial" w:cs="Arial" w:eastAsia="Arial" w:hAnsi="Arial"/>
          <w:sz w:val="14"/>
          <w:szCs w:val="14"/>
          <w:color w:val="auto"/>
        </w:rPr>
        <w:t xml:space="preserve"> ​</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7</w:t>
      </w:r>
      <w:r>
        <w:rPr>
          <w:rFonts w:ascii="Arial" w:cs="Arial" w:eastAsia="Arial" w:hAnsi="Arial"/>
          <w:sz w:val="14"/>
          <w:szCs w:val="14"/>
          <w:color w:val="auto"/>
        </w:rPr>
        <w:t xml:space="preserve"> ​</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8</w:t>
      </w:r>
      <w:r>
        <w:rPr>
          <w:rFonts w:ascii="Arial" w:cs="Arial" w:eastAsia="Arial" w:hAnsi="Arial"/>
          <w:sz w:val="14"/>
          <w:szCs w:val="14"/>
          <w:color w:val="auto"/>
        </w:rPr>
        <w:t xml:space="preserve"> ​</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9</w:t>
      </w:r>
      <w:r>
        <w:rPr>
          <w:rFonts w:ascii="Arial" w:cs="Arial" w:eastAsia="Arial" w:hAnsi="Arial"/>
          <w:sz w:val="14"/>
          <w:szCs w:val="14"/>
          <w:color w:val="auto"/>
        </w:rPr>
        <w:t xml:space="preserve"> ​</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9</w:t>
      </w:r>
      <w:r>
        <w:rPr>
          <w:rFonts w:ascii="Arial" w:cs="Arial" w:eastAsia="Arial" w:hAnsi="Arial"/>
          <w:sz w:val="14"/>
          <w:szCs w:val="14"/>
          <w:color w:val="auto"/>
        </w:rPr>
        <w:t xml:space="preserve"> ​</w:t>
      </w:r>
    </w:p>
    <w:p>
      <w:pPr>
        <w:sectPr>
          <w:pgSz w:w="11900" w:h="16838" w:orient="portrait"/>
          <w:cols w:equalWidth="0" w:num="2">
            <w:col w:w="6480" w:space="720"/>
            <w:col w:w="1819"/>
          </w:cols>
          <w:pgMar w:left="1440" w:top="107" w:right="1440" w:bottom="1440" w:gutter="0" w:footer="0" w:header="0"/>
        </w:sectPr>
      </w:pPr>
    </w:p>
    <w:bookmarkStart w:id="2" w:name="page3"/>
    <w:bookmarkEnd w:id="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CAUTIONARY NOTE ON FORWARD-</w:t>
      </w:r>
    </w:p>
    <w:p>
      <w:pPr>
        <w:ind w:left="1300"/>
        <w:spacing w:after="0" w:line="227" w:lineRule="auto"/>
        <w:rPr>
          <w:sz w:val="20"/>
          <w:szCs w:val="20"/>
          <w:color w:val="auto"/>
        </w:rPr>
      </w:pPr>
      <w:r>
        <w:rPr>
          <w:rFonts w:ascii="Arial" w:cs="Arial" w:eastAsia="Arial" w:hAnsi="Arial"/>
          <w:sz w:val="31"/>
          <w:szCs w:val="31"/>
          <w:b w:val="1"/>
          <w:bCs w:val="1"/>
          <w:color w:val="auto"/>
        </w:rPr>
        <w:t>LOOKING</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STATEMENTS</w:t>
      </w:r>
    </w:p>
    <w:p>
      <w:pPr>
        <w:spacing w:after="0" w:line="77" w:lineRule="exact"/>
        <w:rPr>
          <w:sz w:val="20"/>
          <w:szCs w:val="20"/>
          <w:color w:val="auto"/>
        </w:rPr>
      </w:pPr>
    </w:p>
    <w:p>
      <w:pPr>
        <w:ind w:left="1300" w:right="1359"/>
        <w:spacing w:after="0" w:line="246" w:lineRule="auto"/>
        <w:rPr>
          <w:sz w:val="20"/>
          <w:szCs w:val="20"/>
          <w:color w:val="auto"/>
        </w:rPr>
      </w:pPr>
      <w:r>
        <w:rPr>
          <w:rFonts w:ascii="Arial" w:cs="Arial" w:eastAsia="Arial" w:hAnsi="Arial"/>
          <w:sz w:val="14"/>
          <w:szCs w:val="14"/>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86" w:lineRule="exact"/>
        <w:rPr>
          <w:sz w:val="20"/>
          <w:szCs w:val="20"/>
          <w:color w:val="auto"/>
        </w:rPr>
      </w:pPr>
    </w:p>
    <w:p>
      <w:pPr>
        <w:ind w:left="1300" w:right="1759"/>
        <w:spacing w:after="0" w:line="270" w:lineRule="auto"/>
        <w:rPr>
          <w:sz w:val="20"/>
          <w:szCs w:val="20"/>
          <w:color w:val="auto"/>
        </w:rPr>
      </w:pPr>
      <w:r>
        <w:rPr>
          <w:rFonts w:ascii="Arial" w:cs="Arial" w:eastAsia="Arial" w:hAnsi="Arial"/>
          <w:sz w:val="14"/>
          <w:szCs w:val="14"/>
          <w:color w:val="auto"/>
        </w:rPr>
        <w:t>Specific forward-looking statements include, but are not limited to statements such as those made regarding:</w:t>
      </w:r>
    </w:p>
    <w:p>
      <w:pPr>
        <w:spacing w:after="0" w:line="38" w:lineRule="exact"/>
        <w:rPr>
          <w:sz w:val="20"/>
          <w:szCs w:val="20"/>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expected production ramp of certain products;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plans to invest in research and development, including the plans to implement EUV lithography;</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anticipated technological developments;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potential change in our effective tax rate;</w:t>
      </w:r>
    </w:p>
    <w:p>
      <w:pPr>
        <w:spacing w:after="0" w:line="81" w:lineRule="exact"/>
        <w:rPr>
          <w:rFonts w:ascii="Arial" w:cs="Arial" w:eastAsia="Arial" w:hAnsi="Arial"/>
          <w:sz w:val="14"/>
          <w:szCs w:val="14"/>
          <w:color w:val="auto"/>
        </w:rPr>
      </w:pPr>
    </w:p>
    <w:p>
      <w:pPr>
        <w:ind w:left="1720" w:right="1659" w:hanging="134"/>
        <w:spacing w:after="0" w:line="286" w:lineRule="auto"/>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for construction and ramping of production for our facilities, including new memory manufacturing fabs in the United States;</w:t>
      </w:r>
    </w:p>
    <w:p>
      <w:pPr>
        <w:spacing w:after="0" w:line="26"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receipt, timing, and utilization of government incentives;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payment of future cash dividends;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market conditions and profitability in our industry;</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future demand for our products;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DRAM bit shipments in future periods;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actions to align our NAND supply with industry demand trends;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the Cyberspace Administration of China decision;</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capital spending in 2025;</w:t>
      </w:r>
    </w:p>
    <w:p>
      <w:pPr>
        <w:spacing w:after="0" w:line="81" w:lineRule="exact"/>
        <w:rPr>
          <w:rFonts w:ascii="Arial" w:cs="Arial" w:eastAsia="Arial" w:hAnsi="Arial"/>
          <w:sz w:val="14"/>
          <w:szCs w:val="14"/>
          <w:color w:val="auto"/>
        </w:rPr>
      </w:pPr>
    </w:p>
    <w:p>
      <w:pPr>
        <w:ind w:left="1720" w:right="1399" w:hanging="134"/>
        <w:spacing w:after="0" w:line="286" w:lineRule="auto"/>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impact of business, economic, political, legal and regulatory developments upon our global operations;</w:t>
      </w:r>
    </w:p>
    <w:p>
      <w:pPr>
        <w:spacing w:after="0" w:line="26"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sufficiency of our cash and investments; and</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intended use of proceeds from the offering of notes.</w:t>
      </w:r>
    </w:p>
    <w:p>
      <w:pPr>
        <w:spacing w:after="0" w:line="123" w:lineRule="exact"/>
        <w:rPr>
          <w:sz w:val="20"/>
          <w:szCs w:val="20"/>
          <w:color w:val="auto"/>
        </w:rPr>
      </w:pPr>
    </w:p>
    <w:p>
      <w:pPr>
        <w:ind w:left="1300" w:right="1359"/>
        <w:spacing w:after="0" w:line="243" w:lineRule="auto"/>
        <w:rPr>
          <w:sz w:val="20"/>
          <w:szCs w:val="20"/>
          <w:color w:val="auto"/>
        </w:rPr>
      </w:pPr>
      <w:r>
        <w:rPr>
          <w:rFonts w:ascii="Arial" w:cs="Arial" w:eastAsia="Arial" w:hAnsi="Arial"/>
          <w:sz w:val="14"/>
          <w:szCs w:val="14"/>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90" w:lineRule="exact"/>
        <w:rPr>
          <w:sz w:val="20"/>
          <w:szCs w:val="20"/>
          <w:color w:val="auto"/>
        </w:rPr>
      </w:pPr>
    </w:p>
    <w:p>
      <w:pPr>
        <w:ind w:left="1300" w:right="1319"/>
        <w:spacing w:after="0" w:line="276" w:lineRule="auto"/>
        <w:rPr>
          <w:sz w:val="20"/>
          <w:szCs w:val="20"/>
          <w:color w:val="auto"/>
        </w:rPr>
      </w:pPr>
      <w:r>
        <w:rPr>
          <w:rFonts w:ascii="Arial" w:cs="Arial" w:eastAsia="Arial" w:hAnsi="Arial"/>
          <w:sz w:val="13"/>
          <w:szCs w:val="13"/>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Trademarks and Service Marks</w:t>
      </w:r>
    </w:p>
    <w:p>
      <w:pPr>
        <w:spacing w:after="0" w:line="127" w:lineRule="exact"/>
        <w:rPr>
          <w:sz w:val="20"/>
          <w:szCs w:val="20"/>
          <w:color w:val="auto"/>
        </w:rPr>
      </w:pPr>
    </w:p>
    <w:p>
      <w:pPr>
        <w:ind w:left="1300" w:right="1319"/>
        <w:spacing w:after="0" w:line="239" w:lineRule="auto"/>
        <w:rPr>
          <w:sz w:val="20"/>
          <w:szCs w:val="20"/>
          <w:color w:val="auto"/>
        </w:rPr>
      </w:pPr>
      <w:r>
        <w:rPr>
          <w:rFonts w:ascii="Arial" w:cs="Arial" w:eastAsia="Arial" w:hAnsi="Arial"/>
          <w:sz w:val="14"/>
          <w:szCs w:val="14"/>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 and </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symbols, but we will assert, to the fullest extent under applicable law, our rights or the rights of the applicable licensors to these trademarks, service 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ABOUT THIS PROSPECTUS SUPPLEMENT</w:t>
      </w:r>
    </w:p>
    <w:p>
      <w:pPr>
        <w:spacing w:after="0" w:line="119" w:lineRule="exact"/>
        <w:rPr>
          <w:sz w:val="20"/>
          <w:szCs w:val="20"/>
          <w:color w:val="auto"/>
        </w:rPr>
      </w:pPr>
    </w:p>
    <w:p>
      <w:pPr>
        <w:ind w:left="1300" w:right="1359"/>
        <w:spacing w:after="0" w:line="274" w:lineRule="auto"/>
        <w:rPr>
          <w:sz w:val="20"/>
          <w:szCs w:val="20"/>
          <w:color w:val="auto"/>
        </w:rPr>
      </w:pPr>
      <w:r>
        <w:rPr>
          <w:rFonts w:ascii="Arial" w:cs="Arial" w:eastAsia="Arial" w:hAnsi="Arial"/>
          <w:sz w:val="13"/>
          <w:szCs w:val="13"/>
          <w:color w:val="auto"/>
        </w:rPr>
        <w:t>This prospectus supplement and the accompanying prospectus dated November 2, 2023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w:t>
      </w:r>
    </w:p>
    <w:p>
      <w:pPr>
        <w:spacing w:after="0" w:line="2" w:lineRule="exact"/>
        <w:rPr>
          <w:sz w:val="20"/>
          <w:szCs w:val="20"/>
          <w:color w:val="auto"/>
        </w:rPr>
      </w:pPr>
    </w:p>
    <w:p>
      <w:pPr>
        <w:ind w:left="1300" w:right="1339" w:firstLine="5"/>
        <w:spacing w:after="0" w:line="252" w:lineRule="auto"/>
        <w:tabs>
          <w:tab w:leader="none" w:pos="150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93" w:lineRule="exact"/>
        <w:rPr>
          <w:sz w:val="20"/>
          <w:szCs w:val="20"/>
          <w:color w:val="auto"/>
        </w:rPr>
      </w:pPr>
    </w:p>
    <w:p>
      <w:pPr>
        <w:ind w:left="1300" w:right="1319"/>
        <w:spacing w:after="0" w:line="254" w:lineRule="auto"/>
        <w:rPr>
          <w:sz w:val="20"/>
          <w:szCs w:val="20"/>
          <w:color w:val="auto"/>
        </w:rPr>
      </w:pPr>
      <w:r>
        <w:rPr>
          <w:rFonts w:ascii="Arial" w:cs="Arial" w:eastAsia="Arial" w:hAnsi="Arial"/>
          <w:sz w:val="14"/>
          <w:szCs w:val="14"/>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83" w:lineRule="exact"/>
        <w:rPr>
          <w:sz w:val="20"/>
          <w:szCs w:val="20"/>
          <w:color w:val="auto"/>
        </w:rPr>
      </w:pPr>
    </w:p>
    <w:p>
      <w:pPr>
        <w:ind w:left="1300" w:right="1359"/>
        <w:spacing w:after="0" w:line="262" w:lineRule="auto"/>
        <w:rPr>
          <w:sz w:val="20"/>
          <w:szCs w:val="20"/>
          <w:color w:val="auto"/>
        </w:rPr>
      </w:pPr>
      <w:r>
        <w:rPr>
          <w:rFonts w:ascii="Arial" w:cs="Arial" w:eastAsia="Arial" w:hAnsi="Arial"/>
          <w:sz w:val="14"/>
          <w:szCs w:val="14"/>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86" w:lineRule="exact"/>
        <w:rPr>
          <w:sz w:val="20"/>
          <w:szCs w:val="20"/>
          <w:color w:val="auto"/>
        </w:rPr>
      </w:pPr>
    </w:p>
    <w:p>
      <w:pPr>
        <w:ind w:left="1300" w:right="1579"/>
        <w:spacing w:after="0" w:line="268" w:lineRule="auto"/>
        <w:rPr>
          <w:sz w:val="20"/>
          <w:szCs w:val="20"/>
          <w:color w:val="auto"/>
        </w:rPr>
      </w:pPr>
      <w:r>
        <w:rPr>
          <w:rFonts w:ascii="Arial" w:cs="Arial" w:eastAsia="Arial" w:hAnsi="Arial"/>
          <w:sz w:val="14"/>
          <w:szCs w:val="14"/>
          <w:color w:val="auto"/>
        </w:rPr>
        <w:t>Unless the context requires otherwise or unless otherwise specified, references in this prospectus supplement to “Micron,” “we,” “our,” “us,” and the “Company” refer to Micron Technology, Inc. and our consolidated subsidiaries.</w:t>
      </w:r>
    </w:p>
    <w:p>
      <w:pPr>
        <w:spacing w:after="0" w:line="81" w:lineRule="exact"/>
        <w:rPr>
          <w:sz w:val="20"/>
          <w:szCs w:val="20"/>
          <w:color w:val="auto"/>
        </w:rPr>
      </w:pPr>
    </w:p>
    <w:p>
      <w:pPr>
        <w:ind w:left="1300" w:right="1379"/>
        <w:spacing w:after="0" w:line="255" w:lineRule="auto"/>
        <w:rPr>
          <w:sz w:val="20"/>
          <w:szCs w:val="20"/>
          <w:color w:val="auto"/>
        </w:rPr>
      </w:pPr>
      <w:r>
        <w:rPr>
          <w:rFonts w:ascii="Arial" w:cs="Arial" w:eastAsia="Arial" w:hAnsi="Arial"/>
          <w:sz w:val="14"/>
          <w:szCs w:val="14"/>
          <w:color w:val="auto"/>
        </w:rPr>
        <w:t>We expect that delivery of the notes will be made to investors on or about January 16,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January 16, 2025 will be required, by virtue of the fact that the notes initially settle in T+3, to specify an alternate settlement arrangement to prevent a failed settlement. Purchasers of the notes who wish to trade the notes more than one business day prior to January 16, 2025 should consult their advisors.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320"/>
        <w:spacing w:after="0"/>
        <w:rPr>
          <w:sz w:val="20"/>
          <w:szCs w:val="20"/>
          <w:color w:val="auto"/>
        </w:rPr>
      </w:pPr>
      <w:r>
        <w:rPr>
          <w:rFonts w:ascii="Arial" w:cs="Arial" w:eastAsia="Arial" w:hAnsi="Arial"/>
          <w:sz w:val="31"/>
          <w:szCs w:val="31"/>
          <w:b w:val="1"/>
          <w:bCs w:val="1"/>
          <w:color w:val="auto"/>
        </w:rPr>
        <w:t>SUMMARY</w:t>
      </w:r>
    </w:p>
    <w:p>
      <w:pPr>
        <w:spacing w:after="0" w:line="79" w:lineRule="exact"/>
        <w:rPr>
          <w:sz w:val="20"/>
          <w:szCs w:val="20"/>
          <w:color w:val="auto"/>
        </w:rPr>
      </w:pPr>
    </w:p>
    <w:p>
      <w:pPr>
        <w:ind w:left="1320" w:right="1359"/>
        <w:spacing w:after="0" w:line="254" w:lineRule="auto"/>
        <w:rPr>
          <w:sz w:val="20"/>
          <w:szCs w:val="20"/>
          <w:color w:val="auto"/>
        </w:rPr>
      </w:pPr>
      <w:r>
        <w:rPr>
          <w:rFonts w:ascii="Arial" w:cs="Arial" w:eastAsia="Arial" w:hAnsi="Arial"/>
          <w:sz w:val="14"/>
          <w:szCs w:val="14"/>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fiscal year ended August 29, 2024, our Quarterly Report on Form 10-Q for the fiscal quarter ended November 28, 2024, documents that we subsequently file with the SEC and the financial statements and other information included or incorporated by reference in this prospectus supplement and the accompanying prospectus, before making an investment decision.</w:t>
      </w:r>
    </w:p>
    <w:p>
      <w:pPr>
        <w:spacing w:after="0" w:line="45"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006CB7"/>
        </w:rPr>
        <w:t>Micron Technology, Inc.</w:t>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Overview</w:t>
      </w:r>
    </w:p>
    <w:p>
      <w:pPr>
        <w:spacing w:after="0" w:line="79" w:lineRule="exact"/>
        <w:rPr>
          <w:sz w:val="20"/>
          <w:szCs w:val="20"/>
          <w:color w:val="auto"/>
        </w:rPr>
      </w:pPr>
    </w:p>
    <w:p>
      <w:pPr>
        <w:ind w:left="1320" w:right="1399"/>
        <w:spacing w:after="0" w:line="239" w:lineRule="auto"/>
        <w:rPr>
          <w:sz w:val="20"/>
          <w:szCs w:val="20"/>
          <w:color w:val="auto"/>
        </w:rPr>
      </w:pPr>
      <w:r>
        <w:rPr>
          <w:rFonts w:ascii="Arial" w:cs="Arial" w:eastAsia="Arial" w:hAnsi="Arial"/>
          <w:sz w:val="14"/>
          <w:szCs w:val="14"/>
          <w:color w:val="auto"/>
        </w:rPr>
        <w:t xml:space="preserve">We are an industry leader in innovative memory and storage solutions transforming how the world uses information to enrich life </w:t>
      </w:r>
      <w:r>
        <w:rPr>
          <w:rFonts w:ascii="Arial" w:cs="Arial" w:eastAsia="Arial" w:hAnsi="Arial"/>
          <w:sz w:val="14"/>
          <w:szCs w:val="14"/>
          <w:i w:val="1"/>
          <w:iCs w:val="1"/>
          <w:color w:val="auto"/>
        </w:rPr>
        <w:t>for all</w:t>
      </w:r>
      <w:r>
        <w:rPr>
          <w:rFonts w:ascii="Arial" w:cs="Arial" w:eastAsia="Arial" w:hAnsi="Arial"/>
          <w:sz w:val="14"/>
          <w:szCs w:val="14"/>
          <w:color w:val="auto"/>
        </w:rPr>
        <w:t>. With a relentless focus on our customers, technology leadership, manufacturing, and operational excellence, Micron delivers a rich portfolio of high-performance DRAM, NAND, and NOR memory and storage products through our Micron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Crucial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50" w:lineRule="exact"/>
        <w:rPr>
          <w:sz w:val="20"/>
          <w:szCs w:val="20"/>
          <w:color w:val="auto"/>
        </w:rPr>
      </w:pPr>
    </w:p>
    <w:p>
      <w:pPr>
        <w:ind w:left="1320" w:right="1299"/>
        <w:spacing w:after="0" w:line="253"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56" w:lineRule="exact"/>
        <w:rPr>
          <w:sz w:val="20"/>
          <w:szCs w:val="20"/>
          <w:color w:val="auto"/>
        </w:rPr>
      </w:pPr>
    </w:p>
    <w:p>
      <w:pPr>
        <w:ind w:left="1320" w:right="1399"/>
        <w:spacing w:after="0" w:line="281" w:lineRule="auto"/>
        <w:rPr>
          <w:sz w:val="20"/>
          <w:szCs w:val="20"/>
          <w:color w:val="auto"/>
        </w:rPr>
      </w:pPr>
      <w:r>
        <w:rPr>
          <w:rFonts w:ascii="Arial" w:cs="Arial" w:eastAsia="Arial" w:hAnsi="Arial"/>
          <w:sz w:val="13"/>
          <w:szCs w:val="13"/>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68" w:lineRule="exact"/>
        <w:rPr>
          <w:sz w:val="20"/>
          <w:szCs w:val="20"/>
          <w:color w:val="auto"/>
        </w:rPr>
      </w:pPr>
    </w:p>
    <w:p>
      <w:pPr>
        <w:ind w:left="1320" w:right="1319"/>
        <w:spacing w:after="0" w:line="259" w:lineRule="auto"/>
        <w:rPr>
          <w:sz w:val="20"/>
          <w:szCs w:val="20"/>
          <w:color w:val="auto"/>
        </w:rPr>
      </w:pPr>
      <w:r>
        <w:rPr>
          <w:rFonts w:ascii="Arial" w:cs="Arial" w:eastAsia="Arial" w:hAnsi="Arial"/>
          <w:sz w:val="14"/>
          <w:szCs w:val="14"/>
          <w:color w:val="auto"/>
        </w:rPr>
        <w:t>Concurrently with the pricing of the offering of notes, we intend to issue a notice of redemption to redeem in full our existing 4.975% Senior Notes due 2026 (the “2026 notes” and such redemption, the “2026 notes Redemption”). The 2026 notes Redemption will be contingent on the issuance of the notes contemplated hereby. Nothing contained in this prospectus supplement should be deemed to be an offer to repurchase any 2026 notes.</w:t>
      </w:r>
    </w:p>
    <w:p>
      <w:pPr>
        <w:spacing w:after="0" w:line="47" w:lineRule="exact"/>
        <w:rPr>
          <w:sz w:val="20"/>
          <w:szCs w:val="20"/>
          <w:color w:val="auto"/>
        </w:rPr>
      </w:pPr>
    </w:p>
    <w:p>
      <w:pPr>
        <w:ind w:left="1320" w:right="1399"/>
        <w:spacing w:after="0" w:line="284" w:lineRule="auto"/>
        <w:rPr>
          <w:sz w:val="20"/>
          <w:szCs w:val="20"/>
          <w:color w:val="auto"/>
        </w:rPr>
      </w:pPr>
      <w:r>
        <w:rPr>
          <w:rFonts w:ascii="Arial" w:cs="Arial" w:eastAsia="Arial" w:hAnsi="Arial"/>
          <w:sz w:val="13"/>
          <w:szCs w:val="13"/>
          <w:color w:val="auto"/>
        </w:rPr>
        <w:t>We currently anticipate raising up to $1.9 billion in aggregate principal amount through the borrowing of one or more new term loans during our current fiscal quarter to refinance our existing term loans. There can be no assurance that any additional financing following the consummation of this offering will be available to us on commercially reasonable terms or at all, or that we will choose to consummate such term loan financing, and the actual amount and terms of any additional financing will be subject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779"/>
        <w:spacing w:after="0" w:line="286" w:lineRule="auto"/>
        <w:rPr>
          <w:sz w:val="20"/>
          <w:szCs w:val="20"/>
          <w:color w:val="auto"/>
        </w:rPr>
      </w:pPr>
      <w:r>
        <w:rPr>
          <w:rFonts w:ascii="Arial" w:cs="Arial" w:eastAsia="Arial" w:hAnsi="Arial"/>
          <w:sz w:val="14"/>
          <w:szCs w:val="14"/>
          <w:color w:val="auto"/>
        </w:rPr>
        <w:t>to prevailing market conditions and other considerations. The consummation of this offering is not contingent on consummation of any additional financing.</w:t>
      </w:r>
    </w:p>
    <w:p>
      <w:pPr>
        <w:spacing w:after="0" w:line="69" w:lineRule="exact"/>
        <w:rPr>
          <w:sz w:val="20"/>
          <w:szCs w:val="20"/>
          <w:color w:val="auto"/>
        </w:rPr>
      </w:pPr>
    </w:p>
    <w:p>
      <w:pPr>
        <w:ind w:left="1320" w:right="1359"/>
        <w:spacing w:after="0" w:line="256" w:lineRule="auto"/>
        <w:rPr>
          <w:sz w:val="20"/>
          <w:szCs w:val="20"/>
          <w:color w:val="auto"/>
        </w:rPr>
      </w:pPr>
      <w:r>
        <w:rPr>
          <w:rFonts w:ascii="Arial" w:cs="Arial" w:eastAsia="Arial" w:hAnsi="Arial"/>
          <w:sz w:val="14"/>
          <w:szCs w:val="14"/>
          <w:color w:val="auto"/>
        </w:rPr>
        <w:t>On January 9, 2025, a complaint was filed against us, our Chief Executive Officer and our Chief Financial Officer in the US District Court for the Southern District of Florida. The lawsuit purports to be brought on behalf of a class of purchasers of our stock during the period from September 28, 2023 through December 18, 2024. The complaint alleges that statements made by the defendants regarding demand for our products, especially NAND products, were false and misleading and in violation of securities laws. The complaint seeks to recover damages, fees, interest, costs, and other appropriate relief. We are unable to predict the outcome of these matters and therefore cannot estimate the range of possible loss.</w:t>
      </w:r>
    </w:p>
    <w:p>
      <w:pPr>
        <w:spacing w:after="0" w:line="373" w:lineRule="exact"/>
        <w:rPr>
          <w:sz w:val="20"/>
          <w:szCs w:val="20"/>
          <w:color w:val="auto"/>
        </w:rPr>
      </w:pPr>
    </w:p>
    <w:p>
      <w:pPr>
        <w:ind w:left="1320" w:right="1319"/>
        <w:spacing w:after="0" w:line="259" w:lineRule="auto"/>
        <w:rPr>
          <w:sz w:val="20"/>
          <w:szCs w:val="20"/>
          <w:color w:val="auto"/>
        </w:rPr>
      </w:pPr>
      <w:r>
        <w:rPr>
          <w:rFonts w:ascii="Arial" w:cs="Arial" w:eastAsia="Arial" w:hAnsi="Arial"/>
          <w:sz w:val="14"/>
          <w:szCs w:val="14"/>
          <w:color w:val="auto"/>
        </w:rPr>
        <w:t>Our executive offices are located at 8000 South Federal Way, Boise, Idaho 83716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59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02125" cy="625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006CB7"/>
        </w:rPr>
        <w:t>The Offering</w:t>
      </w:r>
    </w:p>
    <w:p>
      <w:pPr>
        <w:spacing w:after="0" w:line="129" w:lineRule="exact"/>
        <w:rPr>
          <w:sz w:val="20"/>
          <w:szCs w:val="20"/>
          <w:color w:val="auto"/>
        </w:rPr>
      </w:pPr>
    </w:p>
    <w:p>
      <w:pPr>
        <w:ind w:left="1320" w:right="1339"/>
        <w:spacing w:after="0" w:line="244" w:lineRule="auto"/>
        <w:rPr>
          <w:sz w:val="20"/>
          <w:szCs w:val="20"/>
          <w:color w:val="auto"/>
        </w:rPr>
      </w:pPr>
      <w:r>
        <w:rPr>
          <w:rFonts w:ascii="Arial" w:cs="Arial" w:eastAsia="Arial" w:hAnsi="Arial"/>
          <w:sz w:val="14"/>
          <w:szCs w:val="14"/>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68" w:lineRule="exact"/>
        <w:rPr>
          <w:sz w:val="20"/>
          <w:szCs w:val="20"/>
          <w:color w:val="auto"/>
        </w:rPr>
      </w:pPr>
    </w:p>
    <w:p>
      <w:pPr>
        <w:ind w:left="1320"/>
        <w:spacing w:after="0"/>
        <w:tabs>
          <w:tab w:leader="none" w:pos="3660" w:val="left"/>
        </w:tabs>
        <w:rPr>
          <w:sz w:val="20"/>
          <w:szCs w:val="20"/>
          <w:color w:val="auto"/>
        </w:rPr>
      </w:pPr>
      <w:r>
        <w:rPr>
          <w:rFonts w:ascii="Arial" w:cs="Arial" w:eastAsia="Arial" w:hAnsi="Arial"/>
          <w:sz w:val="14"/>
          <w:szCs w:val="14"/>
          <w:color w:val="auto"/>
        </w:rPr>
        <w:t>Issuer</w:t>
      </w:r>
      <w:r>
        <w:rPr>
          <w:sz w:val="20"/>
          <w:szCs w:val="20"/>
          <w:color w:val="auto"/>
        </w:rPr>
        <w:tab/>
      </w:r>
      <w:r>
        <w:rPr>
          <w:rFonts w:ascii="Arial" w:cs="Arial" w:eastAsia="Arial" w:hAnsi="Arial"/>
          <w:sz w:val="14"/>
          <w:szCs w:val="14"/>
          <w:color w:val="auto"/>
        </w:rPr>
        <w:t>Micron Technology, Inc.</w:t>
      </w:r>
    </w:p>
    <w:p>
      <w:pPr>
        <w:spacing w:after="0" w:line="92" w:lineRule="exact"/>
        <w:rPr>
          <w:sz w:val="20"/>
          <w:szCs w:val="20"/>
          <w:color w:val="auto"/>
        </w:rPr>
      </w:pPr>
    </w:p>
    <w:p>
      <w:pPr>
        <w:ind w:left="1320"/>
        <w:spacing w:after="0"/>
        <w:tabs>
          <w:tab w:leader="none" w:pos="3660" w:val="left"/>
        </w:tabs>
        <w:rPr>
          <w:sz w:val="20"/>
          <w:szCs w:val="20"/>
          <w:color w:val="auto"/>
        </w:rPr>
      </w:pPr>
      <w:r>
        <w:rPr>
          <w:rFonts w:ascii="Arial" w:cs="Arial" w:eastAsia="Arial" w:hAnsi="Arial"/>
          <w:sz w:val="14"/>
          <w:szCs w:val="14"/>
          <w:color w:val="auto"/>
        </w:rPr>
        <w:t>Securities Offered</w:t>
      </w:r>
      <w:r>
        <w:rPr>
          <w:sz w:val="20"/>
          <w:szCs w:val="20"/>
          <w:color w:val="auto"/>
        </w:rPr>
        <w:tab/>
      </w:r>
      <w:r>
        <w:rPr>
          <w:rFonts w:ascii="Arial" w:cs="Arial" w:eastAsia="Arial" w:hAnsi="Arial"/>
          <w:sz w:val="13"/>
          <w:szCs w:val="13"/>
          <w:color w:val="auto"/>
        </w:rPr>
        <w:t>$1,000,000,000 aggregate principal amount of 5.80% Senior</w:t>
      </w:r>
    </w:p>
    <w:p>
      <w:pPr>
        <w:spacing w:after="0" w:line="11"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Notes due 2035.</w:t>
      </w:r>
    </w:p>
    <w:p>
      <w:pPr>
        <w:spacing w:after="0" w:line="67" w:lineRule="exact"/>
        <w:rPr>
          <w:sz w:val="20"/>
          <w:szCs w:val="20"/>
          <w:color w:val="auto"/>
        </w:rPr>
      </w:pPr>
    </w:p>
    <w:p>
      <w:pPr>
        <w:ind w:left="1320"/>
        <w:spacing w:after="0"/>
        <w:tabs>
          <w:tab w:leader="none" w:pos="3660" w:val="left"/>
        </w:tabs>
        <w:rPr>
          <w:sz w:val="20"/>
          <w:szCs w:val="20"/>
          <w:color w:val="auto"/>
        </w:rPr>
      </w:pPr>
      <w:r>
        <w:rPr>
          <w:rFonts w:ascii="Arial" w:cs="Arial" w:eastAsia="Arial" w:hAnsi="Arial"/>
          <w:sz w:val="14"/>
          <w:szCs w:val="14"/>
          <w:color w:val="auto"/>
        </w:rPr>
        <w:t>Maturity</w:t>
      </w:r>
      <w:r>
        <w:rPr>
          <w:sz w:val="20"/>
          <w:szCs w:val="20"/>
          <w:color w:val="auto"/>
        </w:rPr>
        <w:tab/>
      </w:r>
      <w:r>
        <w:rPr>
          <w:rFonts w:ascii="Arial" w:cs="Arial" w:eastAsia="Arial" w:hAnsi="Arial"/>
          <w:sz w:val="14"/>
          <w:szCs w:val="14"/>
          <w:color w:val="auto"/>
        </w:rPr>
        <w:t>The notes will mature on January 15, 2035.</w:t>
      </w:r>
    </w:p>
    <w:p>
      <w:pPr>
        <w:spacing w:after="0" w:line="92" w:lineRule="exact"/>
        <w:rPr>
          <w:sz w:val="20"/>
          <w:szCs w:val="20"/>
          <w:color w:val="auto"/>
        </w:rPr>
      </w:pPr>
    </w:p>
    <w:p>
      <w:pPr>
        <w:ind w:left="1320"/>
        <w:spacing w:after="0"/>
        <w:tabs>
          <w:tab w:leader="none" w:pos="3660" w:val="left"/>
        </w:tabs>
        <w:rPr>
          <w:sz w:val="20"/>
          <w:szCs w:val="20"/>
          <w:color w:val="auto"/>
        </w:rPr>
      </w:pPr>
      <w:r>
        <w:rPr>
          <w:rFonts w:ascii="Arial" w:cs="Arial" w:eastAsia="Arial" w:hAnsi="Arial"/>
          <w:sz w:val="14"/>
          <w:szCs w:val="14"/>
          <w:color w:val="auto"/>
        </w:rPr>
        <w:t>Interest and Payment Dates</w:t>
      </w:r>
      <w:r>
        <w:rPr>
          <w:sz w:val="20"/>
          <w:szCs w:val="20"/>
          <w:color w:val="auto"/>
        </w:rPr>
        <w:tab/>
      </w:r>
      <w:r>
        <w:rPr>
          <w:rFonts w:ascii="Arial" w:cs="Arial" w:eastAsia="Arial" w:hAnsi="Arial"/>
          <w:sz w:val="13"/>
          <w:szCs w:val="13"/>
          <w:color w:val="auto"/>
        </w:rPr>
        <w:t>5.80% per year on the principal amount of the notes. Interest is</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payable on the notes on January 15 and July 15 of each year</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after the date of issuance, commencing July 15, 2025. Interest on</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the notes will accrue from January 16, 2025.</w:t>
      </w:r>
    </w:p>
    <w:p>
      <w:pPr>
        <w:spacing w:after="0" w:line="78" w:lineRule="exact"/>
        <w:rPr>
          <w:sz w:val="20"/>
          <w:szCs w:val="20"/>
          <w:color w:val="auto"/>
        </w:rPr>
      </w:pPr>
    </w:p>
    <w:p>
      <w:pPr>
        <w:ind w:left="1320"/>
        <w:spacing w:after="0"/>
        <w:tabs>
          <w:tab w:leader="none" w:pos="3660" w:val="left"/>
        </w:tabs>
        <w:rPr>
          <w:sz w:val="20"/>
          <w:szCs w:val="20"/>
          <w:color w:val="auto"/>
        </w:rPr>
      </w:pPr>
      <w:r>
        <w:rPr>
          <w:rFonts w:ascii="Arial" w:cs="Arial" w:eastAsia="Arial" w:hAnsi="Arial"/>
          <w:sz w:val="14"/>
          <w:szCs w:val="14"/>
          <w:color w:val="auto"/>
        </w:rPr>
        <w:t>Ranking of the Notes</w:t>
      </w:r>
      <w:r>
        <w:rPr>
          <w:sz w:val="20"/>
          <w:szCs w:val="20"/>
          <w:color w:val="auto"/>
        </w:rPr>
        <w:tab/>
      </w:r>
      <w:r>
        <w:rPr>
          <w:rFonts w:ascii="Arial" w:cs="Arial" w:eastAsia="Arial" w:hAnsi="Arial"/>
          <w:sz w:val="13"/>
          <w:szCs w:val="13"/>
          <w:color w:val="auto"/>
        </w:rPr>
        <w:t>The notes will be senior unsecured obligations and will rank</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equally with all of our other existing and future unsecured and</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unsubordinated indebtedness from time to time outstanding.</w:t>
      </w:r>
    </w:p>
    <w:p>
      <w:pPr>
        <w:spacing w:after="0" w:line="10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As of November 28, 2024:</w:t>
      </w:r>
    </w:p>
    <w:p>
      <w:pPr>
        <w:spacing w:after="0" w:line="113" w:lineRule="exact"/>
        <w:rPr>
          <w:sz w:val="20"/>
          <w:szCs w:val="20"/>
          <w:color w:val="auto"/>
        </w:rPr>
      </w:pPr>
    </w:p>
    <w:p>
      <w:pPr>
        <w:ind w:left="3680"/>
        <w:spacing w:after="0"/>
        <w:tabs>
          <w:tab w:leader="none" w:pos="39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we had approximately $11.5 billion aggregate principal</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amount of indebtedness; and</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Sinking Fund</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60" w:hanging="139"/>
        <w:spacing w:after="0" w:line="268" w:lineRule="auto"/>
        <w:rPr>
          <w:sz w:val="20"/>
          <w:szCs w:val="20"/>
          <w:color w:val="auto"/>
        </w:rPr>
      </w:pPr>
      <w:r>
        <w:rPr>
          <w:rFonts w:ascii="Arial" w:cs="Arial" w:eastAsia="Arial" w:hAnsi="Arial"/>
          <w:sz w:val="14"/>
          <w:szCs w:val="14"/>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84" w:right="1399" w:hanging="284"/>
        <w:spacing w:after="0" w:line="256"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$10.7 billion, all of which will be structurally senior to the notes with respect to claims on the assets and cash flows of our subsidiaries.</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4"/>
          <w:szCs w:val="14"/>
          <w:color w:val="auto"/>
        </w:rPr>
        <w:t>None.</w:t>
      </w:r>
    </w:p>
    <w:p>
      <w:pPr>
        <w:spacing w:after="0" w:line="92" w:lineRule="exact"/>
        <w:rPr>
          <w:sz w:val="20"/>
          <w:szCs w:val="20"/>
          <w:color w:val="auto"/>
        </w:rPr>
      </w:pPr>
    </w:p>
    <w:p>
      <w:pPr>
        <w:ind w:left="4" w:right="1319"/>
        <w:spacing w:after="0" w:line="254" w:lineRule="auto"/>
        <w:rPr>
          <w:sz w:val="20"/>
          <w:szCs w:val="20"/>
          <w:color w:val="auto"/>
        </w:rPr>
      </w:pPr>
      <w:r>
        <w:rPr>
          <w:rFonts w:ascii="Arial" w:cs="Arial" w:eastAsia="Arial" w:hAnsi="Arial"/>
          <w:sz w:val="14"/>
          <w:szCs w:val="14"/>
          <w:color w:val="auto"/>
        </w:rPr>
        <w:t>The notes will be redeemable at our option, in whole or in part, at any time and from time to time at a redemption price for the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 October 15, 2034 (three months prior to the maturity date of the notes), we may redeem the notes at a redemption price equal to 100% of the principal amount thereof plus accrued and unpaid interest to, but excluding, the date of redemption. See “Description of the Notes — Optional Redemption.”</w:t>
      </w:r>
    </w:p>
    <w:p>
      <w:pPr>
        <w:spacing w:after="0" w:line="396" w:lineRule="exact"/>
        <w:rPr>
          <w:sz w:val="20"/>
          <w:szCs w:val="20"/>
          <w:color w:val="auto"/>
        </w:rPr>
      </w:pPr>
    </w:p>
    <w:p>
      <w:pPr>
        <w:ind w:left="4" w:right="1299"/>
        <w:spacing w:after="0" w:line="259" w:lineRule="auto"/>
        <w:rPr>
          <w:sz w:val="20"/>
          <w:szCs w:val="20"/>
          <w:color w:val="auto"/>
        </w:rPr>
      </w:pPr>
      <w:r>
        <w:rPr>
          <w:rFonts w:ascii="Arial" w:cs="Arial" w:eastAsia="Arial" w:hAnsi="Arial"/>
          <w:sz w:val="14"/>
          <w:szCs w:val="14"/>
          <w:color w:val="auto"/>
        </w:rPr>
        <w:t>Upon the occurrence of a Change of Control Triggering Event (as defined elsewhere in this prospectus supplement), we will be required to make an offer to purchase the notes at a price equal to 101% of their principal amount plus accrued and unpaid interest to, but excluding, the date of purchase. See “Description</w:t>
      </w:r>
    </w:p>
    <w:p>
      <w:pPr>
        <w:spacing w:after="0" w:line="200" w:lineRule="exact"/>
        <w:rPr>
          <w:sz w:val="20"/>
          <w:szCs w:val="20"/>
          <w:color w:val="auto"/>
        </w:rPr>
      </w:pPr>
    </w:p>
    <w:p>
      <w:pPr>
        <w:sectPr>
          <w:pgSz w:w="11900" w:h="16838" w:orient="portrait"/>
          <w:cols w:equalWidth="0" w:num="2">
            <w:col w:w="3260" w:space="416"/>
            <w:col w:w="5343"/>
          </w:cols>
          <w:pgMar w:left="1440" w:top="107" w:right="1440" w:bottom="1440" w:gutter="0" w:footer="0" w:header="0"/>
          <w:type w:val="continuous"/>
        </w:sectPr>
      </w:pP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 w:name="page9"/>
    <w:bookmarkEnd w:id="8"/>
    <w:p>
      <w:pPr>
        <w:ind w:left="320"/>
        <w:spacing w:after="0"/>
        <w:rPr>
          <w:sz w:val="20"/>
          <w:szCs w:val="20"/>
          <w:color w:val="auto"/>
        </w:rPr>
      </w:pPr>
      <w:r>
        <w:rPr>
          <w:rFonts w:ascii="Calibri" w:cs="Calibri" w:eastAsia="Calibri" w:hAnsi="Calibri"/>
          <w:sz w:val="11"/>
          <w:szCs w:val="11"/>
          <w:color w:val="003366"/>
        </w:rPr>
        <w:t>TABLE OF CONTENTS</w:t>
      </w:r>
    </w:p>
    <w:p>
      <w:pPr>
        <w:spacing w:after="0" w:line="379" w:lineRule="exact"/>
        <w:rPr>
          <w:sz w:val="20"/>
          <w:szCs w:val="20"/>
          <w:color w:val="auto"/>
        </w:rPr>
      </w:pPr>
    </w:p>
    <w:tbl>
      <w:tblPr>
        <w:tblLayout w:type="fixed"/>
        <w:tblInd w:w="320" w:type="dxa"/>
        <w:tblCellMar>
          <w:top w:w="0" w:type="dxa"/>
          <w:left w:w="0" w:type="dxa"/>
          <w:bottom w:w="0" w:type="dxa"/>
          <w:right w:w="0" w:type="dxa"/>
        </w:tblCellMar>
      </w:tblPr>
      <w:tr>
        <w:trPr>
          <w:trHeight w:val="411"/>
        </w:trPr>
        <w:tc>
          <w:tcPr>
            <w:tcW w:w="840" w:type="dxa"/>
            <w:vAlign w:val="bottom"/>
            <w:tcBorders>
              <w:right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14"/>
                <w:szCs w:val="14"/>
                <w:color w:val="auto"/>
              </w:rPr>
              <w:t>of the Notes — Repurchase of Notes Upon a Change of Control</w:t>
            </w:r>
          </w:p>
        </w:tc>
        <w:tc>
          <w:tcPr>
            <w:tcW w:w="780" w:type="dxa"/>
            <w:vAlign w:val="bottom"/>
          </w:tcPr>
          <w:p>
            <w:pPr>
              <w:spacing w:after="0"/>
              <w:rPr>
                <w:sz w:val="24"/>
                <w:szCs w:val="2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Triggering Event.”</w:t>
            </w:r>
          </w:p>
        </w:tc>
        <w:tc>
          <w:tcPr>
            <w:tcW w:w="780" w:type="dxa"/>
            <w:vAlign w:val="bottom"/>
          </w:tcPr>
          <w:p>
            <w:pPr>
              <w:spacing w:after="0"/>
              <w:rPr>
                <w:sz w:val="16"/>
                <w:szCs w:val="16"/>
                <w:color w:val="auto"/>
              </w:rPr>
            </w:pPr>
          </w:p>
        </w:tc>
      </w:tr>
      <w:tr>
        <w:trPr>
          <w:trHeight w:val="236"/>
        </w:trPr>
        <w:tc>
          <w:tcPr>
            <w:tcW w:w="840" w:type="dxa"/>
            <w:vAlign w:val="bottom"/>
            <w:tcBorders>
              <w:right w:val="single" w:sz="8" w:color="auto"/>
            </w:tcBorders>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Certain Covenants</w:t>
            </w: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 indenture that will govern the notes contains covenants that,</w:t>
            </w:r>
          </w:p>
        </w:tc>
        <w:tc>
          <w:tcPr>
            <w:tcW w:w="780" w:type="dxa"/>
            <w:vAlign w:val="bottom"/>
          </w:tcPr>
          <w:p>
            <w:pPr>
              <w:spacing w:after="0"/>
              <w:rPr>
                <w:sz w:val="20"/>
                <w:szCs w:val="20"/>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subject to significant exceptions, limit our ability and/or the ability</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of our restricted subsidiaries (which are generally domestic</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subsidiaries in which we own at least 80% of the voting stock and</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which own Principal Property (as defined herein)) to:</w:t>
            </w:r>
          </w:p>
        </w:tc>
        <w:tc>
          <w:tcPr>
            <w:tcW w:w="780" w:type="dxa"/>
            <w:vAlign w:val="bottom"/>
          </w:tcPr>
          <w:p>
            <w:pPr>
              <w:spacing w:after="0"/>
              <w:rPr>
                <w:sz w:val="16"/>
                <w:szCs w:val="16"/>
                <w:color w:val="auto"/>
              </w:rPr>
            </w:pPr>
          </w:p>
        </w:tc>
      </w:tr>
      <w:tr>
        <w:trPr>
          <w:trHeight w:val="257"/>
        </w:trPr>
        <w:tc>
          <w:tcPr>
            <w:tcW w:w="840" w:type="dxa"/>
            <w:vAlign w:val="bottom"/>
            <w:tcBorders>
              <w:right w:val="single" w:sz="8" w:color="auto"/>
            </w:tcBorders>
          </w:tcPr>
          <w:p>
            <w:pPr>
              <w:spacing w:after="0"/>
              <w:rPr>
                <w:sz w:val="22"/>
                <w:szCs w:val="22"/>
                <w:color w:val="auto"/>
              </w:rPr>
            </w:pPr>
          </w:p>
        </w:tc>
        <w:tc>
          <w:tcPr>
            <w:tcW w:w="2160" w:type="dxa"/>
            <w:vAlign w:val="bottom"/>
          </w:tcPr>
          <w:p>
            <w:pPr>
              <w:spacing w:after="0"/>
              <w:rPr>
                <w:sz w:val="22"/>
                <w:szCs w:val="22"/>
                <w:color w:val="auto"/>
              </w:rPr>
            </w:pP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40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create or incur certain liens on Principal Property owned by</w:t>
            </w:r>
          </w:p>
        </w:tc>
        <w:tc>
          <w:tcPr>
            <w:tcW w:w="780" w:type="dxa"/>
            <w:vAlign w:val="bottom"/>
          </w:tcPr>
          <w:p>
            <w:pPr>
              <w:spacing w:after="0"/>
              <w:rPr>
                <w:sz w:val="22"/>
                <w:szCs w:val="22"/>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us or a Restricted Subsidiary and shares of capital stock of</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any restricted subsidiary and enter into sale and lease-back</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transactions with respect to Principal Property; and</w:t>
            </w:r>
          </w:p>
        </w:tc>
        <w:tc>
          <w:tcPr>
            <w:tcW w:w="780" w:type="dxa"/>
            <w:vAlign w:val="bottom"/>
          </w:tcPr>
          <w:p>
            <w:pPr>
              <w:spacing w:after="0"/>
              <w:rPr>
                <w:sz w:val="16"/>
                <w:szCs w:val="16"/>
                <w:color w:val="auto"/>
              </w:rPr>
            </w:pPr>
          </w:p>
        </w:tc>
      </w:tr>
      <w:tr>
        <w:trPr>
          <w:trHeight w:val="246"/>
        </w:trPr>
        <w:tc>
          <w:tcPr>
            <w:tcW w:w="840" w:type="dxa"/>
            <w:vAlign w:val="bottom"/>
            <w:tcBorders>
              <w:right w:val="single" w:sz="8" w:color="auto"/>
            </w:tcBorders>
          </w:tcPr>
          <w:p>
            <w:pPr>
              <w:spacing w:after="0"/>
              <w:rPr>
                <w:sz w:val="21"/>
                <w:szCs w:val="21"/>
                <w:color w:val="auto"/>
              </w:rPr>
            </w:pPr>
          </w:p>
        </w:tc>
        <w:tc>
          <w:tcPr>
            <w:tcW w:w="2160" w:type="dxa"/>
            <w:vAlign w:val="bottom"/>
          </w:tcPr>
          <w:p>
            <w:pPr>
              <w:spacing w:after="0"/>
              <w:rPr>
                <w:sz w:val="21"/>
                <w:szCs w:val="21"/>
                <w:color w:val="auto"/>
              </w:rPr>
            </w:pP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40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consolidate with or merge with or into, or convey, transfer or</w:t>
            </w:r>
          </w:p>
        </w:tc>
        <w:tc>
          <w:tcPr>
            <w:tcW w:w="780" w:type="dxa"/>
            <w:vAlign w:val="bottom"/>
          </w:tcPr>
          <w:p>
            <w:pPr>
              <w:spacing w:after="0"/>
              <w:rPr>
                <w:sz w:val="21"/>
                <w:szCs w:val="21"/>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lease all or substantially all of our assets, to another person.</w:t>
            </w:r>
          </w:p>
        </w:tc>
        <w:tc>
          <w:tcPr>
            <w:tcW w:w="780" w:type="dxa"/>
            <w:vAlign w:val="bottom"/>
          </w:tcPr>
          <w:p>
            <w:pPr>
              <w:spacing w:after="0"/>
              <w:rPr>
                <w:sz w:val="16"/>
                <w:szCs w:val="16"/>
                <w:color w:val="auto"/>
              </w:rPr>
            </w:pPr>
          </w:p>
        </w:tc>
      </w:tr>
      <w:tr>
        <w:trPr>
          <w:trHeight w:val="257"/>
        </w:trPr>
        <w:tc>
          <w:tcPr>
            <w:tcW w:w="840" w:type="dxa"/>
            <w:vAlign w:val="bottom"/>
            <w:tcBorders>
              <w:right w:val="single" w:sz="8" w:color="auto"/>
            </w:tcBorders>
          </w:tcPr>
          <w:p>
            <w:pPr>
              <w:spacing w:after="0"/>
              <w:rPr>
                <w:sz w:val="22"/>
                <w:szCs w:val="22"/>
                <w:color w:val="auto"/>
              </w:rPr>
            </w:pPr>
          </w:p>
        </w:tc>
        <w:tc>
          <w:tcPr>
            <w:tcW w:w="2160" w:type="dxa"/>
            <w:vAlign w:val="bottom"/>
          </w:tcPr>
          <w:p>
            <w:pPr>
              <w:spacing w:after="0"/>
              <w:rPr>
                <w:sz w:val="22"/>
                <w:szCs w:val="22"/>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These covenants are subject to a number of important limitations</w:t>
            </w:r>
          </w:p>
        </w:tc>
        <w:tc>
          <w:tcPr>
            <w:tcW w:w="780" w:type="dxa"/>
            <w:vAlign w:val="bottom"/>
          </w:tcPr>
          <w:p>
            <w:pPr>
              <w:spacing w:after="0"/>
              <w:rPr>
                <w:sz w:val="22"/>
                <w:szCs w:val="22"/>
                <w:color w:val="auto"/>
              </w:rPr>
            </w:pPr>
          </w:p>
        </w:tc>
      </w:tr>
      <w:tr>
        <w:trPr>
          <w:trHeight w:val="158"/>
        </w:trPr>
        <w:tc>
          <w:tcPr>
            <w:tcW w:w="840" w:type="dxa"/>
            <w:vAlign w:val="bottom"/>
            <w:tcBorders>
              <w:right w:val="single" w:sz="8" w:color="auto"/>
            </w:tcBorders>
          </w:tcPr>
          <w:p>
            <w:pPr>
              <w:spacing w:after="0"/>
              <w:rPr>
                <w:sz w:val="13"/>
                <w:szCs w:val="13"/>
                <w:color w:val="auto"/>
              </w:rPr>
            </w:pPr>
          </w:p>
        </w:tc>
        <w:tc>
          <w:tcPr>
            <w:tcW w:w="2160" w:type="dxa"/>
            <w:vAlign w:val="bottom"/>
          </w:tcPr>
          <w:p>
            <w:pPr>
              <w:spacing w:after="0"/>
              <w:rPr>
                <w:sz w:val="13"/>
                <w:szCs w:val="13"/>
                <w:color w:val="auto"/>
              </w:rPr>
            </w:pPr>
          </w:p>
        </w:tc>
        <w:tc>
          <w:tcPr>
            <w:tcW w:w="4580" w:type="dxa"/>
            <w:vAlign w:val="bottom"/>
            <w:tcBorders>
              <w:right w:val="single" w:sz="8" w:color="auto"/>
            </w:tcBorders>
            <w:gridSpan w:val="2"/>
          </w:tcPr>
          <w:p>
            <w:pPr>
              <w:ind w:left="360"/>
              <w:spacing w:after="0" w:line="158" w:lineRule="exact"/>
              <w:rPr>
                <w:sz w:val="20"/>
                <w:szCs w:val="20"/>
                <w:color w:val="auto"/>
              </w:rPr>
            </w:pPr>
            <w:r>
              <w:rPr>
                <w:rFonts w:ascii="Arial" w:cs="Arial" w:eastAsia="Arial" w:hAnsi="Arial"/>
                <w:sz w:val="14"/>
                <w:szCs w:val="14"/>
                <w:color w:val="auto"/>
              </w:rPr>
              <w:t>and exceptions as described under “Description of the Notes</w:t>
            </w:r>
          </w:p>
        </w:tc>
        <w:tc>
          <w:tcPr>
            <w:tcW w:w="780" w:type="dxa"/>
            <w:vAlign w:val="bottom"/>
          </w:tcPr>
          <w:p>
            <w:pPr>
              <w:spacing w:after="0"/>
              <w:rPr>
                <w:sz w:val="13"/>
                <w:szCs w:val="13"/>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Certain Covenants.”</w:t>
            </w:r>
          </w:p>
        </w:tc>
        <w:tc>
          <w:tcPr>
            <w:tcW w:w="780" w:type="dxa"/>
            <w:vAlign w:val="bottom"/>
          </w:tcPr>
          <w:p>
            <w:pPr>
              <w:spacing w:after="0"/>
              <w:rPr>
                <w:sz w:val="16"/>
                <w:szCs w:val="16"/>
                <w:color w:val="auto"/>
              </w:rPr>
            </w:pPr>
          </w:p>
        </w:tc>
      </w:tr>
      <w:tr>
        <w:trPr>
          <w:trHeight w:val="225"/>
        </w:trPr>
        <w:tc>
          <w:tcPr>
            <w:tcW w:w="840" w:type="dxa"/>
            <w:vAlign w:val="bottom"/>
            <w:tcBorders>
              <w:right w:val="single" w:sz="8" w:color="auto"/>
            </w:tcBorders>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No Prior Market; No Listing</w:t>
            </w: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 notes will be a new issue of securities for which there is</w:t>
            </w:r>
          </w:p>
        </w:tc>
        <w:tc>
          <w:tcPr>
            <w:tcW w:w="780" w:type="dxa"/>
            <w:vAlign w:val="bottom"/>
          </w:tcPr>
          <w:p>
            <w:pPr>
              <w:spacing w:after="0"/>
              <w:rPr>
                <w:sz w:val="19"/>
                <w:szCs w:val="19"/>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currently no established public market. Although the underwriters</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have informed us that they intend to make a market in the notes,</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they are not obligated to do so and may discontinue market-</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making with respect to the notes at any time without notice.</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Accordingly, a liquid market for the notes may not develop or be</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maintained. See “Risk Factors — Risks Related to the Notes —</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Your ability to transfer the notes may be limited by the absence of</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an active trading market, and an active trading market may not</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develop for the notes.”</w:t>
            </w:r>
          </w:p>
        </w:tc>
        <w:tc>
          <w:tcPr>
            <w:tcW w:w="780" w:type="dxa"/>
            <w:vAlign w:val="bottom"/>
          </w:tcPr>
          <w:p>
            <w:pPr>
              <w:spacing w:after="0"/>
              <w:rPr>
                <w:sz w:val="16"/>
                <w:szCs w:val="16"/>
                <w:color w:val="auto"/>
              </w:rPr>
            </w:pPr>
          </w:p>
        </w:tc>
      </w:tr>
      <w:tr>
        <w:trPr>
          <w:trHeight w:val="257"/>
        </w:trPr>
        <w:tc>
          <w:tcPr>
            <w:tcW w:w="840" w:type="dxa"/>
            <w:vAlign w:val="bottom"/>
            <w:tcBorders>
              <w:right w:val="single" w:sz="8" w:color="auto"/>
            </w:tcBorders>
          </w:tcPr>
          <w:p>
            <w:pPr>
              <w:spacing w:after="0"/>
              <w:rPr>
                <w:sz w:val="22"/>
                <w:szCs w:val="22"/>
                <w:color w:val="auto"/>
              </w:rPr>
            </w:pPr>
          </w:p>
        </w:tc>
        <w:tc>
          <w:tcPr>
            <w:tcW w:w="2160" w:type="dxa"/>
            <w:vAlign w:val="bottom"/>
          </w:tcPr>
          <w:p>
            <w:pPr>
              <w:spacing w:after="0"/>
              <w:rPr>
                <w:sz w:val="22"/>
                <w:szCs w:val="22"/>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We do not intend to apply for the listing of the notes on any</w:t>
            </w:r>
          </w:p>
        </w:tc>
        <w:tc>
          <w:tcPr>
            <w:tcW w:w="780" w:type="dxa"/>
            <w:vAlign w:val="bottom"/>
          </w:tcPr>
          <w:p>
            <w:pPr>
              <w:spacing w:after="0"/>
              <w:rPr>
                <w:sz w:val="22"/>
                <w:szCs w:val="22"/>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securities exchange or for the quotation of the notes in any dealer</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quotation system.</w:t>
            </w:r>
          </w:p>
        </w:tc>
        <w:tc>
          <w:tcPr>
            <w:tcW w:w="780" w:type="dxa"/>
            <w:vAlign w:val="bottom"/>
          </w:tcPr>
          <w:p>
            <w:pPr>
              <w:spacing w:after="0"/>
              <w:rPr>
                <w:sz w:val="16"/>
                <w:szCs w:val="16"/>
                <w:color w:val="auto"/>
              </w:rPr>
            </w:pPr>
          </w:p>
        </w:tc>
      </w:tr>
      <w:tr>
        <w:trPr>
          <w:trHeight w:val="225"/>
        </w:trPr>
        <w:tc>
          <w:tcPr>
            <w:tcW w:w="840" w:type="dxa"/>
            <w:vAlign w:val="bottom"/>
            <w:tcBorders>
              <w:right w:val="single" w:sz="8" w:color="auto"/>
            </w:tcBorders>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Use of Proceeds</w:t>
            </w: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We estimate net proceeds from the sale of the notes, after</w:t>
            </w:r>
          </w:p>
        </w:tc>
        <w:tc>
          <w:tcPr>
            <w:tcW w:w="780" w:type="dxa"/>
            <w:vAlign w:val="bottom"/>
          </w:tcPr>
          <w:p>
            <w:pPr>
              <w:spacing w:after="0"/>
              <w:rPr>
                <w:sz w:val="19"/>
                <w:szCs w:val="19"/>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deducting underwriter discounts and other estimated offering</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expenses, will be approximately $992 million. We intend to use</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 net proceeds from the sale of the notes to pay the redemption</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price of the 2026 notes Redemption and any remainder of the net</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proceeds for general corporate purposes, which may include the</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repayment of other indebtedness. See “Use of Proceeds.”</w:t>
            </w:r>
          </w:p>
        </w:tc>
        <w:tc>
          <w:tcPr>
            <w:tcW w:w="780" w:type="dxa"/>
            <w:vAlign w:val="bottom"/>
          </w:tcPr>
          <w:p>
            <w:pPr>
              <w:spacing w:after="0"/>
              <w:rPr>
                <w:sz w:val="16"/>
                <w:szCs w:val="16"/>
                <w:color w:val="auto"/>
              </w:rPr>
            </w:pPr>
          </w:p>
        </w:tc>
      </w:tr>
      <w:tr>
        <w:trPr>
          <w:trHeight w:val="236"/>
        </w:trPr>
        <w:tc>
          <w:tcPr>
            <w:tcW w:w="840" w:type="dxa"/>
            <w:vAlign w:val="bottom"/>
            <w:tcBorders>
              <w:right w:val="single" w:sz="8" w:color="auto"/>
            </w:tcBorders>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Risk Factors</w:t>
            </w: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You should carefully consider all of the information set forth in this</w:t>
            </w:r>
          </w:p>
        </w:tc>
        <w:tc>
          <w:tcPr>
            <w:tcW w:w="780" w:type="dxa"/>
            <w:vAlign w:val="bottom"/>
          </w:tcPr>
          <w:p>
            <w:pPr>
              <w:spacing w:after="0"/>
              <w:rPr>
                <w:sz w:val="20"/>
                <w:szCs w:val="20"/>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prospectus supplement and the accompanying prospectus and</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 documents, including the information incorporated by</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reference, and, in particular, should evaluate the specific factors</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set forth in this prospectus supplement under “Risk Factors” for an</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explanation of certain risks you should consider before investing</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in the notes.</w:t>
            </w:r>
          </w:p>
        </w:tc>
        <w:tc>
          <w:tcPr>
            <w:tcW w:w="780" w:type="dxa"/>
            <w:vAlign w:val="bottom"/>
          </w:tcPr>
          <w:p>
            <w:pPr>
              <w:spacing w:after="0"/>
              <w:rPr>
                <w:sz w:val="16"/>
                <w:szCs w:val="16"/>
                <w:color w:val="auto"/>
              </w:rPr>
            </w:pPr>
          </w:p>
        </w:tc>
      </w:tr>
      <w:tr>
        <w:trPr>
          <w:trHeight w:val="236"/>
        </w:trPr>
        <w:tc>
          <w:tcPr>
            <w:tcW w:w="840" w:type="dxa"/>
            <w:vAlign w:val="bottom"/>
            <w:tcBorders>
              <w:right w:val="single" w:sz="8" w:color="auto"/>
            </w:tcBorders>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Form and Denomination</w:t>
            </w: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 notes will be issued in the form of one or more fully registered</w:t>
            </w:r>
          </w:p>
        </w:tc>
        <w:tc>
          <w:tcPr>
            <w:tcW w:w="780" w:type="dxa"/>
            <w:vAlign w:val="bottom"/>
          </w:tcPr>
          <w:p>
            <w:pPr>
              <w:spacing w:after="0"/>
              <w:rPr>
                <w:sz w:val="20"/>
                <w:szCs w:val="20"/>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global securities, without coupons, in denominations of $2,000 in</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principal amount and integral multiples of $1,000 in excess</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thereof. These global notes will be deposited with the trustee as</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custodian for, and registered in the name of, a nominee of The</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Depository Trust Company (“DTC”). Except in the limited</w:t>
            </w:r>
          </w:p>
        </w:tc>
        <w:tc>
          <w:tcPr>
            <w:tcW w:w="780" w:type="dxa"/>
            <w:vAlign w:val="bottom"/>
          </w:tcPr>
          <w:p>
            <w:pPr>
              <w:spacing w:after="0"/>
              <w:rPr>
                <w:sz w:val="14"/>
                <w:szCs w:val="14"/>
                <w:color w:val="auto"/>
              </w:rPr>
            </w:pPr>
          </w:p>
        </w:tc>
      </w:tr>
      <w:tr>
        <w:trPr>
          <w:trHeight w:val="168"/>
        </w:trPr>
        <w:tc>
          <w:tcPr>
            <w:tcW w:w="840" w:type="dxa"/>
            <w:vAlign w:val="bottom"/>
            <w:tcBorders>
              <w:right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circumstances described under “Description of the Notes — Book-</w:t>
            </w:r>
          </w:p>
        </w:tc>
        <w:tc>
          <w:tcPr>
            <w:tcW w:w="780" w:type="dxa"/>
            <w:vAlign w:val="bottom"/>
          </w:tcPr>
          <w:p>
            <w:pPr>
              <w:spacing w:after="0"/>
              <w:rPr>
                <w:sz w:val="14"/>
                <w:szCs w:val="14"/>
                <w:color w:val="auto"/>
              </w:rPr>
            </w:pPr>
          </w:p>
        </w:tc>
      </w:tr>
      <w:tr>
        <w:trPr>
          <w:trHeight w:val="185"/>
        </w:trPr>
        <w:tc>
          <w:tcPr>
            <w:tcW w:w="8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458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Entry, Form, Denomination and Delivery of Notes,” notes in</w:t>
            </w:r>
          </w:p>
        </w:tc>
        <w:tc>
          <w:tcPr>
            <w:tcW w:w="780" w:type="dxa"/>
            <w:vAlign w:val="bottom"/>
          </w:tcPr>
          <w:p>
            <w:pPr>
              <w:spacing w:after="0"/>
              <w:rPr>
                <w:sz w:val="16"/>
                <w:szCs w:val="16"/>
                <w:color w:val="auto"/>
              </w:rPr>
            </w:pPr>
          </w:p>
        </w:tc>
      </w:tr>
      <w:tr>
        <w:trPr>
          <w:trHeight w:val="235"/>
        </w:trPr>
        <w:tc>
          <w:tcPr>
            <w:tcW w:w="840" w:type="dxa"/>
            <w:vAlign w:val="bottom"/>
            <w:tcBorders>
              <w:right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39"/>
        </w:trPr>
        <w:tc>
          <w:tcPr>
            <w:tcW w:w="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540"/>
              <w:spacing w:after="0"/>
              <w:rPr>
                <w:sz w:val="20"/>
                <w:szCs w:val="20"/>
                <w:color w:val="auto"/>
              </w:rPr>
            </w:pPr>
            <w:r>
              <w:rPr>
                <w:rFonts w:ascii="Arial" w:cs="Arial" w:eastAsia="Arial" w:hAnsi="Arial"/>
                <w:sz w:val="14"/>
                <w:szCs w:val="14"/>
                <w:color w:val="auto"/>
              </w:rPr>
              <w:t>S-4</w:t>
            </w:r>
          </w:p>
        </w:tc>
        <w:tc>
          <w:tcPr>
            <w:tcW w:w="780" w:type="dxa"/>
            <w:vAlign w:val="bottom"/>
          </w:tcPr>
          <w:p>
            <w:pPr>
              <w:spacing w:after="0"/>
              <w:rPr>
                <w:sz w:val="20"/>
                <w:szCs w:val="20"/>
                <w:color w:val="auto"/>
              </w:rPr>
            </w:pPr>
          </w:p>
        </w:tc>
      </w:tr>
      <w:tr>
        <w:trPr>
          <w:trHeight w:val="304"/>
        </w:trPr>
        <w:tc>
          <w:tcPr>
            <w:tcW w:w="8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certificated form will not be issued or exchanged for interests in</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global securities. Investors may hold their interests in a global</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note directly through Euroclear Bank S.A./N.V, as operator of the</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Euroclear System (“Euroclear”), and Clearstream Banking, S.A.</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(“Clearstream”), if they are participants in such systems, or</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indirectly through organizations that are participants in such</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systems. Euroclear and Clearstream will hold interests in a global</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note on behalf of their participants through their respective</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depositaries, which in turn will hold such interests in the global</w:t>
      </w:r>
    </w:p>
    <w:p>
      <w:pPr>
        <w:spacing w:after="0" w:line="7"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note in customers’ securities accounts in the depositaries’ names</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on the books of DTC.</w:t>
      </w:r>
    </w:p>
    <w:p>
      <w:pPr>
        <w:sectPr>
          <w:pgSz w:w="11900" w:h="16838" w:orient="portrait"/>
          <w:cols w:equalWidth="0" w:num="1">
            <w:col w:w="9019"/>
          </w:cols>
          <w:pgMar w:left="1440" w:top="107" w:right="1440" w:bottom="1440" w:gutter="0" w:footer="0" w:header="0"/>
        </w:sectPr>
      </w:pPr>
    </w:p>
    <w:p>
      <w:pPr>
        <w:spacing w:after="0" w:line="78"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Trustee, Registrar and Paying</w:t>
      </w:r>
    </w:p>
    <w:p>
      <w:pPr>
        <w:spacing w:after="0" w:line="3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Agent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U.S. Bank Trust Company, National Association.</w:t>
      </w:r>
    </w:p>
    <w:p>
      <w:pPr>
        <w:spacing w:after="0" w:line="103" w:lineRule="exact"/>
        <w:rPr>
          <w:sz w:val="20"/>
          <w:szCs w:val="20"/>
          <w:color w:val="auto"/>
        </w:rPr>
      </w:pPr>
    </w:p>
    <w:p>
      <w:pPr>
        <w:sectPr>
          <w:pgSz w:w="11900" w:h="16838" w:orient="portrait"/>
          <w:cols w:equalWidth="0" w:num="2">
            <w:col w:w="3140" w:space="540"/>
            <w:col w:w="5339"/>
          </w:cols>
          <w:pgMar w:left="1440" w:top="107" w:right="1440" w:bottom="1440" w:gutter="0" w:footer="0" w:header="0"/>
          <w:type w:val="continuous"/>
        </w:sectPr>
      </w:pPr>
    </w:p>
    <w:p>
      <w:pPr>
        <w:jc w:val="center"/>
        <w:ind w:left="620"/>
        <w:spacing w:after="0"/>
        <w:rPr>
          <w:sz w:val="20"/>
          <w:szCs w:val="20"/>
          <w:color w:val="auto"/>
        </w:rPr>
      </w:pPr>
      <w:r>
        <w:rPr>
          <w:rFonts w:ascii="Arial" w:cs="Arial" w:eastAsia="Arial" w:hAnsi="Arial"/>
          <w:sz w:val="13"/>
          <w:szCs w:val="13"/>
          <w:color w:val="auto"/>
        </w:rPr>
        <w:t>Governing Law</w:t>
      </w:r>
    </w:p>
    <w:p>
      <w:pPr>
        <w:spacing w:after="0" w:line="20" w:lineRule="exact"/>
        <w:rPr>
          <w:sz w:val="20"/>
          <w:szCs w:val="20"/>
          <w:color w:val="auto"/>
        </w:rPr>
      </w:pPr>
      <w:r>
        <w:rPr>
          <w:sz w:val="20"/>
          <w:szCs w:val="20"/>
          <w:color w:val="auto"/>
        </w:rPr>
        <w:br w:type="column"/>
      </w:r>
    </w:p>
    <w:p>
      <w:pPr>
        <w:ind w:right="1479"/>
        <w:spacing w:after="0" w:line="286" w:lineRule="auto"/>
        <w:rPr>
          <w:sz w:val="20"/>
          <w:szCs w:val="20"/>
          <w:color w:val="auto"/>
        </w:rPr>
      </w:pPr>
      <w:r>
        <w:rPr>
          <w:rFonts w:ascii="Arial" w:cs="Arial" w:eastAsia="Arial" w:hAnsi="Arial"/>
          <w:sz w:val="14"/>
          <w:szCs w:val="14"/>
          <w:color w:val="auto"/>
        </w:rPr>
        <w:t>The indenture and the notes will be governed by the laws of the State of New York.</w:t>
      </w:r>
    </w:p>
    <w:p>
      <w:pPr>
        <w:spacing w:after="0" w:line="200" w:lineRule="exact"/>
        <w:rPr>
          <w:sz w:val="20"/>
          <w:szCs w:val="20"/>
          <w:color w:val="auto"/>
        </w:rPr>
      </w:pPr>
    </w:p>
    <w:p>
      <w:pPr>
        <w:sectPr>
          <w:pgSz w:w="11900" w:h="16838" w:orient="portrait"/>
          <w:cols w:equalWidth="0" w:num="2">
            <w:col w:w="2960" w:space="720"/>
            <w:col w:w="533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0" w:name="page11"/>
    <w:bookmarkEnd w:id="1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RISK FACTORS</w:t>
      </w:r>
    </w:p>
    <w:p>
      <w:pPr>
        <w:spacing w:after="0" w:line="121" w:lineRule="exact"/>
        <w:rPr>
          <w:sz w:val="20"/>
          <w:szCs w:val="20"/>
          <w:color w:val="auto"/>
        </w:rPr>
      </w:pPr>
    </w:p>
    <w:p>
      <w:pPr>
        <w:ind w:left="1300" w:right="1339"/>
        <w:spacing w:after="0" w:line="257" w:lineRule="auto"/>
        <w:rPr>
          <w:sz w:val="20"/>
          <w:szCs w:val="20"/>
          <w:color w:val="auto"/>
        </w:rPr>
      </w:pPr>
      <w:r>
        <w:rPr>
          <w:rFonts w:ascii="Arial" w:cs="Arial" w:eastAsia="Arial" w:hAnsi="Arial"/>
          <w:sz w:val="14"/>
          <w:szCs w:val="14"/>
          <w:i w:val="1"/>
          <w:iCs w:val="1"/>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fiscal quarter ended November 28, 2024 as well as the risk factors described below, which are not exhaustive. In this section, references to “Micron,” “us,” “we,” or “our” refer only to Micron Technology, Inc. and not to any of its subsidiaries.</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Risks Related to Our Business</w:t>
      </w:r>
    </w:p>
    <w:p>
      <w:pPr>
        <w:spacing w:after="0" w:line="116" w:lineRule="exact"/>
        <w:rPr>
          <w:sz w:val="20"/>
          <w:szCs w:val="20"/>
          <w:color w:val="auto"/>
        </w:rPr>
      </w:pPr>
    </w:p>
    <w:p>
      <w:pPr>
        <w:ind w:left="1300" w:right="1379"/>
        <w:spacing w:after="0" w:line="286" w:lineRule="auto"/>
        <w:rPr>
          <w:sz w:val="20"/>
          <w:szCs w:val="20"/>
          <w:color w:val="auto"/>
        </w:rPr>
      </w:pPr>
      <w:r>
        <w:rPr>
          <w:rFonts w:ascii="Arial" w:cs="Arial" w:eastAsia="Arial" w:hAnsi="Arial"/>
          <w:sz w:val="14"/>
          <w:szCs w:val="14"/>
          <w:color w:val="auto"/>
        </w:rPr>
        <w:t>We hereby incorporate by reference the risk factors in Item 1A of our Quarterly Report on Form 10-Q for the fiscal quarter ended November 28, 2024.</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Risks Related to the Notes</w:t>
      </w:r>
    </w:p>
    <w:p>
      <w:pPr>
        <w:spacing w:after="0" w:line="181" w:lineRule="exact"/>
        <w:rPr>
          <w:sz w:val="20"/>
          <w:szCs w:val="20"/>
          <w:color w:val="auto"/>
        </w:rPr>
      </w:pPr>
    </w:p>
    <w:p>
      <w:pPr>
        <w:ind w:left="1300" w:right="1539"/>
        <w:spacing w:after="0" w:line="295" w:lineRule="auto"/>
        <w:rPr>
          <w:sz w:val="20"/>
          <w:szCs w:val="20"/>
          <w:color w:val="auto"/>
        </w:rPr>
      </w:pPr>
      <w:r>
        <w:rPr>
          <w:rFonts w:ascii="Arial" w:cs="Arial" w:eastAsia="Arial" w:hAnsi="Arial"/>
          <w:sz w:val="14"/>
          <w:szCs w:val="14"/>
          <w:b w:val="1"/>
          <w:bCs w:val="1"/>
          <w:i w:val="1"/>
          <w:iCs w:val="1"/>
          <w:color w:val="auto"/>
        </w:rPr>
        <w:t>We may not be able to generate sufficient cash to service our debt obligations, including our obligations under the notes.</w:t>
      </w:r>
    </w:p>
    <w:p>
      <w:pPr>
        <w:spacing w:after="0" w:line="55" w:lineRule="exact"/>
        <w:rPr>
          <w:sz w:val="20"/>
          <w:szCs w:val="20"/>
          <w:color w:val="auto"/>
        </w:rPr>
      </w:pPr>
    </w:p>
    <w:p>
      <w:pPr>
        <w:ind w:left="1300" w:right="1419"/>
        <w:spacing w:after="0" w:line="259" w:lineRule="auto"/>
        <w:rPr>
          <w:sz w:val="20"/>
          <w:szCs w:val="20"/>
          <w:color w:val="auto"/>
        </w:rPr>
      </w:pPr>
      <w:r>
        <w:rPr>
          <w:rFonts w:ascii="Arial" w:cs="Arial" w:eastAsia="Arial" w:hAnsi="Arial"/>
          <w:sz w:val="14"/>
          <w:szCs w:val="14"/>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78" w:lineRule="exact"/>
        <w:rPr>
          <w:sz w:val="20"/>
          <w:szCs w:val="20"/>
          <w:color w:val="auto"/>
        </w:rPr>
      </w:pPr>
    </w:p>
    <w:p>
      <w:pPr>
        <w:ind w:left="1300" w:right="1379"/>
        <w:spacing w:after="0" w:line="277" w:lineRule="auto"/>
        <w:rPr>
          <w:sz w:val="20"/>
          <w:szCs w:val="20"/>
          <w:color w:val="auto"/>
        </w:rPr>
      </w:pPr>
      <w:r>
        <w:rPr>
          <w:rFonts w:ascii="Arial" w:cs="Arial" w:eastAsia="Arial" w:hAnsi="Arial"/>
          <w:sz w:val="13"/>
          <w:szCs w:val="13"/>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78" w:lineRule="exact"/>
        <w:rPr>
          <w:sz w:val="20"/>
          <w:szCs w:val="20"/>
          <w:color w:val="auto"/>
        </w:rPr>
      </w:pPr>
    </w:p>
    <w:p>
      <w:pPr>
        <w:ind w:left="1300" w:right="1339"/>
        <w:spacing w:after="0" w:line="258" w:lineRule="auto"/>
        <w:rPr>
          <w:sz w:val="20"/>
          <w:szCs w:val="20"/>
          <w:color w:val="auto"/>
        </w:rPr>
      </w:pPr>
      <w:r>
        <w:rPr>
          <w:rFonts w:ascii="Arial" w:cs="Arial" w:eastAsia="Arial" w:hAnsi="Arial"/>
          <w:sz w:val="14"/>
          <w:szCs w:val="14"/>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42" w:lineRule="exact"/>
        <w:rPr>
          <w:sz w:val="20"/>
          <w:szCs w:val="20"/>
          <w:color w:val="auto"/>
        </w:rPr>
      </w:pPr>
    </w:p>
    <w:p>
      <w:pPr>
        <w:ind w:left="1300" w:right="1539"/>
        <w:spacing w:after="0" w:line="295" w:lineRule="auto"/>
        <w:rPr>
          <w:sz w:val="20"/>
          <w:szCs w:val="20"/>
          <w:color w:val="auto"/>
        </w:rPr>
      </w:pPr>
      <w:r>
        <w:rPr>
          <w:rFonts w:ascii="Arial" w:cs="Arial" w:eastAsia="Arial" w:hAnsi="Arial"/>
          <w:sz w:val="14"/>
          <w:szCs w:val="14"/>
          <w:b w:val="1"/>
          <w:bCs w:val="1"/>
          <w:i w:val="1"/>
          <w:iCs w:val="1"/>
          <w:color w:val="auto"/>
        </w:rPr>
        <w:t>Despite current indebtedness levels, we are able to incur substantially more debt. This could further exacerbate the risks described herein.</w:t>
      </w:r>
    </w:p>
    <w:p>
      <w:pPr>
        <w:spacing w:after="0" w:line="55" w:lineRule="exact"/>
        <w:rPr>
          <w:sz w:val="20"/>
          <w:szCs w:val="20"/>
          <w:color w:val="auto"/>
        </w:rPr>
      </w:pPr>
    </w:p>
    <w:p>
      <w:pPr>
        <w:ind w:left="1300" w:right="1319"/>
        <w:spacing w:after="0" w:line="276" w:lineRule="auto"/>
        <w:rPr>
          <w:sz w:val="20"/>
          <w:szCs w:val="20"/>
          <w:color w:val="auto"/>
        </w:rPr>
      </w:pPr>
      <w:r>
        <w:rPr>
          <w:rFonts w:ascii="Arial" w:cs="Arial" w:eastAsia="Arial" w:hAnsi="Arial"/>
          <w:sz w:val="13"/>
          <w:szCs w:val="13"/>
          <w:color w:val="auto"/>
        </w:rPr>
        <w:t xml:space="preserve">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notes, the holders of that debt will be entitled to share ratably with you in any proceeds distributed in connection with any insolvency, liquidation, reorganization,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302" w:lineRule="auto"/>
        <w:rPr>
          <w:sz w:val="20"/>
          <w:szCs w:val="20"/>
          <w:color w:val="auto"/>
        </w:rPr>
      </w:pPr>
      <w:r>
        <w:rPr>
          <w:rFonts w:ascii="Arial" w:cs="Arial" w:eastAsia="Arial" w:hAnsi="Arial"/>
          <w:sz w:val="14"/>
          <w:szCs w:val="14"/>
          <w:color w:val="auto"/>
        </w:rPr>
        <w:t>dissolution or other winding-up of us. If new debt is added to our current debt levels, the related risks that we and our subsidiaries now face could intensify. See “Description of the Notes.”</w:t>
      </w:r>
    </w:p>
    <w:p>
      <w:pPr>
        <w:spacing w:after="0" w:line="123" w:lineRule="exact"/>
        <w:rPr>
          <w:sz w:val="20"/>
          <w:szCs w:val="20"/>
          <w:color w:val="auto"/>
        </w:rPr>
      </w:pPr>
    </w:p>
    <w:p>
      <w:pPr>
        <w:ind w:left="1300" w:right="1679"/>
        <w:spacing w:after="0" w:line="295" w:lineRule="auto"/>
        <w:rPr>
          <w:sz w:val="20"/>
          <w:szCs w:val="20"/>
          <w:color w:val="auto"/>
        </w:rPr>
      </w:pPr>
      <w:r>
        <w:rPr>
          <w:rFonts w:ascii="Arial" w:cs="Arial" w:eastAsia="Arial" w:hAnsi="Arial"/>
          <w:sz w:val="14"/>
          <w:szCs w:val="14"/>
          <w:b w:val="1"/>
          <w:bCs w:val="1"/>
          <w:i w:val="1"/>
          <w:iCs w:val="1"/>
          <w:color w:val="auto"/>
        </w:rPr>
        <w:t>The indenture governing the notes will contain negative covenants that may have a limited effect but these covenants may still restrict the operation of our business.</w:t>
      </w:r>
    </w:p>
    <w:p>
      <w:pPr>
        <w:spacing w:after="0" w:line="65" w:lineRule="exact"/>
        <w:rPr>
          <w:sz w:val="20"/>
          <w:szCs w:val="20"/>
          <w:color w:val="auto"/>
        </w:rPr>
      </w:pPr>
    </w:p>
    <w:p>
      <w:pPr>
        <w:ind w:left="1300" w:right="1319"/>
        <w:spacing w:after="0" w:line="263" w:lineRule="auto"/>
        <w:rPr>
          <w:sz w:val="20"/>
          <w:szCs w:val="20"/>
          <w:color w:val="auto"/>
        </w:rPr>
      </w:pPr>
      <w:r>
        <w:rPr>
          <w:rFonts w:ascii="Arial" w:cs="Arial" w:eastAsia="Arial" w:hAnsi="Arial"/>
          <w:sz w:val="14"/>
          <w:szCs w:val="14"/>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95" w:lineRule="exact"/>
        <w:rPr>
          <w:sz w:val="20"/>
          <w:szCs w:val="20"/>
          <w:color w:val="auto"/>
        </w:rPr>
      </w:pPr>
    </w:p>
    <w:p>
      <w:pPr>
        <w:ind w:left="1300" w:right="1339"/>
        <w:spacing w:after="0" w:line="265" w:lineRule="auto"/>
        <w:rPr>
          <w:sz w:val="20"/>
          <w:szCs w:val="20"/>
          <w:color w:val="auto"/>
        </w:rPr>
      </w:pPr>
      <w:r>
        <w:rPr>
          <w:rFonts w:ascii="Arial" w:cs="Arial" w:eastAsia="Arial" w:hAnsi="Arial"/>
          <w:sz w:val="14"/>
          <w:szCs w:val="14"/>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93" w:lineRule="exact"/>
        <w:rPr>
          <w:sz w:val="20"/>
          <w:szCs w:val="20"/>
          <w:color w:val="auto"/>
        </w:rPr>
      </w:pPr>
    </w:p>
    <w:p>
      <w:pPr>
        <w:ind w:left="1300" w:right="1379"/>
        <w:spacing w:after="0" w:line="267" w:lineRule="auto"/>
        <w:rPr>
          <w:sz w:val="20"/>
          <w:szCs w:val="20"/>
          <w:color w:val="auto"/>
        </w:rPr>
      </w:pPr>
      <w:r>
        <w:rPr>
          <w:rFonts w:ascii="Arial" w:cs="Arial" w:eastAsia="Arial" w:hAnsi="Arial"/>
          <w:sz w:val="14"/>
          <w:szCs w:val="14"/>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48" w:lineRule="exact"/>
        <w:rPr>
          <w:sz w:val="20"/>
          <w:szCs w:val="20"/>
          <w:color w:val="auto"/>
        </w:rPr>
      </w:pPr>
    </w:p>
    <w:p>
      <w:pPr>
        <w:ind w:left="1300" w:right="2159"/>
        <w:spacing w:after="0" w:line="295" w:lineRule="auto"/>
        <w:rPr>
          <w:sz w:val="20"/>
          <w:szCs w:val="20"/>
          <w:color w:val="auto"/>
        </w:rPr>
      </w:pPr>
      <w:r>
        <w:rPr>
          <w:rFonts w:ascii="Arial" w:cs="Arial" w:eastAsia="Arial" w:hAnsi="Arial"/>
          <w:sz w:val="14"/>
          <w:szCs w:val="14"/>
          <w:b w:val="1"/>
          <w:bCs w:val="1"/>
          <w:i w:val="1"/>
          <w:iCs w:val="1"/>
          <w:color w:val="auto"/>
        </w:rPr>
        <w:t>Claims of noteholders will be structurally subordinated to claims of creditors of our subsidiaries.</w:t>
      </w:r>
    </w:p>
    <w:p>
      <w:pPr>
        <w:spacing w:after="0" w:line="44" w:lineRule="exact"/>
        <w:rPr>
          <w:sz w:val="20"/>
          <w:szCs w:val="20"/>
          <w:color w:val="auto"/>
        </w:rPr>
      </w:pPr>
    </w:p>
    <w:p>
      <w:pPr>
        <w:ind w:left="1300" w:right="1319"/>
        <w:spacing w:after="0" w:line="263" w:lineRule="auto"/>
        <w:rPr>
          <w:sz w:val="20"/>
          <w:szCs w:val="20"/>
          <w:color w:val="auto"/>
        </w:rPr>
      </w:pPr>
      <w:r>
        <w:rPr>
          <w:rFonts w:ascii="Arial" w:cs="Arial" w:eastAsia="Arial" w:hAnsi="Arial"/>
          <w:sz w:val="14"/>
          <w:szCs w:val="14"/>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November 28, 2024,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$10.7 billion, all of which will be structurally senior to the notes with respect to claims on the assets and cash flows of our subsidiaries.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right="1479"/>
        <w:spacing w:after="0" w:line="273" w:lineRule="auto"/>
        <w:rPr>
          <w:sz w:val="20"/>
          <w:szCs w:val="20"/>
          <w:color w:val="auto"/>
        </w:rPr>
      </w:pPr>
      <w:r>
        <w:rPr>
          <w:rFonts w:ascii="Arial" w:cs="Arial" w:eastAsia="Arial" w:hAnsi="Arial"/>
          <w:sz w:val="14"/>
          <w:szCs w:val="14"/>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69" w:lineRule="exact"/>
        <w:rPr>
          <w:sz w:val="20"/>
          <w:szCs w:val="20"/>
          <w:color w:val="auto"/>
        </w:rPr>
      </w:pPr>
    </w:p>
    <w:p>
      <w:pPr>
        <w:ind w:left="1300" w:right="1359"/>
        <w:spacing w:after="0" w:line="253" w:lineRule="auto"/>
        <w:rPr>
          <w:sz w:val="20"/>
          <w:szCs w:val="20"/>
          <w:color w:val="auto"/>
        </w:rPr>
      </w:pPr>
      <w:r>
        <w:rPr>
          <w:rFonts w:ascii="Arial" w:cs="Arial" w:eastAsia="Arial" w:hAnsi="Arial"/>
          <w:sz w:val="14"/>
          <w:szCs w:val="14"/>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Changes in our credit rating may adversely affect your investment in the notes.</w:t>
      </w:r>
    </w:p>
    <w:p>
      <w:pPr>
        <w:spacing w:after="0" w:line="121" w:lineRule="exact"/>
        <w:rPr>
          <w:sz w:val="20"/>
          <w:szCs w:val="20"/>
          <w:color w:val="auto"/>
        </w:rPr>
      </w:pPr>
    </w:p>
    <w:p>
      <w:pPr>
        <w:ind w:left="1300" w:right="1379"/>
        <w:spacing w:after="0" w:line="256" w:lineRule="auto"/>
        <w:rPr>
          <w:sz w:val="20"/>
          <w:szCs w:val="20"/>
          <w:color w:val="auto"/>
        </w:rPr>
      </w:pPr>
      <w:r>
        <w:rPr>
          <w:rFonts w:ascii="Arial" w:cs="Arial" w:eastAsia="Arial" w:hAnsi="Arial"/>
          <w:sz w:val="14"/>
          <w:szCs w:val="14"/>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78" w:lineRule="exact"/>
        <w:rPr>
          <w:sz w:val="20"/>
          <w:szCs w:val="20"/>
          <w:color w:val="auto"/>
        </w:rPr>
      </w:pPr>
    </w:p>
    <w:p>
      <w:pPr>
        <w:ind w:left="1300" w:right="1359"/>
        <w:spacing w:after="0" w:line="259" w:lineRule="auto"/>
        <w:rPr>
          <w:sz w:val="20"/>
          <w:szCs w:val="20"/>
          <w:color w:val="auto"/>
        </w:rPr>
      </w:pPr>
      <w:r>
        <w:rPr>
          <w:rFonts w:ascii="Arial" w:cs="Arial" w:eastAsia="Arial" w:hAnsi="Arial"/>
          <w:sz w:val="14"/>
          <w:szCs w:val="14"/>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43" w:lineRule="exact"/>
        <w:rPr>
          <w:sz w:val="20"/>
          <w:szCs w:val="20"/>
          <w:color w:val="auto"/>
        </w:rPr>
      </w:pPr>
    </w:p>
    <w:p>
      <w:pPr>
        <w:ind w:left="1300" w:right="1339"/>
        <w:spacing w:after="0" w:line="295" w:lineRule="auto"/>
        <w:rPr>
          <w:sz w:val="20"/>
          <w:szCs w:val="20"/>
          <w:color w:val="auto"/>
        </w:rPr>
      </w:pPr>
      <w:r>
        <w:rPr>
          <w:rFonts w:ascii="Arial" w:cs="Arial" w:eastAsia="Arial" w:hAnsi="Arial"/>
          <w:sz w:val="14"/>
          <w:szCs w:val="14"/>
          <w:b w:val="1"/>
          <w:bCs w:val="1"/>
          <w:i w:val="1"/>
          <w:iCs w:val="1"/>
          <w:color w:val="auto"/>
        </w:rPr>
        <w:t>Your ability to transfer the notes may be limited by the absence of an active trading market, and an active trading market may not develop for the notes.</w:t>
      </w:r>
    </w:p>
    <w:p>
      <w:pPr>
        <w:spacing w:after="0" w:line="55" w:lineRule="exact"/>
        <w:rPr>
          <w:sz w:val="20"/>
          <w:szCs w:val="20"/>
          <w:color w:val="auto"/>
        </w:rPr>
      </w:pPr>
    </w:p>
    <w:p>
      <w:pPr>
        <w:ind w:left="1300" w:right="1339"/>
        <w:spacing w:after="0" w:line="254" w:lineRule="auto"/>
        <w:rPr>
          <w:sz w:val="20"/>
          <w:szCs w:val="20"/>
          <w:color w:val="auto"/>
        </w:rPr>
      </w:pPr>
      <w:r>
        <w:rPr>
          <w:rFonts w:ascii="Arial" w:cs="Arial" w:eastAsia="Arial" w:hAnsi="Arial"/>
          <w:sz w:val="14"/>
          <w:szCs w:val="14"/>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74" w:lineRule="exact"/>
        <w:rPr>
          <w:sz w:val="20"/>
          <w:szCs w:val="20"/>
          <w:color w:val="auto"/>
        </w:rPr>
      </w:pPr>
    </w:p>
    <w:p>
      <w:pPr>
        <w:ind w:left="1720" w:hanging="134"/>
        <w:spacing w:after="0"/>
        <w:tabs>
          <w:tab w:leader="none" w:pos="1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number of holders of notes;</w:t>
      </w:r>
    </w:p>
    <w:p>
      <w:pPr>
        <w:spacing w:after="0" w:line="112" w:lineRule="exact"/>
        <w:rPr>
          <w:rFonts w:ascii="Arial" w:cs="Arial" w:eastAsia="Arial" w:hAnsi="Arial"/>
          <w:sz w:val="14"/>
          <w:szCs w:val="14"/>
          <w:color w:val="auto"/>
        </w:rPr>
      </w:pPr>
    </w:p>
    <w:p>
      <w:pPr>
        <w:ind w:left="1720" w:hanging="134"/>
        <w:spacing w:after="0"/>
        <w:tabs>
          <w:tab w:leader="none" w:pos="1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operating performance and financial condition;</w:t>
      </w:r>
    </w:p>
    <w:p>
      <w:pPr>
        <w:spacing w:after="0" w:line="102" w:lineRule="exact"/>
        <w:rPr>
          <w:rFonts w:ascii="Arial" w:cs="Arial" w:eastAsia="Arial" w:hAnsi="Arial"/>
          <w:sz w:val="14"/>
          <w:szCs w:val="14"/>
          <w:color w:val="auto"/>
        </w:rPr>
      </w:pPr>
    </w:p>
    <w:p>
      <w:pPr>
        <w:ind w:left="1720" w:hanging="134"/>
        <w:spacing w:after="0"/>
        <w:tabs>
          <w:tab w:leader="none" w:pos="1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market for similar securities;</w:t>
      </w:r>
    </w:p>
    <w:p>
      <w:pPr>
        <w:spacing w:after="0" w:line="102" w:lineRule="exact"/>
        <w:rPr>
          <w:rFonts w:ascii="Arial" w:cs="Arial" w:eastAsia="Arial" w:hAnsi="Arial"/>
          <w:sz w:val="14"/>
          <w:szCs w:val="14"/>
          <w:color w:val="auto"/>
        </w:rPr>
      </w:pPr>
    </w:p>
    <w:p>
      <w:pPr>
        <w:ind w:left="1720" w:hanging="134"/>
        <w:spacing w:after="0"/>
        <w:tabs>
          <w:tab w:leader="none" w:pos="1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interest of securities dealers in making a market in the notes; and</w:t>
      </w:r>
    </w:p>
    <w:p>
      <w:pPr>
        <w:spacing w:after="0" w:line="112" w:lineRule="exact"/>
        <w:rPr>
          <w:rFonts w:ascii="Arial" w:cs="Arial" w:eastAsia="Arial" w:hAnsi="Arial"/>
          <w:sz w:val="14"/>
          <w:szCs w:val="14"/>
          <w:color w:val="auto"/>
        </w:rPr>
      </w:pPr>
    </w:p>
    <w:p>
      <w:pPr>
        <w:ind w:left="1720" w:hanging="134"/>
        <w:spacing w:after="0"/>
        <w:tabs>
          <w:tab w:leader="none" w:pos="1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prevailing interest rates.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81" w:lineRule="auto"/>
        <w:rPr>
          <w:sz w:val="20"/>
          <w:szCs w:val="20"/>
          <w:color w:val="auto"/>
        </w:rPr>
      </w:pPr>
      <w:r>
        <w:rPr>
          <w:rFonts w:ascii="Arial" w:cs="Arial" w:eastAsia="Arial" w:hAnsi="Arial"/>
          <w:sz w:val="13"/>
          <w:szCs w:val="13"/>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30" w:lineRule="exact"/>
        <w:rPr>
          <w:sz w:val="20"/>
          <w:szCs w:val="20"/>
          <w:color w:val="auto"/>
        </w:rPr>
      </w:pPr>
    </w:p>
    <w:p>
      <w:pPr>
        <w:ind w:left="1300" w:right="1419"/>
        <w:spacing w:after="0" w:line="273" w:lineRule="auto"/>
        <w:rPr>
          <w:sz w:val="20"/>
          <w:szCs w:val="20"/>
          <w:color w:val="auto"/>
        </w:rPr>
      </w:pPr>
      <w:r>
        <w:rPr>
          <w:rFonts w:ascii="Arial" w:cs="Arial" w:eastAsia="Arial" w:hAnsi="Arial"/>
          <w:sz w:val="14"/>
          <w:szCs w:val="14"/>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69" w:lineRule="exact"/>
        <w:rPr>
          <w:sz w:val="20"/>
          <w:szCs w:val="20"/>
          <w:color w:val="auto"/>
        </w:rPr>
      </w:pPr>
    </w:p>
    <w:p>
      <w:pPr>
        <w:ind w:left="1300" w:right="1319"/>
        <w:spacing w:after="0" w:line="253" w:lineRule="auto"/>
        <w:rPr>
          <w:sz w:val="20"/>
          <w:szCs w:val="20"/>
          <w:color w:val="auto"/>
        </w:rPr>
      </w:pPr>
      <w:r>
        <w:rPr>
          <w:rFonts w:ascii="Arial" w:cs="Arial" w:eastAsia="Arial" w:hAnsi="Arial"/>
          <w:sz w:val="14"/>
          <w:szCs w:val="14"/>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53" w:lineRule="exact"/>
        <w:rPr>
          <w:sz w:val="20"/>
          <w:szCs w:val="20"/>
          <w:color w:val="auto"/>
        </w:rPr>
      </w:pPr>
    </w:p>
    <w:p>
      <w:pPr>
        <w:ind w:left="1300" w:right="1819"/>
        <w:spacing w:after="0" w:line="295" w:lineRule="auto"/>
        <w:rPr>
          <w:sz w:val="20"/>
          <w:szCs w:val="20"/>
          <w:color w:val="auto"/>
        </w:rPr>
      </w:pPr>
      <w:r>
        <w:rPr>
          <w:rFonts w:ascii="Arial" w:cs="Arial" w:eastAsia="Arial" w:hAnsi="Arial"/>
          <w:sz w:val="14"/>
          <w:szCs w:val="14"/>
          <w:b w:val="1"/>
          <w:bCs w:val="1"/>
          <w:i w:val="1"/>
          <w:iCs w:val="1"/>
          <w:color w:val="auto"/>
        </w:rPr>
        <w:t>The provisions of the notes will not necessarily protect you in the event of certain highly leveraged transactions.</w:t>
      </w:r>
    </w:p>
    <w:p>
      <w:pPr>
        <w:spacing w:after="0" w:line="55" w:lineRule="exact"/>
        <w:rPr>
          <w:sz w:val="20"/>
          <w:szCs w:val="20"/>
          <w:color w:val="auto"/>
        </w:rPr>
      </w:pPr>
    </w:p>
    <w:p>
      <w:pPr>
        <w:ind w:left="1300" w:right="1339"/>
        <w:spacing w:after="0" w:line="275" w:lineRule="auto"/>
        <w:rPr>
          <w:sz w:val="20"/>
          <w:szCs w:val="20"/>
          <w:color w:val="auto"/>
        </w:rPr>
      </w:pPr>
      <w:r>
        <w:rPr>
          <w:rFonts w:ascii="Arial" w:cs="Arial" w:eastAsia="Arial" w:hAnsi="Arial"/>
          <w:sz w:val="13"/>
          <w:szCs w:val="13"/>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ratings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USE OF PROCEEDS</w:t>
      </w:r>
    </w:p>
    <w:p>
      <w:pPr>
        <w:spacing w:after="0" w:line="119" w:lineRule="exact"/>
        <w:rPr>
          <w:sz w:val="20"/>
          <w:szCs w:val="20"/>
          <w:color w:val="auto"/>
        </w:rPr>
      </w:pPr>
    </w:p>
    <w:p>
      <w:pPr>
        <w:ind w:left="1300" w:right="1559"/>
        <w:spacing w:after="0" w:line="286" w:lineRule="auto"/>
        <w:rPr>
          <w:sz w:val="20"/>
          <w:szCs w:val="20"/>
          <w:color w:val="auto"/>
        </w:rPr>
      </w:pPr>
      <w:r>
        <w:rPr>
          <w:rFonts w:ascii="Arial" w:cs="Arial" w:eastAsia="Arial" w:hAnsi="Arial"/>
          <w:sz w:val="14"/>
          <w:szCs w:val="14"/>
          <w:color w:val="auto"/>
        </w:rPr>
        <w:t>We estimate net proceeds from the sale of the notes, after deducting underwriter discounts and other estimated offering expenses, will be approximately $992 million.</w:t>
      </w:r>
    </w:p>
    <w:p>
      <w:pPr>
        <w:spacing w:after="0" w:line="69" w:lineRule="exact"/>
        <w:rPr>
          <w:sz w:val="20"/>
          <w:szCs w:val="20"/>
          <w:color w:val="auto"/>
        </w:rPr>
      </w:pPr>
    </w:p>
    <w:p>
      <w:pPr>
        <w:ind w:left="1300" w:right="1419"/>
        <w:spacing w:after="0" w:line="268" w:lineRule="auto"/>
        <w:rPr>
          <w:sz w:val="20"/>
          <w:szCs w:val="20"/>
          <w:color w:val="auto"/>
        </w:rPr>
      </w:pPr>
      <w:r>
        <w:rPr>
          <w:rFonts w:ascii="Arial" w:cs="Arial" w:eastAsia="Arial" w:hAnsi="Arial"/>
          <w:sz w:val="14"/>
          <w:szCs w:val="14"/>
          <w:color w:val="auto"/>
        </w:rPr>
        <w:t>We intend to use the net proceeds from the sale of the notes to pay the redemption price of the 2026 notes Redemption. Our 2026 notes bear interest at a rate of 4.975% per annum, mature on February 6, 2026, and as of November 28, 2024, $500 million in aggregate principal amount was outstanding.</w:t>
      </w:r>
    </w:p>
    <w:p>
      <w:pPr>
        <w:spacing w:after="0" w:line="71" w:lineRule="exact"/>
        <w:rPr>
          <w:sz w:val="20"/>
          <w:szCs w:val="20"/>
          <w:color w:val="auto"/>
        </w:rPr>
      </w:pPr>
    </w:p>
    <w:p>
      <w:pPr>
        <w:ind w:left="1300" w:right="1639"/>
        <w:spacing w:after="0" w:line="286" w:lineRule="auto"/>
        <w:rPr>
          <w:sz w:val="20"/>
          <w:szCs w:val="20"/>
          <w:color w:val="auto"/>
        </w:rPr>
      </w:pPr>
      <w:r>
        <w:rPr>
          <w:rFonts w:ascii="Arial" w:cs="Arial" w:eastAsia="Arial" w:hAnsi="Arial"/>
          <w:sz w:val="14"/>
          <w:szCs w:val="14"/>
          <w:color w:val="auto"/>
        </w:rPr>
        <w:t>We intend to use any remainder of the net proceeds from the sale of the notes for general corporate purposes, which may include the repayment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CASH AND CAPITALIZATION</w:t>
      </w:r>
    </w:p>
    <w:p>
      <w:pPr>
        <w:spacing w:after="0" w:line="119" w:lineRule="exact"/>
        <w:rPr>
          <w:sz w:val="20"/>
          <w:szCs w:val="20"/>
          <w:color w:val="auto"/>
        </w:rPr>
      </w:pPr>
    </w:p>
    <w:p>
      <w:pPr>
        <w:jc w:val="both"/>
        <w:ind w:left="1300" w:right="1859"/>
        <w:spacing w:after="0" w:line="310" w:lineRule="auto"/>
        <w:rPr>
          <w:sz w:val="20"/>
          <w:szCs w:val="20"/>
          <w:color w:val="auto"/>
        </w:rPr>
      </w:pPr>
      <w:r>
        <w:rPr>
          <w:rFonts w:ascii="Arial" w:cs="Arial" w:eastAsia="Arial" w:hAnsi="Arial"/>
          <w:sz w:val="13"/>
          <w:szCs w:val="13"/>
          <w:color w:val="auto"/>
        </w:rPr>
        <w:t>The following table sets forth a summary of our consolidated cash, cash equivalents, short-term investments and long-term marketable investments and capitalization as of November 28, 2024:</w:t>
      </w:r>
    </w:p>
    <w:p>
      <w:pPr>
        <w:spacing w:after="0" w:line="14" w:lineRule="exact"/>
        <w:rPr>
          <w:sz w:val="20"/>
          <w:szCs w:val="20"/>
          <w:color w:val="auto"/>
        </w:rPr>
      </w:pPr>
    </w:p>
    <w:p>
      <w:pPr>
        <w:ind w:left="1720" w:hanging="134"/>
        <w:spacing w:after="0"/>
        <w:tabs>
          <w:tab w:leader="none" w:pos="1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an actual basis; and</w:t>
      </w:r>
    </w:p>
    <w:p>
      <w:pPr>
        <w:spacing w:after="0" w:line="91" w:lineRule="exact"/>
        <w:rPr>
          <w:rFonts w:ascii="Arial" w:cs="Arial" w:eastAsia="Arial" w:hAnsi="Arial"/>
          <w:sz w:val="14"/>
          <w:szCs w:val="14"/>
          <w:color w:val="auto"/>
        </w:rPr>
      </w:pPr>
    </w:p>
    <w:p>
      <w:pPr>
        <w:ind w:left="1720" w:right="1539" w:hanging="134"/>
        <w:spacing w:after="0" w:line="262" w:lineRule="auto"/>
        <w:tabs>
          <w:tab w:leader="none" w:pos="1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an as adjusted basis to give effect to (i) the issuance of the notes offered by this prospectus supplement as if the offering had occurred on November 28, 2024, and (ii) the application of a portion of the net proceeds therefrom as described in “Use of Proceeds” to pay the redemption price for the 2026 notes Redemption.</w:t>
      </w:r>
    </w:p>
    <w:p>
      <w:pPr>
        <w:spacing w:after="0" w:line="86" w:lineRule="exact"/>
        <w:rPr>
          <w:sz w:val="20"/>
          <w:szCs w:val="20"/>
          <w:color w:val="auto"/>
        </w:rPr>
      </w:pPr>
    </w:p>
    <w:p>
      <w:pPr>
        <w:ind w:left="1300" w:right="1699"/>
        <w:spacing w:after="0" w:line="263" w:lineRule="auto"/>
        <w:rPr>
          <w:sz w:val="20"/>
          <w:szCs w:val="20"/>
          <w:color w:val="auto"/>
        </w:rPr>
      </w:pPr>
      <w:r>
        <w:rPr>
          <w:rFonts w:ascii="Arial" w:cs="Arial" w:eastAsia="Arial" w:hAnsi="Arial"/>
          <w:sz w:val="14"/>
          <w:szCs w:val="14"/>
          <w:color w:val="auto"/>
        </w:rPr>
        <w:t>This table should be read in conjunction with our consolidated financial statements incorporated by reference in this prospectus supplement.</w:t>
      </w:r>
    </w:p>
    <w:tbl>
      <w:tblPr>
        <w:tblLayout w:type="fixed"/>
        <w:tblInd w:w="1300" w:type="dxa"/>
        <w:tblCellMar>
          <w:top w:w="0" w:type="dxa"/>
          <w:left w:w="0" w:type="dxa"/>
          <w:bottom w:w="0" w:type="dxa"/>
          <w:right w:w="0" w:type="dxa"/>
        </w:tblCellMar>
      </w:tblPr>
      <w:tr>
        <w:trPr>
          <w:trHeight w:val="272"/>
        </w:trPr>
        <w:tc>
          <w:tcPr>
            <w:tcW w:w="4860" w:type="dxa"/>
            <w:vAlign w:val="bottom"/>
            <w:gridSpan w:val="2"/>
          </w:tcPr>
          <w:p>
            <w:pP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20"/>
                <w:szCs w:val="20"/>
                <w:color w:val="auto"/>
              </w:rPr>
            </w:pPr>
            <w:r>
              <w:rPr>
                <w:rFonts w:ascii="Arial" w:cs="Arial" w:eastAsia="Arial" w:hAnsi="Arial"/>
                <w:sz w:val="11"/>
                <w:szCs w:val="11"/>
                <w:b w:val="1"/>
                <w:bCs w:val="1"/>
                <w:color w:val="auto"/>
              </w:rPr>
              <w:t>​ ​</w:t>
            </w:r>
          </w:p>
        </w:tc>
        <w:tc>
          <w:tcPr>
            <w:tcW w:w="1400" w:type="dxa"/>
            <w:vAlign w:val="bottom"/>
            <w:gridSpan w:val="8"/>
          </w:tcPr>
          <w:p>
            <w:pPr>
              <w:jc w:val="right"/>
              <w:spacing w:after="0"/>
              <w:rPr>
                <w:sz w:val="20"/>
                <w:szCs w:val="20"/>
                <w:color w:val="auto"/>
              </w:rPr>
            </w:pPr>
            <w:r>
              <w:rPr>
                <w:rFonts w:ascii="Arial" w:cs="Arial" w:eastAsia="Arial" w:hAnsi="Arial"/>
                <w:sz w:val="11"/>
                <w:szCs w:val="11"/>
                <w:b w:val="1"/>
                <w:bCs w:val="1"/>
                <w:color w:val="auto"/>
              </w:rPr>
              <w:t xml:space="preserve">As of November 28, 2024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gridSpan w:val="2"/>
          </w:tcPr>
          <w:p>
            <w:pP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 ​</w:t>
            </w:r>
          </w:p>
        </w:tc>
        <w:tc>
          <w:tcPr>
            <w:tcW w:w="600" w:type="dxa"/>
            <w:vAlign w:val="bottom"/>
            <w:gridSpan w:val="3"/>
          </w:tcPr>
          <w:p>
            <w:pPr>
              <w:ind w:left="80"/>
              <w:spacing w:after="0" w:line="159" w:lineRule="exact"/>
              <w:rPr>
                <w:sz w:val="20"/>
                <w:szCs w:val="20"/>
                <w:color w:val="auto"/>
              </w:rPr>
            </w:pPr>
            <w:r>
              <w:rPr>
                <w:rFonts w:ascii="Arial" w:cs="Arial" w:eastAsia="Arial" w:hAnsi="Arial"/>
                <w:sz w:val="10"/>
                <w:szCs w:val="10"/>
                <w:b w:val="1"/>
                <w:bCs w:val="1"/>
                <w:color w:val="auto"/>
              </w:rPr>
              <w:t xml:space="preserve">Actual   </w:t>
            </w:r>
            <w:r>
              <w:rPr>
                <w:rFonts w:ascii="Arial" w:cs="Arial" w:eastAsia="Arial" w:hAnsi="Arial"/>
                <w:sz w:val="18"/>
                <w:szCs w:val="18"/>
                <w:b w:val="1"/>
                <w:bCs w:val="1"/>
                <w:color w:val="auto"/>
                <w:vertAlign w:val="subscript"/>
              </w:rPr>
              <w:t>​</w:t>
            </w:r>
          </w:p>
        </w:tc>
        <w:tc>
          <w:tcPr>
            <w:tcW w:w="800" w:type="dxa"/>
            <w:vAlign w:val="bottom"/>
            <w:gridSpan w:val="5"/>
          </w:tcPr>
          <w:p>
            <w:pPr>
              <w:jc w:val="right"/>
              <w:spacing w:after="0" w:line="159"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0"/>
                <w:szCs w:val="10"/>
                <w:b w:val="1"/>
                <w:bCs w:val="1"/>
                <w:color w:val="auto"/>
              </w:rPr>
              <w:t xml:space="preserve"> As Adjusted </w:t>
            </w:r>
            <w:r>
              <w:rPr>
                <w:rFonts w:ascii="Arial" w:cs="Arial" w:eastAsia="Arial" w:hAnsi="Arial"/>
                <w:sz w:val="18"/>
                <w:szCs w:val="18"/>
                <w:b w:val="1"/>
                <w:bCs w:val="1"/>
                <w:color w:val="auto"/>
                <w:vertAlign w:val="subscript"/>
              </w:rPr>
              <w:t>​</w:t>
            </w:r>
          </w:p>
        </w:tc>
        <w:tc>
          <w:tcPr>
            <w:tcW w:w="0" w:type="dxa"/>
            <w:vAlign w:val="bottom"/>
          </w:tcPr>
          <w:p>
            <w:pPr>
              <w:spacing w:after="0"/>
              <w:rPr>
                <w:sz w:val="1"/>
                <w:szCs w:val="1"/>
                <w:color w:val="auto"/>
              </w:rPr>
            </w:pPr>
          </w:p>
        </w:tc>
      </w:tr>
      <w:tr>
        <w:trPr>
          <w:trHeight w:val="159"/>
        </w:trPr>
        <w:tc>
          <w:tcPr>
            <w:tcW w:w="4860" w:type="dxa"/>
            <w:vAlign w:val="bottom"/>
            <w:gridSpan w:val="2"/>
          </w:tcPr>
          <w:p>
            <w:pPr>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20"/>
                <w:szCs w:val="20"/>
                <w:color w:val="auto"/>
              </w:rPr>
            </w:pPr>
            <w:r>
              <w:rPr>
                <w:rFonts w:ascii="Arial" w:cs="Arial" w:eastAsia="Arial" w:hAnsi="Arial"/>
                <w:sz w:val="11"/>
                <w:szCs w:val="11"/>
                <w:b w:val="1"/>
                <w:bCs w:val="1"/>
                <w:color w:val="auto"/>
              </w:rPr>
              <w:t>​ ​</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5"/>
          </w:tcPr>
          <w:p>
            <w:pPr>
              <w:jc w:val="right"/>
              <w:ind w:right="30"/>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equivalents</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6,693​​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7,184</w:t>
            </w:r>
          </w:p>
        </w:tc>
        <w:tc>
          <w:tcPr>
            <w:tcW w:w="8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4860" w:type="dxa"/>
            <w:vAlign w:val="bottom"/>
            <w:gridSpan w:val="2"/>
          </w:tcPr>
          <w:p>
            <w:pPr>
              <w:spacing w:after="0"/>
              <w:rPr>
                <w:sz w:val="20"/>
                <w:szCs w:val="20"/>
                <w:color w:val="auto"/>
              </w:rPr>
            </w:pPr>
            <w:r>
              <w:rPr>
                <w:rFonts w:ascii="Arial" w:cs="Arial" w:eastAsia="Arial" w:hAnsi="Arial"/>
                <w:sz w:val="14"/>
                <w:szCs w:val="14"/>
                <w:color w:val="auto"/>
              </w:rPr>
              <w:t>Short-term investments</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895​​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895</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marketable investments</w:t>
            </w:r>
          </w:p>
        </w:tc>
        <w:tc>
          <w:tcPr>
            <w:tcW w:w="940" w:type="dxa"/>
            <w:vAlign w:val="bottom"/>
            <w:tcBorders>
              <w:right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 ​​ ​ 1,156​​ ​</w:t>
            </w:r>
          </w:p>
        </w:tc>
        <w:tc>
          <w:tcPr>
            <w:tcW w:w="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 1,156</w:t>
            </w:r>
          </w:p>
        </w:tc>
        <w:tc>
          <w:tcPr>
            <w:tcW w:w="80" w:type="dxa"/>
            <w:vAlign w:val="bottom"/>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Cash and equivalents, short-term investments and long-term marketable</w:t>
            </w:r>
          </w:p>
        </w:tc>
        <w:tc>
          <w:tcPr>
            <w:tcW w:w="300" w:type="dxa"/>
            <w:vAlign w:val="bottom"/>
            <w:gridSpan w:val="2"/>
            <w:vMerge w:val="restart"/>
          </w:tcPr>
          <w:p>
            <w:pPr>
              <w:ind w:left="40"/>
              <w:spacing w:after="0"/>
              <w:rPr>
                <w:sz w:val="20"/>
                <w:szCs w:val="20"/>
                <w:color w:val="auto"/>
              </w:rPr>
            </w:pPr>
            <w:r>
              <w:rPr>
                <w:rFonts w:ascii="Arial" w:cs="Arial" w:eastAsia="Arial" w:hAnsi="Arial"/>
                <w:sz w:val="14"/>
                <w:szCs w:val="14"/>
                <w:color w:val="auto"/>
              </w:rPr>
              <w:t>​ ​​$</w:t>
            </w:r>
          </w:p>
        </w:tc>
        <w:tc>
          <w:tcPr>
            <w:tcW w:w="640" w:type="dxa"/>
            <w:vAlign w:val="bottom"/>
            <w:gridSpan w:val="3"/>
            <w:vMerge w:val="restart"/>
          </w:tcPr>
          <w:p>
            <w:pPr>
              <w:jc w:val="right"/>
              <w:ind w:right="21"/>
              <w:spacing w:after="0"/>
              <w:rPr>
                <w:sz w:val="20"/>
                <w:szCs w:val="20"/>
                <w:color w:val="auto"/>
              </w:rPr>
            </w:pPr>
            <w:r>
              <w:rPr>
                <w:rFonts w:ascii="Arial" w:cs="Arial" w:eastAsia="Arial" w:hAnsi="Arial"/>
                <w:sz w:val="14"/>
                <w:szCs w:val="14"/>
                <w:color w:val="auto"/>
              </w:rPr>
              <w:t>8,744​​ ​</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9,235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ind w:left="280"/>
              <w:spacing w:after="0"/>
              <w:rPr>
                <w:sz w:val="20"/>
                <w:szCs w:val="20"/>
                <w:color w:val="auto"/>
              </w:rPr>
            </w:pPr>
            <w:r>
              <w:rPr>
                <w:rFonts w:ascii="Arial" w:cs="Arial" w:eastAsia="Arial" w:hAnsi="Arial"/>
                <w:sz w:val="14"/>
                <w:szCs w:val="14"/>
                <w:color w:val="auto"/>
              </w:rPr>
              <w:t>investments</w:t>
            </w:r>
          </w:p>
        </w:tc>
        <w:tc>
          <w:tcPr>
            <w:tcW w:w="3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vMerge w:val="restart"/>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9"/>
        </w:trPr>
        <w:tc>
          <w:tcPr>
            <w:tcW w:w="486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Current debt:</w:t>
            </w:r>
          </w:p>
        </w:tc>
        <w:tc>
          <w:tcPr>
            <w:tcW w:w="300" w:type="dxa"/>
            <w:vAlign w:val="bottom"/>
            <w:gridSpan w:val="2"/>
            <w:shd w:val="clear" w:color="auto" w:fill="CCEEFF"/>
          </w:tcPr>
          <w:p>
            <w:pPr>
              <w:ind w:left="40"/>
              <w:spacing w:after="0" w:line="119" w:lineRule="exact"/>
              <w:rPr>
                <w:sz w:val="20"/>
                <w:szCs w:val="20"/>
                <w:color w:val="auto"/>
              </w:rPr>
            </w:pPr>
            <w:r>
              <w:rPr>
                <w:rFonts w:ascii="Arial" w:cs="Arial" w:eastAsia="Arial" w:hAnsi="Arial"/>
                <w:sz w:val="13"/>
                <w:szCs w:val="13"/>
                <w:color w:val="auto"/>
              </w:rPr>
              <w:t>​ ​​ ​</w:t>
            </w:r>
          </w:p>
        </w:tc>
        <w:tc>
          <w:tcPr>
            <w:tcW w:w="38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2"/>
            <w:shd w:val="clear" w:color="auto" w:fill="CCEEFF"/>
          </w:tcPr>
          <w:p>
            <w:pPr>
              <w:jc w:val="right"/>
              <w:ind w:right="21"/>
              <w:spacing w:after="0" w:line="11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4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2026 Term Loan A</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49​​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2027 Term Loan A</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57​​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Finance lease obligations</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427​​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debt</w:t>
            </w:r>
          </w:p>
        </w:tc>
        <w:tc>
          <w:tcPr>
            <w:tcW w:w="30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1"/>
                <w:szCs w:val="11"/>
                <w:color w:val="auto"/>
              </w:rPr>
              <w:t>​ ​​</w:t>
            </w:r>
            <w:r>
              <w:rPr>
                <w:rFonts w:ascii="Arial" w:cs="Arial" w:eastAsia="Arial" w:hAnsi="Arial"/>
                <w:sz w:val="19"/>
                <w:szCs w:val="19"/>
                <w:color w:val="auto"/>
                <w:vertAlign w:val="superscript"/>
              </w:rPr>
              <w:t>$</w:t>
            </w:r>
          </w:p>
        </w:tc>
        <w:tc>
          <w:tcPr>
            <w:tcW w:w="640" w:type="dxa"/>
            <w:vAlign w:val="bottom"/>
            <w:tcBorders>
              <w:right w:val="single" w:sz="8" w:color="CCEEFF"/>
            </w:tcBorders>
            <w:gridSpan w:val="3"/>
            <w:shd w:val="clear" w:color="auto" w:fill="CCEEFF"/>
          </w:tcPr>
          <w:p>
            <w:pPr>
              <w:jc w:val="right"/>
              <w:ind w:right="21"/>
              <w:spacing w:after="0" w:line="170" w:lineRule="exact"/>
              <w:rPr>
                <w:sz w:val="20"/>
                <w:szCs w:val="20"/>
                <w:color w:val="auto"/>
              </w:rPr>
            </w:pPr>
            <w:r>
              <w:rPr>
                <w:rFonts w:ascii="Arial" w:cs="Arial" w:eastAsia="Arial" w:hAnsi="Arial"/>
                <w:sz w:val="19"/>
                <w:szCs w:val="19"/>
                <w:color w:val="auto"/>
                <w:vertAlign w:val="superscript"/>
              </w:rPr>
              <w:t>533</w:t>
            </w:r>
            <w:r>
              <w:rPr>
                <w:rFonts w:ascii="Arial" w:cs="Arial" w:eastAsia="Arial" w:hAnsi="Arial"/>
                <w:sz w:val="11"/>
                <w:szCs w:val="11"/>
                <w:color w:val="auto"/>
              </w:rPr>
              <w:t>​​ ​</w:t>
            </w:r>
          </w:p>
        </w:tc>
        <w:tc>
          <w:tcPr>
            <w:tcW w:w="140" w:type="dxa"/>
            <w:vAlign w:val="bottom"/>
            <w:shd w:val="clear" w:color="auto" w:fill="CCEEFF"/>
          </w:tcPr>
          <w:p>
            <w:pPr>
              <w:spacing w:after="0" w:line="170"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per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line="139" w:lineRule="exact"/>
              <w:rPr>
                <w:sz w:val="20"/>
                <w:szCs w:val="20"/>
                <w:color w:val="auto"/>
              </w:rPr>
            </w:pPr>
            <w:r>
              <w:rPr>
                <w:rFonts w:ascii="Arial" w:cs="Arial" w:eastAsia="Arial" w:hAnsi="Arial"/>
                <w:sz w:val="14"/>
                <w:szCs w:val="14"/>
                <w:color w:val="auto"/>
              </w:rPr>
              <w:t>Long-term debt and finance lease obligations, excluding current portion:</w:t>
            </w:r>
          </w:p>
        </w:tc>
        <w:tc>
          <w:tcPr>
            <w:tcW w:w="180" w:type="dxa"/>
            <w:vAlign w:val="bottom"/>
            <w:tcBorders>
              <w:top w:val="single" w:sz="8" w:color="CCEEFF"/>
              <w:bottom w:val="single" w:sz="8" w:color="CCEEFF"/>
            </w:tcBorders>
            <w:vMerge w:val="restart"/>
          </w:tcPr>
          <w:p>
            <w:pPr>
              <w:spacing w:after="0" w:line="139" w:lineRule="exact"/>
              <w:rPr>
                <w:sz w:val="20"/>
                <w:szCs w:val="20"/>
                <w:color w:val="auto"/>
              </w:rPr>
            </w:pPr>
            <w:r>
              <w:rPr>
                <w:rFonts w:ascii="Arial" w:cs="Arial" w:eastAsia="Arial" w:hAnsi="Arial"/>
                <w:sz w:val="14"/>
                <w:szCs w:val="14"/>
                <w:color w:val="auto"/>
              </w:rPr>
              <w:t>​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61"/>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86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5.80% senior notes due 2035 offered hereby</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2026 Term Loan A</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859​​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2027 Term Loan A</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992​​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4.975% senior notes due 2026</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499​​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4860" w:type="dxa"/>
            <w:vAlign w:val="bottom"/>
            <w:gridSpan w:val="2"/>
            <w:shd w:val="clear" w:color="auto" w:fill="CCEEFF"/>
          </w:tcPr>
          <w:p>
            <w:pPr>
              <w:ind w:left="140"/>
              <w:spacing w:after="0" w:line="200" w:lineRule="exact"/>
              <w:rPr>
                <w:sz w:val="20"/>
                <w:szCs w:val="20"/>
                <w:color w:val="auto"/>
              </w:rPr>
            </w:pPr>
            <w:r>
              <w:rPr>
                <w:rFonts w:ascii="Arial" w:cs="Arial" w:eastAsia="Arial" w:hAnsi="Arial"/>
                <w:sz w:val="14"/>
                <w:szCs w:val="14"/>
                <w:color w:val="auto"/>
              </w:rPr>
              <w:t>4.185% senior notes due 2027</w:t>
            </w:r>
            <w:r>
              <w:rPr>
                <w:rFonts w:ascii="Arial" w:cs="Arial" w:eastAsia="Arial" w:hAnsi="Arial"/>
                <w:sz w:val="18"/>
                <w:szCs w:val="18"/>
                <w:color w:val="auto"/>
                <w:vertAlign w:val="superscript"/>
              </w:rPr>
              <w:t>(1)</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827​​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5.375% senior notes due 2028</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597​​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5.327% senior notes due 2029</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698​​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6.750% senior notes due 2029</w:t>
            </w:r>
          </w:p>
        </w:tc>
        <w:tc>
          <w:tcPr>
            <w:tcW w:w="940" w:type="dxa"/>
            <w:vAlign w:val="bottom"/>
            <w:gridSpan w:val="5"/>
          </w:tcPr>
          <w:p>
            <w:pPr>
              <w:ind w:left="40"/>
              <w:spacing w:after="0"/>
              <w:rPr>
                <w:sz w:val="20"/>
                <w:szCs w:val="20"/>
                <w:color w:val="auto"/>
              </w:rPr>
            </w:pPr>
            <w:r>
              <w:rPr>
                <w:rFonts w:ascii="Arial" w:cs="Arial" w:eastAsia="Arial" w:hAnsi="Arial"/>
                <w:sz w:val="14"/>
                <w:szCs w:val="14"/>
                <w:color w:val="auto"/>
              </w:rPr>
              <w:t>​ ​​ ​ 1,261​​ ​</w:t>
            </w:r>
          </w:p>
        </w:tc>
        <w:tc>
          <w:tcPr>
            <w:tcW w:w="520" w:type="dxa"/>
            <w:vAlign w:val="bottom"/>
            <w:gridSpan w:val="2"/>
          </w:tcPr>
          <w:p>
            <w:pPr>
              <w:spacing w:after="0"/>
              <w:rPr>
                <w:sz w:val="20"/>
                <w:szCs w:val="20"/>
                <w:color w:val="auto"/>
              </w:rPr>
            </w:pPr>
            <w:r>
              <w:rPr>
                <w:rFonts w:ascii="Arial" w:cs="Arial" w:eastAsia="Arial" w:hAnsi="Arial"/>
                <w:sz w:val="14"/>
                <w:szCs w:val="14"/>
                <w:color w:val="auto"/>
              </w:rPr>
              <w:t>​ ​ 1,261</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4.663% senior notes due 2030</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847​​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5.300% senior notes due 2031</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994​​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994</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2.703% senior notes due 2032</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996​​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5.875% senior notes due 2033</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746​​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746</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5.875% senior notes due 2033</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891​​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3.366% senior notes due 2041</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 ​​ ​</w:t>
            </w:r>
          </w:p>
        </w:tc>
        <w:tc>
          <w:tcPr>
            <w:tcW w:w="640" w:type="dxa"/>
            <w:vAlign w:val="bottom"/>
            <w:gridSpan w:val="3"/>
          </w:tcPr>
          <w:p>
            <w:pPr>
              <w:jc w:val="right"/>
              <w:ind w:right="21"/>
              <w:spacing w:after="0"/>
              <w:rPr>
                <w:sz w:val="20"/>
                <w:szCs w:val="20"/>
                <w:color w:val="auto"/>
              </w:rPr>
            </w:pPr>
            <w:r>
              <w:rPr>
                <w:rFonts w:ascii="Arial" w:cs="Arial" w:eastAsia="Arial" w:hAnsi="Arial"/>
                <w:sz w:val="14"/>
                <w:szCs w:val="14"/>
                <w:color w:val="auto"/>
              </w:rPr>
              <w:t>497​​ ​</w:t>
            </w: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380" w:type="dxa"/>
            <w:vAlign w:val="bottom"/>
          </w:tcPr>
          <w:p>
            <w:pPr>
              <w:jc w:val="right"/>
              <w:spacing w:after="0"/>
              <w:rPr>
                <w:sz w:val="20"/>
                <w:szCs w:val="20"/>
                <w:color w:val="auto"/>
              </w:rPr>
            </w:pPr>
            <w:r>
              <w:rPr>
                <w:rFonts w:ascii="Arial" w:cs="Arial" w:eastAsia="Arial" w:hAnsi="Arial"/>
                <w:sz w:val="14"/>
                <w:szCs w:val="14"/>
                <w:color w:val="auto"/>
              </w:rPr>
              <w:t>497</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3.477% senior notes due 2051</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 ​</w:t>
            </w:r>
          </w:p>
        </w:tc>
        <w:tc>
          <w:tcPr>
            <w:tcW w:w="64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4"/>
                <w:szCs w:val="14"/>
                <w:color w:val="auto"/>
              </w:rPr>
              <w:t>496​​ ​</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4860" w:type="dxa"/>
            <w:vAlign w:val="bottom"/>
            <w:gridSpan w:val="2"/>
          </w:tcPr>
          <w:p>
            <w:pPr>
              <w:ind w:left="140"/>
              <w:spacing w:after="0"/>
              <w:rPr>
                <w:sz w:val="20"/>
                <w:szCs w:val="20"/>
                <w:color w:val="auto"/>
              </w:rPr>
            </w:pPr>
            <w:r>
              <w:rPr>
                <w:rFonts w:ascii="Arial" w:cs="Arial" w:eastAsia="Arial" w:hAnsi="Arial"/>
                <w:sz w:val="14"/>
                <w:szCs w:val="14"/>
                <w:color w:val="auto"/>
              </w:rPr>
              <w:t>Finance lease obligations</w:t>
            </w:r>
          </w:p>
        </w:tc>
        <w:tc>
          <w:tcPr>
            <w:tcW w:w="940" w:type="dxa"/>
            <w:vAlign w:val="bottom"/>
            <w:gridSpan w:val="5"/>
          </w:tcPr>
          <w:p>
            <w:pPr>
              <w:ind w:left="40"/>
              <w:spacing w:after="0"/>
              <w:rPr>
                <w:sz w:val="20"/>
                <w:szCs w:val="20"/>
                <w:color w:val="auto"/>
              </w:rPr>
            </w:pPr>
            <w:r>
              <w:rPr>
                <w:rFonts w:ascii="Arial" w:cs="Arial" w:eastAsia="Arial" w:hAnsi="Arial"/>
                <w:sz w:val="14"/>
                <w:szCs w:val="14"/>
                <w:color w:val="auto"/>
              </w:rPr>
              <w:t>​ ​​ ​ 2,052​​ ​</w:t>
            </w:r>
          </w:p>
        </w:tc>
        <w:tc>
          <w:tcPr>
            <w:tcW w:w="520" w:type="dxa"/>
            <w:vAlign w:val="bottom"/>
            <w:gridSpan w:val="2"/>
          </w:tcPr>
          <w:p>
            <w:pPr>
              <w:spacing w:after="0"/>
              <w:rPr>
                <w:sz w:val="20"/>
                <w:szCs w:val="20"/>
                <w:color w:val="auto"/>
              </w:rPr>
            </w:pPr>
            <w:r>
              <w:rPr>
                <w:rFonts w:ascii="Arial" w:cs="Arial" w:eastAsia="Arial" w:hAnsi="Arial"/>
                <w:sz w:val="14"/>
                <w:szCs w:val="14"/>
                <w:color w:val="auto"/>
              </w:rPr>
              <w:t>​ ​ 2,052</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486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long-term debt and finance lease obligations, excluding current</w:t>
            </w: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portion</w:t>
            </w:r>
          </w:p>
        </w:tc>
        <w:tc>
          <w:tcPr>
            <w:tcW w:w="940" w:type="dxa"/>
            <w:vAlign w:val="bottom"/>
            <w:tcBorders>
              <w:right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 ​​ ​13,252​​ ​</w:t>
            </w:r>
          </w:p>
        </w:tc>
        <w:tc>
          <w:tcPr>
            <w:tcW w:w="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​13,745</w:t>
            </w:r>
          </w:p>
        </w:tc>
        <w:tc>
          <w:tcPr>
            <w:tcW w:w="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4860" w:type="dxa"/>
            <w:vAlign w:val="bottom"/>
            <w:gridSpan w:val="2"/>
          </w:tcPr>
          <w:p>
            <w:pPr>
              <w:spacing w:after="0"/>
              <w:rPr>
                <w:sz w:val="20"/>
                <w:szCs w:val="20"/>
                <w:color w:val="auto"/>
              </w:rPr>
            </w:pPr>
            <w:r>
              <w:rPr>
                <w:rFonts w:ascii="Arial" w:cs="Arial" w:eastAsia="Arial" w:hAnsi="Arial"/>
                <w:sz w:val="14"/>
                <w:szCs w:val="14"/>
                <w:color w:val="auto"/>
              </w:rPr>
              <w:t>Total shareholders’ equity</w:t>
            </w:r>
          </w:p>
        </w:tc>
        <w:tc>
          <w:tcPr>
            <w:tcW w:w="940" w:type="dxa"/>
            <w:vAlign w:val="bottom"/>
            <w:gridSpan w:val="5"/>
          </w:tcPr>
          <w:p>
            <w:pPr>
              <w:ind w:left="40"/>
              <w:spacing w:after="0"/>
              <w:rPr>
                <w:sz w:val="20"/>
                <w:szCs w:val="20"/>
                <w:color w:val="auto"/>
              </w:rPr>
            </w:pPr>
            <w:r>
              <w:rPr>
                <w:rFonts w:ascii="Arial" w:cs="Arial" w:eastAsia="Arial" w:hAnsi="Arial"/>
                <w:sz w:val="14"/>
                <w:szCs w:val="14"/>
                <w:color w:val="auto"/>
              </w:rPr>
              <w:t>​ ​​ ​46,797​​ ​</w:t>
            </w:r>
          </w:p>
        </w:tc>
        <w:tc>
          <w:tcPr>
            <w:tcW w:w="520" w:type="dxa"/>
            <w:vAlign w:val="bottom"/>
            <w:gridSpan w:val="2"/>
          </w:tcPr>
          <w:p>
            <w:pPr>
              <w:spacing w:after="0"/>
              <w:rPr>
                <w:sz w:val="20"/>
                <w:szCs w:val="20"/>
                <w:color w:val="auto"/>
              </w:rPr>
            </w:pPr>
            <w:r>
              <w:rPr>
                <w:rFonts w:ascii="Arial" w:cs="Arial" w:eastAsia="Arial" w:hAnsi="Arial"/>
                <w:sz w:val="14"/>
                <w:szCs w:val="14"/>
                <w:color w:val="auto"/>
              </w:rPr>
              <w:t>​ ​46,795</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capitalization</w:t>
            </w:r>
          </w:p>
        </w:tc>
        <w:tc>
          <w:tcPr>
            <w:tcW w:w="940" w:type="dxa"/>
            <w:vAlign w:val="bottom"/>
            <w:tcBorders>
              <w:right w:val="single" w:sz="8" w:color="CCEEFF"/>
            </w:tcBorders>
            <w:gridSpan w:val="5"/>
            <w:shd w:val="clear" w:color="auto" w:fill="CCEEFF"/>
          </w:tcPr>
          <w:p>
            <w:pPr>
              <w:ind w:left="40"/>
              <w:spacing w:after="0" w:line="180" w:lineRule="exact"/>
              <w:rPr>
                <w:sz w:val="20"/>
                <w:szCs w:val="20"/>
                <w:color w:val="auto"/>
              </w:rPr>
            </w:pPr>
            <w:r>
              <w:rPr>
                <w:rFonts w:ascii="Arial" w:cs="Arial" w:eastAsia="Arial" w:hAnsi="Arial"/>
                <w:sz w:val="20"/>
                <w:szCs w:val="20"/>
                <w:color w:val="auto"/>
                <w:vertAlign w:val="subscript"/>
              </w:rPr>
              <w:t>​ ​​</w:t>
            </w:r>
            <w:r>
              <w:rPr>
                <w:rFonts w:ascii="Arial" w:cs="Arial" w:eastAsia="Arial" w:hAnsi="Arial"/>
                <w:sz w:val="11"/>
                <w:szCs w:val="11"/>
                <w:u w:val="single" w:color="auto"/>
                <w:color w:val="auto"/>
              </w:rPr>
              <w:t>$</w:t>
            </w:r>
            <w:r>
              <w:rPr>
                <w:rFonts w:ascii="Arial" w:cs="Arial" w:eastAsia="Arial" w:hAnsi="Arial"/>
                <w:sz w:val="11"/>
                <w:szCs w:val="11"/>
                <w:color w:val="auto"/>
              </w:rPr>
              <w:t>60,049</w:t>
            </w:r>
            <w:r>
              <w:rPr>
                <w:rFonts w:ascii="Arial" w:cs="Arial" w:eastAsia="Arial" w:hAnsi="Arial"/>
                <w:sz w:val="20"/>
                <w:szCs w:val="20"/>
                <w:color w:val="auto"/>
                <w:vertAlign w:val="subscript"/>
              </w:rPr>
              <w:t>​​ ​</w:t>
            </w:r>
          </w:p>
        </w:tc>
        <w:tc>
          <w:tcPr>
            <w:tcW w:w="520" w:type="dxa"/>
            <w:vAlign w:val="bottom"/>
            <w:gridSpan w:val="2"/>
            <w:shd w:val="clear" w:color="auto" w:fill="CCEEFF"/>
          </w:tcPr>
          <w:p>
            <w:pPr>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u w:val="single" w:color="auto"/>
                <w:color w:val="auto"/>
              </w:rPr>
              <w:t>$</w:t>
            </w:r>
            <w:r>
              <w:rPr>
                <w:rFonts w:ascii="Arial" w:cs="Arial" w:eastAsia="Arial" w:hAnsi="Arial"/>
                <w:sz w:val="11"/>
                <w:szCs w:val="11"/>
                <w:color w:val="auto"/>
              </w:rPr>
              <w:t>60,540</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520" w:type="dxa"/>
            <w:vAlign w:val="bottom"/>
            <w:tcBorders>
              <w:bottom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-219710</wp:posOffset>
            </wp:positionV>
            <wp:extent cx="40620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209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-580390</wp:posOffset>
            </wp:positionV>
            <wp:extent cx="40620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209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-2645410</wp:posOffset>
            </wp:positionV>
            <wp:extent cx="40620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2095" cy="698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-3761105</wp:posOffset>
            </wp:positionV>
            <wp:extent cx="10668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81" w:lineRule="exact"/>
        <w:rPr>
          <w:sz w:val="20"/>
          <w:szCs w:val="20"/>
          <w:color w:val="auto"/>
        </w:rPr>
      </w:pPr>
    </w:p>
    <w:p>
      <w:pPr>
        <w:jc w:val="both"/>
        <w:ind w:left="1580" w:right="1439" w:hanging="275"/>
        <w:spacing w:after="0" w:line="298" w:lineRule="auto"/>
        <w:tabs>
          <w:tab w:leader="none" w:pos="1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419"/>
        <w:spacing w:after="0" w:line="268" w:lineRule="auto"/>
        <w:rPr>
          <w:sz w:val="20"/>
          <w:szCs w:val="20"/>
          <w:color w:val="auto"/>
        </w:rPr>
      </w:pPr>
      <w:r>
        <w:rPr>
          <w:rFonts w:ascii="Arial" w:cs="Arial" w:eastAsia="Arial" w:hAnsi="Arial"/>
          <w:sz w:val="14"/>
          <w:szCs w:val="14"/>
          <w:color w:val="auto"/>
        </w:rPr>
        <w:t>Overnight Financing Rate plus approximately 3.33%. The fixed-to-floating interest rate swaps are accounted for as fair value hedges, and as a result, the carrying values of our 4.185% senior notes due 2027 reflect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DESCRIPTION OF THE NOTES</w:t>
      </w:r>
    </w:p>
    <w:p>
      <w:pPr>
        <w:spacing w:after="0" w:line="121" w:lineRule="exact"/>
        <w:rPr>
          <w:sz w:val="20"/>
          <w:szCs w:val="20"/>
          <w:color w:val="auto"/>
        </w:rPr>
      </w:pPr>
    </w:p>
    <w:p>
      <w:pPr>
        <w:ind w:left="1300" w:right="1359"/>
        <w:spacing w:after="0" w:line="247" w:lineRule="auto"/>
        <w:rPr>
          <w:sz w:val="20"/>
          <w:szCs w:val="20"/>
          <w:color w:val="auto"/>
        </w:rPr>
      </w:pPr>
      <w:r>
        <w:rPr>
          <w:rFonts w:ascii="Arial" w:cs="Arial" w:eastAsia="Arial" w:hAnsi="Arial"/>
          <w:sz w:val="14"/>
          <w:szCs w:val="14"/>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January 16, 2025, with respect to the notes (the “Supplemental Indenture” and, together with the Base Indenture, the “Indenture”).</w:t>
      </w:r>
    </w:p>
    <w:p>
      <w:pPr>
        <w:spacing w:after="0" w:line="87" w:lineRule="exact"/>
        <w:rPr>
          <w:sz w:val="20"/>
          <w:szCs w:val="20"/>
          <w:color w:val="auto"/>
        </w:rPr>
      </w:pPr>
    </w:p>
    <w:p>
      <w:pPr>
        <w:ind w:left="1300" w:right="1319"/>
        <w:spacing w:after="0" w:line="251" w:lineRule="auto"/>
        <w:rPr>
          <w:sz w:val="20"/>
          <w:szCs w:val="20"/>
          <w:color w:val="auto"/>
        </w:rPr>
      </w:pPr>
      <w:r>
        <w:rPr>
          <w:rFonts w:ascii="Arial" w:cs="Arial" w:eastAsia="Arial" w:hAnsi="Arial"/>
          <w:sz w:val="14"/>
          <w:szCs w:val="14"/>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84" w:lineRule="exact"/>
        <w:rPr>
          <w:sz w:val="20"/>
          <w:szCs w:val="20"/>
          <w:color w:val="auto"/>
        </w:rPr>
      </w:pPr>
    </w:p>
    <w:p>
      <w:pPr>
        <w:ind w:left="1300" w:right="1879"/>
        <w:spacing w:after="0" w:line="283" w:lineRule="auto"/>
        <w:rPr>
          <w:sz w:val="20"/>
          <w:szCs w:val="20"/>
          <w:color w:val="auto"/>
        </w:rPr>
      </w:pPr>
      <w:r>
        <w:rPr>
          <w:rFonts w:ascii="Arial" w:cs="Arial" w:eastAsia="Arial" w:hAnsi="Arial"/>
          <w:sz w:val="14"/>
          <w:szCs w:val="14"/>
          <w:i w:val="1"/>
          <w:iCs w:val="1"/>
          <w:color w:val="auto"/>
        </w:rPr>
        <w:t>The registered holder of a note will be treated as the owner of such note for all purposes. Only registered holders will have rights under the Indenture.</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4"/>
          <w:szCs w:val="14"/>
          <w:i w:val="1"/>
          <w:iCs w:val="1"/>
          <w:color w:val="auto"/>
        </w:rPr>
        <w:t>The definition of certain terms used in this description are summarized under the subheading</w:t>
      </w:r>
    </w:p>
    <w:p>
      <w:pPr>
        <w:spacing w:after="0" w:line="9" w:lineRule="exact"/>
        <w:rPr>
          <w:sz w:val="20"/>
          <w:szCs w:val="20"/>
          <w:color w:val="auto"/>
        </w:rPr>
      </w:pPr>
    </w:p>
    <w:p>
      <w:pPr>
        <w:ind w:left="1300" w:right="1499"/>
        <w:spacing w:after="0" w:line="250" w:lineRule="auto"/>
        <w:rPr>
          <w:sz w:val="20"/>
          <w:szCs w:val="20"/>
          <w:color w:val="auto"/>
        </w:rPr>
      </w:pPr>
      <w:r>
        <w:rPr>
          <w:rFonts w:ascii="Arial" w:cs="Arial" w:eastAsia="Arial" w:hAnsi="Arial"/>
          <w:sz w:val="14"/>
          <w:szCs w:val="14"/>
          <w:i w:val="1"/>
          <w:iCs w:val="1"/>
          <w:color w:val="auto"/>
        </w:rPr>
        <w:t>“— Certain Definitions.” In this description, references to “Micron,” “us,” “we,” “our” or the “Company” refer only to Micron Technology, Inc. and not to any of its subsidiaries.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General</w:t>
      </w:r>
    </w:p>
    <w:p>
      <w:pPr>
        <w:spacing w:after="0" w:line="116" w:lineRule="exact"/>
        <w:rPr>
          <w:sz w:val="20"/>
          <w:szCs w:val="20"/>
          <w:color w:val="auto"/>
        </w:rPr>
      </w:pPr>
    </w:p>
    <w:p>
      <w:pPr>
        <w:ind w:left="1300" w:right="1339"/>
        <w:spacing w:after="0" w:line="270" w:lineRule="auto"/>
        <w:rPr>
          <w:sz w:val="20"/>
          <w:szCs w:val="20"/>
          <w:color w:val="auto"/>
        </w:rPr>
      </w:pPr>
      <w:r>
        <w:rPr>
          <w:rFonts w:ascii="Arial" w:cs="Arial" w:eastAsia="Arial" w:hAnsi="Arial"/>
          <w:sz w:val="14"/>
          <w:szCs w:val="14"/>
          <w:color w:val="auto"/>
        </w:rPr>
        <w:t>We will issue $1,000,000,000 aggregate principal amount of notes. The notes will mature on January 15, 2035. Interest on the notes will accrue at the rate of 5.80% per annum.</w:t>
      </w:r>
    </w:p>
    <w:p>
      <w:pPr>
        <w:spacing w:after="0" w:line="69" w:lineRule="exact"/>
        <w:rPr>
          <w:sz w:val="20"/>
          <w:szCs w:val="20"/>
          <w:color w:val="auto"/>
        </w:rPr>
      </w:pPr>
    </w:p>
    <w:p>
      <w:pPr>
        <w:ind w:left="1300" w:right="1359"/>
        <w:spacing w:after="0" w:line="244" w:lineRule="auto"/>
        <w:rPr>
          <w:sz w:val="20"/>
          <w:szCs w:val="20"/>
          <w:color w:val="auto"/>
        </w:rPr>
      </w:pPr>
      <w:r>
        <w:rPr>
          <w:rFonts w:ascii="Arial" w:cs="Arial" w:eastAsia="Arial" w:hAnsi="Arial"/>
          <w:sz w:val="14"/>
          <w:szCs w:val="14"/>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89" w:lineRule="exact"/>
        <w:rPr>
          <w:sz w:val="20"/>
          <w:szCs w:val="20"/>
          <w:color w:val="auto"/>
        </w:rPr>
      </w:pPr>
    </w:p>
    <w:p>
      <w:pPr>
        <w:ind w:left="1300" w:right="1339"/>
        <w:spacing w:after="0" w:line="248" w:lineRule="auto"/>
        <w:rPr>
          <w:sz w:val="20"/>
          <w:szCs w:val="20"/>
          <w:color w:val="auto"/>
        </w:rPr>
      </w:pPr>
      <w:r>
        <w:rPr>
          <w:rFonts w:ascii="Arial" w:cs="Arial" w:eastAsia="Arial" w:hAnsi="Arial"/>
          <w:sz w:val="14"/>
          <w:szCs w:val="14"/>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Interest</w:t>
      </w:r>
    </w:p>
    <w:p>
      <w:pPr>
        <w:spacing w:after="0" w:line="116" w:lineRule="exact"/>
        <w:rPr>
          <w:sz w:val="20"/>
          <w:szCs w:val="20"/>
          <w:color w:val="auto"/>
        </w:rPr>
      </w:pPr>
    </w:p>
    <w:p>
      <w:pPr>
        <w:ind w:left="1300" w:right="1499"/>
        <w:spacing w:after="0" w:line="248" w:lineRule="auto"/>
        <w:rPr>
          <w:sz w:val="20"/>
          <w:szCs w:val="20"/>
          <w:color w:val="auto"/>
        </w:rPr>
      </w:pPr>
      <w:r>
        <w:rPr>
          <w:rFonts w:ascii="Arial" w:cs="Arial" w:eastAsia="Arial" w:hAnsi="Arial"/>
          <w:sz w:val="14"/>
          <w:szCs w:val="14"/>
          <w:color w:val="auto"/>
        </w:rPr>
        <w:t>The notes will accrue interest at a rate of 5.80% per annum. Interest on the notes will accrue from January 16, 2025, or from the most recent interest payment date to which interest has been paid or provided for, to, but excluding, the relevant interest payment date. The Company will make interest payments on the notes semi-annually in arrears on January 15 and July 15 of each year, beginning on July 15, 2025, to the Person in whose name such notes are registered at the close of business on the immediately preceding January 1 or July 1, as applicable.</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Interest on the notes will be computed on the basis of a 360-day year of twelve 30-day months.</w:t>
      </w:r>
    </w:p>
    <w:p>
      <w:pPr>
        <w:spacing w:after="0" w:line="123" w:lineRule="exact"/>
        <w:rPr>
          <w:sz w:val="20"/>
          <w:szCs w:val="20"/>
          <w:color w:val="auto"/>
        </w:rPr>
      </w:pPr>
    </w:p>
    <w:p>
      <w:pPr>
        <w:ind w:left="1300" w:right="1359"/>
        <w:spacing w:after="0" w:line="281" w:lineRule="auto"/>
        <w:rPr>
          <w:sz w:val="20"/>
          <w:szCs w:val="20"/>
          <w:color w:val="auto"/>
        </w:rPr>
      </w:pPr>
      <w:r>
        <w:rPr>
          <w:rFonts w:ascii="Arial" w:cs="Arial" w:eastAsia="Arial" w:hAnsi="Arial"/>
          <w:sz w:val="13"/>
          <w:szCs w:val="13"/>
          <w:color w:val="auto"/>
        </w:rPr>
        <w:t>If an interest payment date for the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Optional Redemption</w:t>
      </w:r>
    </w:p>
    <w:p>
      <w:pPr>
        <w:spacing w:after="0" w:line="127" w:lineRule="exact"/>
        <w:rPr>
          <w:sz w:val="20"/>
          <w:szCs w:val="20"/>
          <w:color w:val="auto"/>
        </w:rPr>
      </w:pPr>
    </w:p>
    <w:p>
      <w:pPr>
        <w:jc w:val="both"/>
        <w:ind w:left="1300" w:right="1519"/>
        <w:spacing w:after="0" w:line="268" w:lineRule="auto"/>
        <w:rPr>
          <w:sz w:val="20"/>
          <w:szCs w:val="20"/>
          <w:color w:val="auto"/>
        </w:rPr>
      </w:pPr>
      <w:r>
        <w:rPr>
          <w:rFonts w:ascii="Arial" w:cs="Arial" w:eastAsia="Arial" w:hAnsi="Arial"/>
          <w:sz w:val="14"/>
          <w:szCs w:val="14"/>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50" w:lineRule="exact"/>
        <w:rPr>
          <w:sz w:val="20"/>
          <w:szCs w:val="20"/>
          <w:color w:val="auto"/>
        </w:rPr>
      </w:pPr>
    </w:p>
    <w:p>
      <w:pPr>
        <w:ind w:left="1720" w:right="1359" w:hanging="134"/>
        <w:spacing w:after="0" w:line="262" w:lineRule="auto"/>
        <w:tabs>
          <w:tab w:leader="none" w:pos="1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(ii) interest accrued to the date of redemption, and</w:t>
      </w:r>
    </w:p>
    <w:p>
      <w:pPr>
        <w:spacing w:after="0" w:line="54" w:lineRule="exact"/>
        <w:rPr>
          <w:rFonts w:ascii="Arial" w:cs="Arial" w:eastAsia="Arial" w:hAnsi="Arial"/>
          <w:sz w:val="14"/>
          <w:szCs w:val="14"/>
          <w:color w:val="auto"/>
        </w:rPr>
      </w:pPr>
    </w:p>
    <w:p>
      <w:pPr>
        <w:ind w:left="1720" w:hanging="134"/>
        <w:spacing w:after="0"/>
        <w:tabs>
          <w:tab w:leader="none" w:pos="1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100% of the principal amount of the notes to be redeemed,</w:t>
      </w:r>
    </w:p>
    <w:p>
      <w:pPr>
        <w:spacing w:after="0" w:line="123" w:lineRule="exact"/>
        <w:rPr>
          <w:sz w:val="20"/>
          <w:szCs w:val="20"/>
          <w:color w:val="auto"/>
        </w:rPr>
      </w:pPr>
    </w:p>
    <w:p>
      <w:pPr>
        <w:ind w:left="1300" w:right="1559"/>
        <w:spacing w:after="0" w:line="286" w:lineRule="auto"/>
        <w:rPr>
          <w:sz w:val="20"/>
          <w:szCs w:val="20"/>
          <w:color w:val="auto"/>
        </w:rPr>
      </w:pPr>
      <w:r>
        <w:rPr>
          <w:rFonts w:ascii="Arial" w:cs="Arial" w:eastAsia="Arial" w:hAnsi="Arial"/>
          <w:sz w:val="14"/>
          <w:szCs w:val="14"/>
          <w:color w:val="auto"/>
        </w:rPr>
        <w:t>plus accrued and unpaid interest, if any, on the amount being redeemed to, but excluding, the date of redemption. We will calculate the redemption price.</w:t>
      </w:r>
    </w:p>
    <w:p>
      <w:pPr>
        <w:spacing w:after="0" w:line="58" w:lineRule="exact"/>
        <w:rPr>
          <w:sz w:val="20"/>
          <w:szCs w:val="20"/>
          <w:color w:val="auto"/>
        </w:rPr>
      </w:pPr>
    </w:p>
    <w:p>
      <w:pPr>
        <w:ind w:left="1300" w:right="1379"/>
        <w:spacing w:after="0" w:line="298" w:lineRule="auto"/>
        <w:rPr>
          <w:sz w:val="20"/>
          <w:szCs w:val="20"/>
          <w:color w:val="auto"/>
        </w:rPr>
      </w:pPr>
      <w:r>
        <w:rPr>
          <w:rFonts w:ascii="Arial" w:cs="Arial" w:eastAsia="Arial" w:hAnsi="Arial"/>
          <w:sz w:val="13"/>
          <w:szCs w:val="13"/>
          <w:color w:val="auto"/>
        </w:rPr>
        <w:t>On or after the Par Call Date, the Company may, at its option, redeem the notes, in whole or in part, at any time and from time to time, at a redemption price equal to 100% of the principal amount of the notes redeemed, plus accrued and unpaid interest thereon, if any, to, but excluding, the date of redemption.</w:t>
      </w:r>
    </w:p>
    <w:p>
      <w:pPr>
        <w:spacing w:after="0" w:line="6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“Par Call Date” means October 15, 2034 (three months prior to the maturity date of the notes).</w:t>
      </w:r>
    </w:p>
    <w:p>
      <w:pPr>
        <w:spacing w:after="0" w:line="123" w:lineRule="exact"/>
        <w:rPr>
          <w:sz w:val="20"/>
          <w:szCs w:val="20"/>
          <w:color w:val="auto"/>
        </w:rPr>
      </w:pPr>
    </w:p>
    <w:p>
      <w:pPr>
        <w:ind w:left="1300" w:right="1319"/>
        <w:spacing w:after="0" w:line="253" w:lineRule="auto"/>
        <w:rPr>
          <w:sz w:val="20"/>
          <w:szCs w:val="20"/>
          <w:color w:val="auto"/>
        </w:rPr>
      </w:pPr>
      <w:r>
        <w:rPr>
          <w:rFonts w:ascii="Arial" w:cs="Arial" w:eastAsia="Arial" w:hAnsi="Arial"/>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selection of the notes for redemption will be made pro rata, by lot or by such other method as the Trustee deems fair and appropriate.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Euroclear or Clearstream (or another depositary), the redemption of the notes shall be done in accordance with the policies and procedures of the depositary. Any redemption or notice of redemption may, at the Company’s discretion, be subject to one or more conditions precedent.</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Mandatory Redemption; Offers to Purchase; Open Market Purchases</w:t>
      </w:r>
    </w:p>
    <w:p>
      <w:pPr>
        <w:spacing w:after="0" w:line="116" w:lineRule="exact"/>
        <w:rPr>
          <w:sz w:val="20"/>
          <w:szCs w:val="20"/>
          <w:color w:val="auto"/>
        </w:rPr>
      </w:pPr>
    </w:p>
    <w:p>
      <w:pPr>
        <w:ind w:left="1300" w:right="1379"/>
        <w:spacing w:after="0" w:line="259" w:lineRule="auto"/>
        <w:rPr>
          <w:sz w:val="20"/>
          <w:szCs w:val="20"/>
          <w:color w:val="auto"/>
        </w:rPr>
      </w:pPr>
      <w:r>
        <w:rPr>
          <w:rFonts w:ascii="Arial" w:cs="Arial" w:eastAsia="Arial" w:hAnsi="Arial"/>
          <w:sz w:val="14"/>
          <w:szCs w:val="14"/>
          <w:color w:val="auto"/>
        </w:rPr>
        <w:t>The Company is not required to make any mandatory redemption or sinking fund payments with respect to the notes. However, under certain circumstances, the Company may be required to offer to purchase the notes as described under the caption “— Repurchase of Notes upon a Change of Control Triggering Event.” The Company may at any time, and from time to time, purchase notes in the open market or otherwise.</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Ranking</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notes are general unsecured obligations of the Company. As a result, the notes rank:</w:t>
      </w:r>
    </w:p>
    <w:p>
      <w:pPr>
        <w:spacing w:after="0" w:line="92" w:lineRule="exact"/>
        <w:rPr>
          <w:sz w:val="20"/>
          <w:szCs w:val="20"/>
          <w:color w:val="auto"/>
        </w:rPr>
      </w:pPr>
    </w:p>
    <w:p>
      <w:pPr>
        <w:ind w:left="1720" w:right="1319" w:hanging="134"/>
        <w:spacing w:after="0" w:line="286" w:lineRule="auto"/>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pari passu </w:t>
      </w:r>
      <w:r>
        <w:rPr>
          <w:rFonts w:ascii="Arial" w:cs="Arial" w:eastAsia="Arial" w:hAnsi="Arial"/>
          <w:sz w:val="14"/>
          <w:szCs w:val="14"/>
          <w:color w:val="auto"/>
        </w:rPr>
        <w:t>in right of payment with all existing and future unsecured unsubordinated indebtedness</w:t>
      </w:r>
      <w:r>
        <w:rPr>
          <w:rFonts w:ascii="Arial" w:cs="Arial" w:eastAsia="Arial" w:hAnsi="Arial"/>
          <w:sz w:val="14"/>
          <w:szCs w:val="14"/>
          <w:i w:val="1"/>
          <w:iCs w:val="1"/>
          <w:color w:val="auto"/>
        </w:rPr>
        <w:t xml:space="preserve"> </w:t>
      </w:r>
      <w:r>
        <w:rPr>
          <w:rFonts w:ascii="Arial" w:cs="Arial" w:eastAsia="Arial" w:hAnsi="Arial"/>
          <w:sz w:val="14"/>
          <w:szCs w:val="14"/>
          <w:color w:val="auto"/>
        </w:rPr>
        <w:t>of the Company;</w:t>
      </w:r>
    </w:p>
    <w:p>
      <w:pPr>
        <w:spacing w:after="0" w:line="37" w:lineRule="exact"/>
        <w:rPr>
          <w:rFonts w:ascii="Arial" w:cs="Arial" w:eastAsia="Arial" w:hAnsi="Arial"/>
          <w:sz w:val="14"/>
          <w:szCs w:val="14"/>
          <w:color w:val="auto"/>
        </w:rPr>
      </w:pPr>
    </w:p>
    <w:p>
      <w:pPr>
        <w:ind w:left="1720" w:right="1339" w:hanging="134"/>
        <w:spacing w:after="0" w:line="268" w:lineRule="auto"/>
        <w:tabs>
          <w:tab w:leader="none" w:pos="1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structurally subordinated to any indebtedness and other liabilities of the Company’s Subsidiaries.</w:t>
      </w:r>
    </w:p>
    <w:p>
      <w:pPr>
        <w:spacing w:after="0" w:line="123" w:lineRule="exact"/>
        <w:rPr>
          <w:sz w:val="20"/>
          <w:szCs w:val="20"/>
          <w:color w:val="auto"/>
        </w:rPr>
      </w:pPr>
    </w:p>
    <w:p>
      <w:pPr>
        <w:ind w:left="1300" w:right="1359"/>
        <w:spacing w:after="0" w:line="256" w:lineRule="auto"/>
        <w:rPr>
          <w:sz w:val="20"/>
          <w:szCs w:val="20"/>
          <w:color w:val="auto"/>
        </w:rPr>
      </w:pPr>
      <w:r>
        <w:rPr>
          <w:rFonts w:ascii="Arial" w:cs="Arial" w:eastAsia="Arial" w:hAnsi="Arial"/>
          <w:sz w:val="14"/>
          <w:szCs w:val="14"/>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Repurchase of Notes upon a Change of Control Triggering Event</w:t>
      </w:r>
    </w:p>
    <w:p>
      <w:pPr>
        <w:spacing w:after="0" w:line="116" w:lineRule="exact"/>
        <w:rPr>
          <w:sz w:val="20"/>
          <w:szCs w:val="20"/>
          <w:color w:val="auto"/>
        </w:rPr>
      </w:pPr>
    </w:p>
    <w:p>
      <w:pPr>
        <w:ind w:left="1300" w:right="1339"/>
        <w:spacing w:after="0" w:line="289" w:lineRule="auto"/>
        <w:rPr>
          <w:sz w:val="20"/>
          <w:szCs w:val="20"/>
          <w:color w:val="auto"/>
        </w:rPr>
      </w:pPr>
      <w:r>
        <w:rPr>
          <w:rFonts w:ascii="Arial" w:cs="Arial" w:eastAsia="Arial" w:hAnsi="Arial"/>
          <w:sz w:val="13"/>
          <w:szCs w:val="13"/>
          <w:color w:val="auto"/>
        </w:rPr>
        <w:t>Not later than 60 days following a Change of Control Triggering Event, unless the Company has exercised its right to redeem all of the notes as described under “— Optional Redemption,” the Company will make an Offer to Purchase all of the outstanding notes at a purchase price equal to 101% of the principal amount thereof plus accrued and unpaid interest, if any, to, but excluding, the date of purchase.</w:t>
      </w:r>
    </w:p>
    <w:p>
      <w:pPr>
        <w:spacing w:after="0" w:line="69" w:lineRule="exact"/>
        <w:rPr>
          <w:sz w:val="20"/>
          <w:szCs w:val="20"/>
          <w:color w:val="auto"/>
        </w:rPr>
      </w:pPr>
    </w:p>
    <w:p>
      <w:pPr>
        <w:ind w:left="1300" w:right="1359"/>
        <w:spacing w:after="0" w:line="256" w:lineRule="auto"/>
        <w:rPr>
          <w:sz w:val="20"/>
          <w:szCs w:val="20"/>
          <w:color w:val="auto"/>
        </w:rPr>
      </w:pPr>
      <w:r>
        <w:rPr>
          <w:rFonts w:ascii="Arial" w:cs="Arial" w:eastAsia="Arial" w:hAnsi="Arial"/>
          <w:sz w:val="14"/>
          <w:szCs w:val="14"/>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89" w:lineRule="exact"/>
        <w:rPr>
          <w:sz w:val="20"/>
          <w:szCs w:val="20"/>
          <w:color w:val="auto"/>
        </w:rPr>
      </w:pPr>
    </w:p>
    <w:p>
      <w:pPr>
        <w:ind w:left="1300" w:right="1419"/>
        <w:spacing w:after="0" w:line="256" w:lineRule="auto"/>
        <w:rPr>
          <w:sz w:val="20"/>
          <w:szCs w:val="20"/>
          <w:color w:val="auto"/>
        </w:rPr>
      </w:pPr>
      <w:r>
        <w:rPr>
          <w:rFonts w:ascii="Arial" w:cs="Arial" w:eastAsia="Arial" w:hAnsi="Arial"/>
          <w:sz w:val="14"/>
          <w:szCs w:val="14"/>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82" w:lineRule="exact"/>
        <w:rPr>
          <w:sz w:val="20"/>
          <w:szCs w:val="20"/>
          <w:color w:val="auto"/>
        </w:rPr>
      </w:pPr>
    </w:p>
    <w:p>
      <w:pPr>
        <w:jc w:val="both"/>
        <w:ind w:left="1300" w:right="1679"/>
        <w:spacing w:after="0" w:line="268" w:lineRule="auto"/>
        <w:rPr>
          <w:sz w:val="20"/>
          <w:szCs w:val="20"/>
          <w:color w:val="auto"/>
        </w:rPr>
      </w:pPr>
      <w:r>
        <w:rPr>
          <w:rFonts w:ascii="Arial" w:cs="Arial" w:eastAsia="Arial" w:hAnsi="Arial"/>
          <w:sz w:val="14"/>
          <w:szCs w:val="14"/>
          <w:color w:val="auto"/>
        </w:rPr>
        <w:t>The Company will comply with Rule 14e-1 under the Exchange Act and all other applicable laws in making any Offer to Purchase, and the above procedures will be deemed modified as necessary to permit such compliance.</w:t>
      </w:r>
    </w:p>
    <w:p>
      <w:pPr>
        <w:spacing w:after="0" w:line="81" w:lineRule="exact"/>
        <w:rPr>
          <w:sz w:val="20"/>
          <w:szCs w:val="20"/>
          <w:color w:val="auto"/>
        </w:rPr>
      </w:pPr>
    </w:p>
    <w:p>
      <w:pPr>
        <w:ind w:left="1300" w:right="1339"/>
        <w:spacing w:after="0" w:line="255" w:lineRule="auto"/>
        <w:rPr>
          <w:sz w:val="20"/>
          <w:szCs w:val="20"/>
          <w:color w:val="auto"/>
        </w:rPr>
      </w:pPr>
      <w:r>
        <w:rPr>
          <w:rFonts w:ascii="Arial" w:cs="Arial" w:eastAsia="Arial" w:hAnsi="Arial"/>
          <w:sz w:val="14"/>
          <w:szCs w:val="14"/>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91" w:lineRule="exact"/>
        <w:rPr>
          <w:sz w:val="20"/>
          <w:szCs w:val="20"/>
          <w:color w:val="auto"/>
        </w:rPr>
      </w:pPr>
    </w:p>
    <w:p>
      <w:pPr>
        <w:ind w:left="1300" w:right="1379"/>
        <w:spacing w:after="0" w:line="278" w:lineRule="auto"/>
        <w:rPr>
          <w:sz w:val="20"/>
          <w:szCs w:val="20"/>
          <w:color w:val="auto"/>
        </w:rPr>
      </w:pPr>
      <w:r>
        <w:rPr>
          <w:rFonts w:ascii="Arial" w:cs="Arial" w:eastAsia="Arial" w:hAnsi="Arial"/>
          <w:sz w:val="13"/>
          <w:szCs w:val="13"/>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86" w:lineRule="auto"/>
        <w:rPr>
          <w:sz w:val="20"/>
          <w:szCs w:val="20"/>
          <w:color w:val="auto"/>
        </w:rPr>
      </w:pPr>
      <w:r>
        <w:rPr>
          <w:rFonts w:ascii="Arial" w:cs="Arial" w:eastAsia="Arial" w:hAnsi="Arial"/>
          <w:sz w:val="14"/>
          <w:szCs w:val="14"/>
          <w:color w:val="auto"/>
        </w:rPr>
        <w:t>equal to 101% of the principal amount thereof plus accrued and unpaid interest, if any, to, but excluding, the second change of control payment date.</w:t>
      </w:r>
    </w:p>
    <w:p>
      <w:pPr>
        <w:spacing w:after="0" w:line="58" w:lineRule="exact"/>
        <w:rPr>
          <w:sz w:val="20"/>
          <w:szCs w:val="20"/>
          <w:color w:val="auto"/>
        </w:rPr>
      </w:pPr>
    </w:p>
    <w:p>
      <w:pPr>
        <w:ind w:left="1300" w:right="1319"/>
        <w:spacing w:after="0" w:line="264" w:lineRule="auto"/>
        <w:rPr>
          <w:sz w:val="20"/>
          <w:szCs w:val="20"/>
          <w:color w:val="auto"/>
        </w:rPr>
      </w:pPr>
      <w:r>
        <w:rPr>
          <w:rFonts w:ascii="Arial" w:cs="Arial" w:eastAsia="Arial" w:hAnsi="Arial"/>
          <w:sz w:val="13"/>
          <w:szCs w:val="13"/>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the notes, which would violate the terms of the indenture.”</w:t>
      </w:r>
    </w:p>
    <w:p>
      <w:pPr>
        <w:spacing w:after="0" w:line="77" w:lineRule="exact"/>
        <w:rPr>
          <w:sz w:val="20"/>
          <w:szCs w:val="20"/>
          <w:color w:val="auto"/>
        </w:rPr>
      </w:pPr>
    </w:p>
    <w:p>
      <w:pPr>
        <w:ind w:left="1300" w:right="1339"/>
        <w:spacing w:after="0" w:line="268" w:lineRule="auto"/>
        <w:rPr>
          <w:sz w:val="20"/>
          <w:szCs w:val="20"/>
          <w:color w:val="auto"/>
        </w:rPr>
      </w:pPr>
      <w:r>
        <w:rPr>
          <w:rFonts w:ascii="Arial" w:cs="Arial" w:eastAsia="Arial" w:hAnsi="Arial"/>
          <w:sz w:val="13"/>
          <w:szCs w:val="13"/>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73" w:lineRule="exact"/>
        <w:rPr>
          <w:sz w:val="20"/>
          <w:szCs w:val="20"/>
          <w:color w:val="auto"/>
        </w:rPr>
      </w:pPr>
    </w:p>
    <w:p>
      <w:pPr>
        <w:ind w:left="1300" w:right="1339"/>
        <w:spacing w:after="0" w:line="242" w:lineRule="auto"/>
        <w:rPr>
          <w:sz w:val="20"/>
          <w:szCs w:val="20"/>
          <w:color w:val="auto"/>
        </w:rPr>
      </w:pPr>
      <w:r>
        <w:rPr>
          <w:rFonts w:ascii="Arial" w:cs="Arial" w:eastAsia="Arial" w:hAnsi="Arial"/>
          <w:sz w:val="14"/>
          <w:szCs w:val="14"/>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95" w:lineRule="exact"/>
        <w:rPr>
          <w:sz w:val="20"/>
          <w:szCs w:val="20"/>
          <w:color w:val="auto"/>
        </w:rPr>
      </w:pPr>
    </w:p>
    <w:p>
      <w:pPr>
        <w:jc w:val="both"/>
        <w:ind w:left="1300" w:right="1359"/>
        <w:spacing w:after="0" w:line="260" w:lineRule="auto"/>
        <w:rPr>
          <w:sz w:val="20"/>
          <w:szCs w:val="20"/>
          <w:color w:val="auto"/>
        </w:rPr>
      </w:pPr>
      <w:r>
        <w:rPr>
          <w:rFonts w:ascii="Arial" w:cs="Arial" w:eastAsia="Arial" w:hAnsi="Arial"/>
          <w:sz w:val="14"/>
          <w:szCs w:val="14"/>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Exchange and Transfer</w:t>
      </w:r>
    </w:p>
    <w:p>
      <w:pPr>
        <w:spacing w:after="0" w:line="127" w:lineRule="exact"/>
        <w:rPr>
          <w:sz w:val="20"/>
          <w:szCs w:val="20"/>
          <w:color w:val="auto"/>
        </w:rPr>
      </w:pPr>
    </w:p>
    <w:p>
      <w:pPr>
        <w:ind w:left="1300" w:right="1579"/>
        <w:spacing w:after="0" w:line="270" w:lineRule="auto"/>
        <w:rPr>
          <w:sz w:val="20"/>
          <w:szCs w:val="20"/>
          <w:color w:val="auto"/>
        </w:rPr>
      </w:pPr>
      <w:r>
        <w:rPr>
          <w:rFonts w:ascii="Arial" w:cs="Arial" w:eastAsia="Arial" w:hAnsi="Arial"/>
          <w:sz w:val="14"/>
          <w:szCs w:val="14"/>
          <w:color w:val="auto"/>
        </w:rPr>
        <w:t>Holders of the notes generally will be able to exchange their notes for other notes with the same total principal amount and the same terms.</w:t>
      </w:r>
    </w:p>
    <w:p>
      <w:pPr>
        <w:spacing w:after="0" w:line="69" w:lineRule="exact"/>
        <w:rPr>
          <w:sz w:val="20"/>
          <w:szCs w:val="20"/>
          <w:color w:val="auto"/>
        </w:rPr>
      </w:pPr>
    </w:p>
    <w:p>
      <w:pPr>
        <w:ind w:left="1300" w:right="1359"/>
        <w:spacing w:after="0" w:line="268" w:lineRule="auto"/>
        <w:rPr>
          <w:sz w:val="20"/>
          <w:szCs w:val="20"/>
          <w:color w:val="auto"/>
        </w:rPr>
      </w:pPr>
      <w:r>
        <w:rPr>
          <w:rFonts w:ascii="Arial" w:cs="Arial" w:eastAsia="Arial" w:hAnsi="Arial"/>
          <w:sz w:val="13"/>
          <w:szCs w:val="13"/>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41" w:lineRule="exact"/>
        <w:rPr>
          <w:sz w:val="20"/>
          <w:szCs w:val="20"/>
          <w:color w:val="auto"/>
        </w:rPr>
      </w:pPr>
    </w:p>
    <w:p>
      <w:pPr>
        <w:ind w:left="1720" w:hanging="134"/>
        <w:spacing w:after="0"/>
        <w:tabs>
          <w:tab w:leader="none" w:pos="1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designate additional transfer agents;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rescind the designation of any transfer agent; or</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approve a change in the office of any transfer agent.</w:t>
      </w:r>
    </w:p>
    <w:p>
      <w:pPr>
        <w:spacing w:after="0" w:line="123" w:lineRule="exact"/>
        <w:rPr>
          <w:sz w:val="20"/>
          <w:szCs w:val="20"/>
          <w:color w:val="auto"/>
        </w:rPr>
      </w:pPr>
    </w:p>
    <w:p>
      <w:pPr>
        <w:ind w:left="1300" w:right="1359"/>
        <w:spacing w:after="0" w:line="270" w:lineRule="auto"/>
        <w:rPr>
          <w:sz w:val="20"/>
          <w:szCs w:val="20"/>
          <w:color w:val="auto"/>
        </w:rPr>
      </w:pPr>
      <w:r>
        <w:rPr>
          <w:rFonts w:ascii="Arial" w:cs="Arial" w:eastAsia="Arial" w:hAnsi="Arial"/>
          <w:sz w:val="14"/>
          <w:szCs w:val="14"/>
          <w:color w:val="auto"/>
        </w:rPr>
        <w:t>However, the Company is required to maintain a transfer agent in each place of payment for the notes at all times.</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If the Company elects to redeem the notes or makes an Offer to Purchase, neither the Company nor the</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Trustee will be required to:</w:t>
      </w:r>
    </w:p>
    <w:p>
      <w:pPr>
        <w:spacing w:after="0" w:line="67" w:lineRule="exact"/>
        <w:rPr>
          <w:sz w:val="20"/>
          <w:szCs w:val="20"/>
          <w:color w:val="auto"/>
        </w:rPr>
      </w:pPr>
    </w:p>
    <w:p>
      <w:pPr>
        <w:ind w:left="1720" w:right="1339" w:hanging="134"/>
        <w:spacing w:after="0" w:line="262" w:lineRule="auto"/>
        <w:tabs>
          <w:tab w:leader="none" w:pos="1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54" w:lineRule="exact"/>
        <w:rPr>
          <w:rFonts w:ascii="Arial" w:cs="Arial" w:eastAsia="Arial" w:hAnsi="Arial"/>
          <w:sz w:val="14"/>
          <w:szCs w:val="14"/>
          <w:color w:val="auto"/>
        </w:rPr>
      </w:pPr>
    </w:p>
    <w:p>
      <w:pPr>
        <w:ind w:left="1720" w:right="1379" w:hanging="134"/>
        <w:spacing w:after="0" w:line="286" w:lineRule="auto"/>
        <w:tabs>
          <w:tab w:leader="none" w:pos="1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register the transfer or exchange of any note so selected for redemption or subject to purchase in such Offer to Purchase, except for any portion not to be redeemed or subject to purchase; or</w:t>
      </w:r>
    </w:p>
    <w:p>
      <w:pPr>
        <w:spacing w:after="0" w:line="37" w:lineRule="exact"/>
        <w:rPr>
          <w:rFonts w:ascii="Arial" w:cs="Arial" w:eastAsia="Arial" w:hAnsi="Arial"/>
          <w:sz w:val="14"/>
          <w:szCs w:val="14"/>
          <w:color w:val="auto"/>
        </w:rPr>
      </w:pPr>
    </w:p>
    <w:p>
      <w:pPr>
        <w:ind w:left="1720" w:right="1339" w:hanging="134"/>
        <w:spacing w:after="0" w:line="262" w:lineRule="auto"/>
        <w:tabs>
          <w:tab w:leader="none" w:pos="1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Payment and Paying Agents</w:t>
      </w:r>
    </w:p>
    <w:p>
      <w:pPr>
        <w:spacing w:after="0" w:line="116" w:lineRule="exact"/>
        <w:rPr>
          <w:sz w:val="20"/>
          <w:szCs w:val="20"/>
          <w:color w:val="auto"/>
        </w:rPr>
      </w:pPr>
    </w:p>
    <w:p>
      <w:pPr>
        <w:ind w:left="1300" w:right="1419"/>
        <w:spacing w:after="0" w:line="262" w:lineRule="auto"/>
        <w:rPr>
          <w:sz w:val="20"/>
          <w:szCs w:val="20"/>
          <w:color w:val="auto"/>
        </w:rPr>
      </w:pPr>
      <w:r>
        <w:rPr>
          <w:rFonts w:ascii="Arial" w:cs="Arial" w:eastAsia="Arial" w:hAnsi="Arial"/>
          <w:sz w:val="14"/>
          <w:szCs w:val="14"/>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86" w:lineRule="exact"/>
        <w:rPr>
          <w:sz w:val="20"/>
          <w:szCs w:val="20"/>
          <w:color w:val="auto"/>
        </w:rPr>
      </w:pPr>
    </w:p>
    <w:p>
      <w:pPr>
        <w:ind w:left="1300" w:right="1779"/>
        <w:spacing w:after="0" w:line="268" w:lineRule="auto"/>
        <w:rPr>
          <w:sz w:val="20"/>
          <w:szCs w:val="20"/>
          <w:color w:val="auto"/>
        </w:rPr>
      </w:pPr>
      <w:r>
        <w:rPr>
          <w:rFonts w:ascii="Arial" w:cs="Arial" w:eastAsia="Arial" w:hAnsi="Arial"/>
          <w:sz w:val="14"/>
          <w:szCs w:val="14"/>
          <w:color w:val="auto"/>
        </w:rPr>
        <w:t>The Company will pay principal, premium, if any, and interest on the notes at the offices of the designated paying agents. However, except in the case of a global security, the Company will pay interest by:</w:t>
      </w:r>
    </w:p>
    <w:p>
      <w:pPr>
        <w:spacing w:after="0" w:line="50" w:lineRule="exact"/>
        <w:rPr>
          <w:sz w:val="20"/>
          <w:szCs w:val="20"/>
          <w:color w:val="auto"/>
        </w:rPr>
      </w:pPr>
    </w:p>
    <w:p>
      <w:pPr>
        <w:ind w:left="1720" w:right="1559" w:hanging="134"/>
        <w:spacing w:after="0" w:line="286" w:lineRule="auto"/>
        <w:tabs>
          <w:tab w:leader="none" w:pos="1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check mailed to the address of the Person entitled to the payment as it appears in the security register; or</w:t>
      </w:r>
    </w:p>
    <w:p>
      <w:pPr>
        <w:spacing w:after="0" w:line="37" w:lineRule="exact"/>
        <w:rPr>
          <w:rFonts w:ascii="Arial" w:cs="Arial" w:eastAsia="Arial" w:hAnsi="Arial"/>
          <w:sz w:val="14"/>
          <w:szCs w:val="14"/>
          <w:color w:val="auto"/>
        </w:rPr>
      </w:pPr>
    </w:p>
    <w:p>
      <w:pPr>
        <w:ind w:left="1720" w:right="1339" w:hanging="134"/>
        <w:spacing w:after="0" w:line="262" w:lineRule="auto"/>
        <w:tabs>
          <w:tab w:leader="none" w:pos="1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76" w:lineRule="exact"/>
        <w:rPr>
          <w:sz w:val="20"/>
          <w:szCs w:val="20"/>
          <w:color w:val="auto"/>
        </w:rPr>
      </w:pPr>
    </w:p>
    <w:p>
      <w:pPr>
        <w:ind w:left="1300" w:right="1419"/>
        <w:spacing w:after="0" w:line="262" w:lineRule="auto"/>
        <w:rPr>
          <w:sz w:val="20"/>
          <w:szCs w:val="20"/>
          <w:color w:val="auto"/>
        </w:rPr>
      </w:pPr>
      <w:r>
        <w:rPr>
          <w:rFonts w:ascii="Arial" w:cs="Arial" w:eastAsia="Arial" w:hAnsi="Arial"/>
          <w:sz w:val="14"/>
          <w:szCs w:val="14"/>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86" w:lineRule="exact"/>
        <w:rPr>
          <w:sz w:val="20"/>
          <w:szCs w:val="20"/>
          <w:color w:val="auto"/>
        </w:rPr>
      </w:pPr>
    </w:p>
    <w:p>
      <w:pPr>
        <w:ind w:left="1300" w:right="1319"/>
        <w:spacing w:after="0" w:line="258" w:lineRule="auto"/>
        <w:rPr>
          <w:sz w:val="20"/>
          <w:szCs w:val="20"/>
          <w:color w:val="auto"/>
        </w:rPr>
      </w:pPr>
      <w:r>
        <w:rPr>
          <w:rFonts w:ascii="Arial" w:cs="Arial" w:eastAsia="Arial" w:hAnsi="Arial"/>
          <w:sz w:val="14"/>
          <w:szCs w:val="14"/>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Certain Covenants</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Limitation on Liens</w:t>
      </w:r>
    </w:p>
    <w:p>
      <w:pPr>
        <w:spacing w:after="0" w:line="111" w:lineRule="exact"/>
        <w:rPr>
          <w:sz w:val="20"/>
          <w:szCs w:val="20"/>
          <w:color w:val="auto"/>
        </w:rPr>
      </w:pPr>
    </w:p>
    <w:p>
      <w:pPr>
        <w:ind w:left="1300" w:right="1419"/>
        <w:spacing w:after="0" w:line="258" w:lineRule="auto"/>
        <w:rPr>
          <w:sz w:val="20"/>
          <w:szCs w:val="20"/>
          <w:color w:val="auto"/>
        </w:rPr>
      </w:pPr>
      <w:r>
        <w:rPr>
          <w:rFonts w:ascii="Arial" w:cs="Arial" w:eastAsia="Arial" w:hAnsi="Arial"/>
          <w:sz w:val="14"/>
          <w:szCs w:val="14"/>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60" w:lineRule="auto"/>
        <w:rPr>
          <w:sz w:val="20"/>
          <w:szCs w:val="20"/>
          <w:color w:val="auto"/>
        </w:rPr>
      </w:pPr>
      <w:r>
        <w:rPr>
          <w:rFonts w:ascii="Arial" w:cs="Arial" w:eastAsia="Arial" w:hAnsi="Arial"/>
          <w:sz w:val="14"/>
          <w:szCs w:val="14"/>
          <w:color w:val="auto"/>
        </w:rPr>
        <w:t>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77" w:lineRule="exact"/>
        <w:rPr>
          <w:sz w:val="20"/>
          <w:szCs w:val="20"/>
          <w:color w:val="auto"/>
        </w:rPr>
      </w:pPr>
    </w:p>
    <w:p>
      <w:pPr>
        <w:ind w:left="1300" w:right="1359"/>
        <w:spacing w:after="0" w:line="263" w:lineRule="auto"/>
        <w:rPr>
          <w:sz w:val="20"/>
          <w:szCs w:val="20"/>
          <w:color w:val="auto"/>
        </w:rPr>
      </w:pPr>
      <w:r>
        <w:rPr>
          <w:rFonts w:ascii="Arial" w:cs="Arial" w:eastAsia="Arial" w:hAnsi="Arial"/>
          <w:sz w:val="13"/>
          <w:szCs w:val="13"/>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79" w:lineRule="exact"/>
        <w:rPr>
          <w:sz w:val="20"/>
          <w:szCs w:val="20"/>
          <w:color w:val="auto"/>
        </w:rPr>
      </w:pPr>
    </w:p>
    <w:p>
      <w:pPr>
        <w:ind w:left="1300" w:right="1319"/>
        <w:spacing w:after="0" w:line="262" w:lineRule="auto"/>
        <w:rPr>
          <w:sz w:val="20"/>
          <w:szCs w:val="20"/>
          <w:color w:val="auto"/>
        </w:rPr>
      </w:pPr>
      <w:r>
        <w:rPr>
          <w:rFonts w:ascii="Arial" w:cs="Arial" w:eastAsia="Arial" w:hAnsi="Arial"/>
          <w:sz w:val="13"/>
          <w:szCs w:val="13"/>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241" w:lineRule="exact"/>
        <w:rPr>
          <w:sz w:val="20"/>
          <w:szCs w:val="20"/>
          <w:color w:val="auto"/>
        </w:rPr>
      </w:pPr>
    </w:p>
    <w:p>
      <w:pPr>
        <w:ind w:left="1300" w:right="1399"/>
        <w:spacing w:after="0" w:line="252" w:lineRule="auto"/>
        <w:rPr>
          <w:sz w:val="20"/>
          <w:szCs w:val="20"/>
          <w:color w:val="auto"/>
        </w:rPr>
      </w:pPr>
      <w:r>
        <w:rPr>
          <w:rFonts w:ascii="Arial" w:cs="Arial" w:eastAsia="Arial" w:hAnsi="Arial"/>
          <w:sz w:val="14"/>
          <w:szCs w:val="14"/>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36"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Limitation on Sale and Lease-Back Transactions</w:t>
      </w:r>
    </w:p>
    <w:p>
      <w:pPr>
        <w:spacing w:after="0" w:line="121" w:lineRule="exact"/>
        <w:rPr>
          <w:sz w:val="20"/>
          <w:szCs w:val="20"/>
          <w:color w:val="auto"/>
        </w:rPr>
      </w:pPr>
    </w:p>
    <w:p>
      <w:pPr>
        <w:ind w:left="1300" w:right="1339"/>
        <w:spacing w:after="0" w:line="260" w:lineRule="auto"/>
        <w:rPr>
          <w:sz w:val="20"/>
          <w:szCs w:val="20"/>
          <w:color w:val="auto"/>
        </w:rPr>
      </w:pPr>
      <w:r>
        <w:rPr>
          <w:rFonts w:ascii="Arial" w:cs="Arial" w:eastAsia="Arial" w:hAnsi="Arial"/>
          <w:sz w:val="14"/>
          <w:szCs w:val="14"/>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34" w:lineRule="exact"/>
        <w:rPr>
          <w:sz w:val="20"/>
          <w:szCs w:val="20"/>
          <w:color w:val="auto"/>
        </w:rPr>
      </w:pPr>
    </w:p>
    <w:p>
      <w:pPr>
        <w:ind w:left="1720" w:hanging="134"/>
        <w:spacing w:after="0"/>
        <w:tabs>
          <w:tab w:leader="none" w:pos="1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such transaction was entered into prior to the Issue Date;</w:t>
      </w:r>
    </w:p>
    <w:p>
      <w:pPr>
        <w:spacing w:after="0" w:line="81" w:lineRule="exact"/>
        <w:rPr>
          <w:rFonts w:ascii="Arial" w:cs="Arial" w:eastAsia="Arial" w:hAnsi="Arial"/>
          <w:sz w:val="14"/>
          <w:szCs w:val="14"/>
          <w:color w:val="auto"/>
        </w:rPr>
      </w:pPr>
    </w:p>
    <w:p>
      <w:pPr>
        <w:ind w:left="1720" w:right="1399" w:hanging="134"/>
        <w:spacing w:after="0" w:line="286" w:lineRule="auto"/>
        <w:tabs>
          <w:tab w:leader="none" w:pos="1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such transaction was for the sale and leasing back to the Company or a Restricted Subsidiary by the Company or any Subsidiary of any Principal Property;</w:t>
      </w:r>
    </w:p>
    <w:p>
      <w:pPr>
        <w:spacing w:after="0" w:line="26" w:lineRule="exact"/>
        <w:rPr>
          <w:rFonts w:ascii="Arial" w:cs="Arial" w:eastAsia="Arial" w:hAnsi="Arial"/>
          <w:sz w:val="14"/>
          <w:szCs w:val="14"/>
          <w:color w:val="auto"/>
        </w:rPr>
      </w:pPr>
    </w:p>
    <w:p>
      <w:pPr>
        <w:ind w:left="1720" w:hanging="134"/>
        <w:spacing w:after="0"/>
        <w:tabs>
          <w:tab w:leader="none" w:pos="1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such transaction involves a lease of a Principal Property executed by the time of or within</w:t>
      </w:r>
    </w:p>
    <w:p>
      <w:pPr>
        <w:spacing w:after="0" w:line="21" w:lineRule="exact"/>
        <w:rPr>
          <w:rFonts w:ascii="Arial" w:cs="Arial" w:eastAsia="Arial" w:hAnsi="Arial"/>
          <w:sz w:val="14"/>
          <w:szCs w:val="14"/>
          <w:color w:val="auto"/>
        </w:rPr>
      </w:pPr>
    </w:p>
    <w:p>
      <w:pPr>
        <w:ind w:left="1720" w:right="1339"/>
        <w:spacing w:after="0" w:line="255" w:lineRule="auto"/>
        <w:rPr>
          <w:rFonts w:ascii="Arial" w:cs="Arial" w:eastAsia="Arial" w:hAnsi="Arial"/>
          <w:sz w:val="14"/>
          <w:szCs w:val="14"/>
          <w:color w:val="auto"/>
        </w:rPr>
      </w:pPr>
      <w:r>
        <w:rPr>
          <w:rFonts w:ascii="Arial" w:cs="Arial" w:eastAsia="Arial" w:hAnsi="Arial"/>
          <w:sz w:val="14"/>
          <w:szCs w:val="14"/>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48" w:lineRule="exact"/>
        <w:rPr>
          <w:rFonts w:ascii="Arial" w:cs="Arial" w:eastAsia="Arial" w:hAnsi="Arial"/>
          <w:sz w:val="14"/>
          <w:szCs w:val="14"/>
          <w:color w:val="auto"/>
        </w:rPr>
      </w:pPr>
    </w:p>
    <w:p>
      <w:pPr>
        <w:ind w:left="1720" w:right="1499" w:hanging="134"/>
        <w:spacing w:after="0" w:line="261" w:lineRule="auto"/>
        <w:tabs>
          <w:tab w:leader="none" w:pos="1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such transaction involves a lease for not more than three years (or which may be terminated by the Company or the applicable Restricted Subsidiary within a period of not more than</w:t>
      </w:r>
    </w:p>
    <w:p>
      <w:pPr>
        <w:ind w:left="1720"/>
        <w:spacing w:after="0"/>
        <w:rPr>
          <w:rFonts w:ascii="Arial" w:cs="Arial" w:eastAsia="Arial" w:hAnsi="Arial"/>
          <w:sz w:val="14"/>
          <w:szCs w:val="14"/>
          <w:color w:val="auto"/>
        </w:rPr>
      </w:pPr>
      <w:r>
        <w:rPr>
          <w:rFonts w:ascii="Arial" w:cs="Arial" w:eastAsia="Arial" w:hAnsi="Arial"/>
          <w:sz w:val="14"/>
          <w:szCs w:val="14"/>
          <w:color w:val="auto"/>
        </w:rPr>
        <w:t>three years);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419" w:hanging="134"/>
        <w:spacing w:after="0" w:line="262" w:lineRule="auto"/>
        <w:tabs>
          <w:tab w:leader="none" w:pos="1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54" w:lineRule="exact"/>
        <w:rPr>
          <w:rFonts w:ascii="Arial" w:cs="Arial" w:eastAsia="Arial" w:hAnsi="Arial"/>
          <w:sz w:val="14"/>
          <w:szCs w:val="14"/>
          <w:color w:val="auto"/>
        </w:rPr>
      </w:pPr>
    </w:p>
    <w:p>
      <w:pPr>
        <w:ind w:left="1720" w:right="1319" w:hanging="134"/>
        <w:spacing w:after="0" w:line="279" w:lineRule="auto"/>
        <w:tabs>
          <w:tab w:leader="none" w:pos="1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78" w:lineRule="exact"/>
        <w:rPr>
          <w:sz w:val="20"/>
          <w:szCs w:val="20"/>
          <w:color w:val="auto"/>
        </w:rPr>
      </w:pPr>
    </w:p>
    <w:p>
      <w:pPr>
        <w:ind w:left="1300" w:right="1339"/>
        <w:spacing w:after="0" w:line="259" w:lineRule="auto"/>
        <w:rPr>
          <w:sz w:val="20"/>
          <w:szCs w:val="20"/>
          <w:color w:val="auto"/>
        </w:rPr>
      </w:pPr>
      <w:r>
        <w:rPr>
          <w:rFonts w:ascii="Arial" w:cs="Arial" w:eastAsia="Arial" w:hAnsi="Arial"/>
          <w:sz w:val="14"/>
          <w:szCs w:val="14"/>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43" w:lineRule="exact"/>
        <w:rPr>
          <w:sz w:val="20"/>
          <w:szCs w:val="20"/>
          <w:color w:val="auto"/>
        </w:rPr>
      </w:pPr>
    </w:p>
    <w:p>
      <w:pPr>
        <w:ind w:left="1580" w:right="1739"/>
        <w:spacing w:after="0" w:line="295" w:lineRule="auto"/>
        <w:rPr>
          <w:sz w:val="20"/>
          <w:szCs w:val="20"/>
          <w:color w:val="auto"/>
        </w:rPr>
      </w:pPr>
      <w:r>
        <w:rPr>
          <w:rFonts w:ascii="Arial" w:cs="Arial" w:eastAsia="Arial" w:hAnsi="Arial"/>
          <w:sz w:val="14"/>
          <w:szCs w:val="14"/>
          <w:b w:val="1"/>
          <w:bCs w:val="1"/>
          <w:i w:val="1"/>
          <w:iCs w:val="1"/>
          <w:color w:val="auto"/>
        </w:rPr>
        <w:t>Consolidation, Merger and Conveyance, Transfer and Lease of All or Substantially All Assets</w:t>
      </w:r>
    </w:p>
    <w:p>
      <w:pPr>
        <w:spacing w:after="0" w:line="55" w:lineRule="exact"/>
        <w:rPr>
          <w:sz w:val="20"/>
          <w:szCs w:val="20"/>
          <w:color w:val="auto"/>
        </w:rPr>
      </w:pPr>
    </w:p>
    <w:p>
      <w:pPr>
        <w:ind w:left="1300" w:right="1939"/>
        <w:spacing w:after="0" w:line="286" w:lineRule="auto"/>
        <w:rPr>
          <w:sz w:val="20"/>
          <w:szCs w:val="20"/>
          <w:color w:val="auto"/>
        </w:rPr>
      </w:pPr>
      <w:r>
        <w:rPr>
          <w:rFonts w:ascii="Arial" w:cs="Arial" w:eastAsia="Arial" w:hAnsi="Arial"/>
          <w:sz w:val="14"/>
          <w:szCs w:val="14"/>
          <w:color w:val="auto"/>
        </w:rPr>
        <w:t>The Company may not consolidate with or merge with or into, or convey, transfer or lease all or substantially all of its properties and assets to, any person (a “successor person”) unless:</w:t>
      </w:r>
    </w:p>
    <w:p>
      <w:pPr>
        <w:spacing w:after="0" w:line="58" w:lineRule="exact"/>
        <w:rPr>
          <w:sz w:val="20"/>
          <w:szCs w:val="20"/>
          <w:color w:val="auto"/>
        </w:rPr>
      </w:pPr>
    </w:p>
    <w:p>
      <w:pPr>
        <w:ind w:left="1860" w:right="1419" w:hanging="274"/>
        <w:spacing w:after="0" w:line="262" w:lineRule="auto"/>
        <w:tabs>
          <w:tab w:leader="none" w:pos="1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86" w:lineRule="exact"/>
        <w:rPr>
          <w:rFonts w:ascii="Arial" w:cs="Arial" w:eastAsia="Arial" w:hAnsi="Arial"/>
          <w:sz w:val="14"/>
          <w:szCs w:val="14"/>
          <w:color w:val="auto"/>
        </w:rPr>
      </w:pPr>
    </w:p>
    <w:p>
      <w:pPr>
        <w:jc w:val="both"/>
        <w:ind w:left="1860" w:right="1419" w:hanging="274"/>
        <w:spacing w:after="0" w:line="268" w:lineRule="auto"/>
        <w:tabs>
          <w:tab w:leader="none" w:pos="1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81" w:lineRule="exact"/>
        <w:rPr>
          <w:rFonts w:ascii="Arial" w:cs="Arial" w:eastAsia="Arial" w:hAnsi="Arial"/>
          <w:sz w:val="14"/>
          <w:szCs w:val="14"/>
          <w:color w:val="auto"/>
        </w:rPr>
      </w:pPr>
    </w:p>
    <w:p>
      <w:pPr>
        <w:ind w:left="1860" w:hanging="274"/>
        <w:spacing w:after="0"/>
        <w:tabs>
          <w:tab w:leader="none" w:pos="1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other conditions are met.</w:t>
      </w:r>
    </w:p>
    <w:p>
      <w:pPr>
        <w:spacing w:after="0" w:line="113" w:lineRule="exact"/>
        <w:rPr>
          <w:sz w:val="20"/>
          <w:szCs w:val="20"/>
          <w:color w:val="auto"/>
        </w:rPr>
      </w:pPr>
    </w:p>
    <w:p>
      <w:pPr>
        <w:ind w:left="1300" w:right="1439"/>
        <w:spacing w:after="0" w:line="268" w:lineRule="auto"/>
        <w:rPr>
          <w:sz w:val="20"/>
          <w:szCs w:val="20"/>
          <w:color w:val="auto"/>
        </w:rPr>
      </w:pPr>
      <w:r>
        <w:rPr>
          <w:rFonts w:ascii="Arial" w:cs="Arial" w:eastAsia="Arial" w:hAnsi="Arial"/>
          <w:sz w:val="14"/>
          <w:szCs w:val="14"/>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Provision of Financial Information</w:t>
      </w:r>
    </w:p>
    <w:p>
      <w:pPr>
        <w:spacing w:after="0" w:line="127" w:lineRule="exact"/>
        <w:rPr>
          <w:sz w:val="20"/>
          <w:szCs w:val="20"/>
          <w:color w:val="auto"/>
        </w:rPr>
      </w:pPr>
    </w:p>
    <w:p>
      <w:pPr>
        <w:ind w:left="1300" w:right="1319"/>
        <w:spacing w:after="0" w:line="254" w:lineRule="auto"/>
        <w:rPr>
          <w:sz w:val="20"/>
          <w:szCs w:val="20"/>
          <w:color w:val="auto"/>
        </w:rPr>
      </w:pPr>
      <w:r>
        <w:rPr>
          <w:rFonts w:ascii="Arial" w:cs="Arial" w:eastAsia="Arial" w:hAnsi="Arial"/>
          <w:sz w:val="14"/>
          <w:szCs w:val="14"/>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Certain Definitions</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As used in this section, the following terms have the meanings set forth below.</w:t>
      </w:r>
    </w:p>
    <w:p>
      <w:pPr>
        <w:spacing w:after="0" w:line="113" w:lineRule="exact"/>
        <w:rPr>
          <w:sz w:val="20"/>
          <w:szCs w:val="20"/>
          <w:color w:val="auto"/>
        </w:rPr>
      </w:pPr>
    </w:p>
    <w:p>
      <w:pPr>
        <w:ind w:left="1300" w:right="1359"/>
        <w:spacing w:after="0" w:line="273" w:lineRule="auto"/>
        <w:rPr>
          <w:sz w:val="20"/>
          <w:szCs w:val="20"/>
          <w:color w:val="auto"/>
        </w:rPr>
      </w:pPr>
      <w:r>
        <w:rPr>
          <w:rFonts w:ascii="Arial" w:cs="Arial" w:eastAsia="Arial" w:hAnsi="Arial"/>
          <w:sz w:val="13"/>
          <w:szCs w:val="13"/>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w:t>
      </w:r>
    </w:p>
    <w:p>
      <w:pPr>
        <w:ind w:left="1520" w:hanging="215"/>
        <w:spacing w:after="0"/>
        <w:tabs>
          <w:tab w:leader="none" w:pos="1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the extent that Indebtedness relating thereto is included in clause (1) of this definition, provided</w:t>
      </w:r>
    </w:p>
    <w:p>
      <w:pPr>
        <w:spacing w:after="0" w:line="7" w:lineRule="exact"/>
        <w:rPr>
          <w:rFonts w:ascii="Arial" w:cs="Arial" w:eastAsia="Arial" w:hAnsi="Arial"/>
          <w:sz w:val="14"/>
          <w:szCs w:val="14"/>
          <w:color w:val="auto"/>
        </w:rPr>
      </w:pPr>
    </w:p>
    <w:p>
      <w:pPr>
        <w:ind w:left="1300" w:right="1319"/>
        <w:spacing w:after="0" w:line="270" w:lineRule="auto"/>
        <w:rPr>
          <w:rFonts w:ascii="Arial" w:cs="Arial" w:eastAsia="Arial" w:hAnsi="Arial"/>
          <w:sz w:val="14"/>
          <w:szCs w:val="14"/>
          <w:color w:val="auto"/>
        </w:rPr>
      </w:pPr>
      <w:r>
        <w:rPr>
          <w:rFonts w:ascii="Arial" w:cs="Arial" w:eastAsia="Arial" w:hAnsi="Arial"/>
          <w:sz w:val="13"/>
          <w:szCs w:val="13"/>
          <w:color w:val="auto"/>
        </w:rPr>
        <w:t>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w:t>
      </w:r>
    </w:p>
    <w:p>
      <w:pPr>
        <w:spacing w:after="0" w:line="1" w:lineRule="exact"/>
        <w:rPr>
          <w:rFonts w:ascii="Arial" w:cs="Arial" w:eastAsia="Arial" w:hAnsi="Arial"/>
          <w:sz w:val="14"/>
          <w:szCs w:val="14"/>
          <w:color w:val="auto"/>
        </w:rPr>
      </w:pPr>
    </w:p>
    <w:p>
      <w:pPr>
        <w:ind w:left="1300" w:right="1339"/>
        <w:spacing w:after="0" w:line="252" w:lineRule="auto"/>
        <w:rPr>
          <w:rFonts w:ascii="Arial" w:cs="Arial" w:eastAsia="Arial" w:hAnsi="Arial"/>
          <w:sz w:val="14"/>
          <w:szCs w:val="14"/>
          <w:color w:val="auto"/>
        </w:rPr>
      </w:pPr>
      <w:r>
        <w:rPr>
          <w:rFonts w:ascii="Arial" w:cs="Arial" w:eastAsia="Arial" w:hAnsi="Arial"/>
          <w:sz w:val="14"/>
          <w:szCs w:val="14"/>
          <w:color w:val="auto"/>
        </w:rPr>
        <w:t>(i)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94" w:lineRule="exact"/>
        <w:rPr>
          <w:sz w:val="20"/>
          <w:szCs w:val="20"/>
          <w:color w:val="auto"/>
        </w:rPr>
      </w:pPr>
    </w:p>
    <w:p>
      <w:pPr>
        <w:ind w:left="1300" w:right="1359"/>
        <w:spacing w:after="0" w:line="258" w:lineRule="auto"/>
        <w:rPr>
          <w:sz w:val="20"/>
          <w:szCs w:val="20"/>
          <w:color w:val="auto"/>
        </w:rPr>
      </w:pPr>
      <w:r>
        <w:rPr>
          <w:rFonts w:ascii="Arial" w:cs="Arial" w:eastAsia="Arial" w:hAnsi="Arial"/>
          <w:sz w:val="14"/>
          <w:szCs w:val="14"/>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87" w:lineRule="exact"/>
        <w:rPr>
          <w:sz w:val="20"/>
          <w:szCs w:val="20"/>
          <w:color w:val="auto"/>
        </w:rPr>
      </w:pPr>
    </w:p>
    <w:p>
      <w:pPr>
        <w:ind w:left="1300" w:right="1319"/>
        <w:spacing w:after="0" w:line="253" w:lineRule="auto"/>
        <w:rPr>
          <w:sz w:val="20"/>
          <w:szCs w:val="20"/>
          <w:color w:val="auto"/>
        </w:rPr>
      </w:pPr>
      <w:r>
        <w:rPr>
          <w:rFonts w:ascii="Arial" w:cs="Arial" w:eastAsia="Arial" w:hAnsi="Arial"/>
          <w:sz w:val="14"/>
          <w:szCs w:val="14"/>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839"/>
        <w:spacing w:after="0" w:line="286" w:lineRule="auto"/>
        <w:rPr>
          <w:sz w:val="20"/>
          <w:szCs w:val="20"/>
          <w:color w:val="auto"/>
        </w:rPr>
      </w:pPr>
      <w:r>
        <w:rPr>
          <w:rFonts w:ascii="Arial" w:cs="Arial" w:eastAsia="Arial" w:hAnsi="Arial"/>
          <w:sz w:val="14"/>
          <w:szCs w:val="14"/>
          <w:color w:val="auto"/>
        </w:rPr>
        <w:t>“Board of Directors” means the board of directors of the Company or any committee thereof duly authorized to act on behalf of such board.</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“Business Day” means each day that is not a Legal Holiday.</w:t>
      </w:r>
    </w:p>
    <w:p>
      <w:pPr>
        <w:spacing w:after="0" w:line="123" w:lineRule="exact"/>
        <w:rPr>
          <w:sz w:val="20"/>
          <w:szCs w:val="20"/>
          <w:color w:val="auto"/>
        </w:rPr>
      </w:pPr>
    </w:p>
    <w:p>
      <w:pPr>
        <w:ind w:left="1300" w:right="1339"/>
        <w:spacing w:after="0" w:line="262" w:lineRule="auto"/>
        <w:rPr>
          <w:sz w:val="20"/>
          <w:szCs w:val="20"/>
          <w:color w:val="auto"/>
        </w:rPr>
      </w:pPr>
      <w:r>
        <w:rPr>
          <w:rFonts w:ascii="Arial" w:cs="Arial" w:eastAsia="Arial" w:hAnsi="Arial"/>
          <w:sz w:val="14"/>
          <w:szCs w:val="14"/>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“Change of Control” means:</w:t>
      </w:r>
    </w:p>
    <w:p>
      <w:pPr>
        <w:spacing w:after="0" w:line="123" w:lineRule="exact"/>
        <w:rPr>
          <w:sz w:val="20"/>
          <w:szCs w:val="20"/>
          <w:color w:val="auto"/>
        </w:rPr>
      </w:pPr>
    </w:p>
    <w:p>
      <w:pPr>
        <w:ind w:left="1860" w:right="1379" w:hanging="274"/>
        <w:spacing w:after="0" w:line="274" w:lineRule="auto"/>
        <w:tabs>
          <w:tab w:leader="none" w:pos="18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jc w:val="center"/>
        <w:ind w:left="1860" w:right="1379" w:firstLine="7"/>
        <w:spacing w:after="0" w:line="270" w:lineRule="auto"/>
        <w:tabs>
          <w:tab w:leader="none" w:pos="2066" w:val="left"/>
        </w:tabs>
        <w:numPr>
          <w:ilvl w:val="1"/>
          <w:numId w:val="17"/>
        </w:numPr>
        <w:rPr>
          <w:rFonts w:ascii="Arial" w:cs="Arial" w:eastAsia="Arial" w:hAnsi="Arial"/>
          <w:sz w:val="13"/>
          <w:szCs w:val="13"/>
          <w:color w:val="auto"/>
        </w:rPr>
      </w:pPr>
      <w:r>
        <w:rPr>
          <w:rFonts w:ascii="Arial" w:cs="Arial" w:eastAsia="Arial" w:hAnsi="Arial"/>
          <w:sz w:val="13"/>
          <w:szCs w:val="13"/>
          <w:color w:val="auto"/>
        </w:rPr>
        <w:t>arises solely as a result of a revocable proxy delivered in response to a proxy or consent solicitation made pursuant to the applicable rules and regulations under the Exchange Act, and</w:t>
      </w:r>
    </w:p>
    <w:p>
      <w:pPr>
        <w:ind w:left="1860" w:right="1339" w:firstLine="7"/>
        <w:spacing w:after="0" w:line="270" w:lineRule="auto"/>
        <w:tabs>
          <w:tab w:leader="none" w:pos="2066" w:val="left"/>
        </w:tabs>
        <w:numPr>
          <w:ilvl w:val="1"/>
          <w:numId w:val="17"/>
        </w:numPr>
        <w:rPr>
          <w:rFonts w:ascii="Arial" w:cs="Arial" w:eastAsia="Arial" w:hAnsi="Arial"/>
          <w:sz w:val="13"/>
          <w:szCs w:val="13"/>
          <w:color w:val="auto"/>
        </w:rPr>
      </w:pPr>
      <w:r>
        <w:rPr>
          <w:rFonts w:ascii="Arial" w:cs="Arial" w:eastAsia="Arial" w:hAnsi="Arial"/>
          <w:sz w:val="13"/>
          <w:szCs w:val="13"/>
          <w:color w:val="auto"/>
        </w:rPr>
        <w:t>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w:t>
      </w:r>
    </w:p>
    <w:p>
      <w:pPr>
        <w:ind w:left="1860" w:right="1379"/>
        <w:spacing w:after="0" w:line="253" w:lineRule="auto"/>
        <w:rPr>
          <w:rFonts w:ascii="Arial" w:cs="Arial" w:eastAsia="Arial" w:hAnsi="Arial"/>
          <w:sz w:val="13"/>
          <w:szCs w:val="13"/>
          <w:color w:val="auto"/>
        </w:rPr>
      </w:pPr>
      <w:r>
        <w:rPr>
          <w:rFonts w:ascii="Arial" w:cs="Arial" w:eastAsia="Arial" w:hAnsi="Arial"/>
          <w:sz w:val="14"/>
          <w:szCs w:val="14"/>
          <w:color w:val="auto"/>
        </w:rPr>
        <w:t>(1)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92" w:lineRule="exact"/>
        <w:rPr>
          <w:rFonts w:ascii="Arial" w:cs="Arial" w:eastAsia="Arial" w:hAnsi="Arial"/>
          <w:sz w:val="13"/>
          <w:szCs w:val="13"/>
          <w:color w:val="auto"/>
        </w:rPr>
      </w:pPr>
    </w:p>
    <w:p>
      <w:pPr>
        <w:ind w:left="1860" w:right="1379" w:hanging="274"/>
        <w:spacing w:after="0" w:line="256" w:lineRule="auto"/>
        <w:tabs>
          <w:tab w:leader="none" w:pos="1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81" w:lineRule="exact"/>
        <w:rPr>
          <w:rFonts w:ascii="Arial" w:cs="Arial" w:eastAsia="Arial" w:hAnsi="Arial"/>
          <w:sz w:val="14"/>
          <w:szCs w:val="14"/>
          <w:color w:val="auto"/>
        </w:rPr>
      </w:pPr>
    </w:p>
    <w:p>
      <w:pPr>
        <w:ind w:left="1860" w:hanging="274"/>
        <w:spacing w:after="0"/>
        <w:tabs>
          <w:tab w:leader="none" w:pos="1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adoption of a plan relating to the Company’s liquidation or dissolution.</w:t>
      </w:r>
    </w:p>
    <w:p>
      <w:pPr>
        <w:spacing w:after="0" w:line="123" w:lineRule="exact"/>
        <w:rPr>
          <w:sz w:val="20"/>
          <w:szCs w:val="20"/>
          <w:color w:val="auto"/>
        </w:rPr>
      </w:pPr>
    </w:p>
    <w:p>
      <w:pPr>
        <w:ind w:left="1300" w:right="1519"/>
        <w:spacing w:after="0" w:line="286" w:lineRule="auto"/>
        <w:rPr>
          <w:sz w:val="20"/>
          <w:szCs w:val="20"/>
          <w:color w:val="auto"/>
        </w:rPr>
      </w:pPr>
      <w:r>
        <w:rPr>
          <w:rFonts w:ascii="Arial" w:cs="Arial" w:eastAsia="Arial" w:hAnsi="Arial"/>
          <w:sz w:val="14"/>
          <w:szCs w:val="14"/>
          <w:color w:val="auto"/>
        </w:rPr>
        <w:t>“Change of Control Triggering Event” means the occurrence of both a Change of Control and a Below Investment Grade Rating Event.</w:t>
      </w:r>
    </w:p>
    <w:p>
      <w:pPr>
        <w:spacing w:after="0" w:line="69" w:lineRule="exact"/>
        <w:rPr>
          <w:sz w:val="20"/>
          <w:szCs w:val="20"/>
          <w:color w:val="auto"/>
        </w:rPr>
      </w:pPr>
    </w:p>
    <w:p>
      <w:pPr>
        <w:ind w:left="1300" w:right="1339"/>
        <w:spacing w:after="0" w:line="275" w:lineRule="auto"/>
        <w:rPr>
          <w:sz w:val="20"/>
          <w:szCs w:val="20"/>
          <w:color w:val="auto"/>
        </w:rPr>
      </w:pPr>
      <w:r>
        <w:rPr>
          <w:rFonts w:ascii="Arial" w:cs="Arial" w:eastAsia="Arial" w:hAnsi="Arial"/>
          <w:sz w:val="13"/>
          <w:szCs w:val="13"/>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00" w:right="1639"/>
        <w:spacing w:after="0" w:line="260" w:lineRule="auto"/>
        <w:rPr>
          <w:sz w:val="20"/>
          <w:szCs w:val="20"/>
          <w:color w:val="auto"/>
        </w:rPr>
      </w:pPr>
      <w:r>
        <w:rPr>
          <w:rFonts w:ascii="Arial" w:cs="Arial" w:eastAsia="Arial" w:hAnsi="Arial"/>
          <w:sz w:val="14"/>
          <w:szCs w:val="14"/>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77" w:lineRule="exact"/>
        <w:rPr>
          <w:sz w:val="20"/>
          <w:szCs w:val="20"/>
          <w:color w:val="auto"/>
        </w:rPr>
      </w:pPr>
    </w:p>
    <w:p>
      <w:pPr>
        <w:ind w:left="1300" w:right="1539"/>
        <w:spacing w:after="0" w:line="270" w:lineRule="auto"/>
        <w:rPr>
          <w:sz w:val="20"/>
          <w:szCs w:val="20"/>
          <w:color w:val="auto"/>
        </w:rPr>
      </w:pPr>
      <w:r>
        <w:rPr>
          <w:rFonts w:ascii="Arial" w:cs="Arial" w:eastAsia="Arial" w:hAnsi="Arial"/>
          <w:sz w:val="14"/>
          <w:szCs w:val="14"/>
          <w:color w:val="auto"/>
        </w:rPr>
        <w:t>“Equity Interests” means all Capital Stock and all warrants or options with respect to, or other rights to purchase, Capital Stock, but excluding Indebtedness convertible into or exchangeable for equity.</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“Fitch” means Fitch Ratings Inc. and any successor to its rating agency business.</w:t>
      </w:r>
    </w:p>
    <w:p>
      <w:pPr>
        <w:spacing w:after="0" w:line="123" w:lineRule="exact"/>
        <w:rPr>
          <w:sz w:val="20"/>
          <w:szCs w:val="20"/>
          <w:color w:val="auto"/>
        </w:rPr>
      </w:pPr>
    </w:p>
    <w:p>
      <w:pPr>
        <w:ind w:left="1300" w:right="1439"/>
        <w:spacing w:after="0" w:line="260" w:lineRule="auto"/>
        <w:rPr>
          <w:sz w:val="20"/>
          <w:szCs w:val="20"/>
          <w:color w:val="auto"/>
        </w:rPr>
      </w:pPr>
      <w:r>
        <w:rPr>
          <w:rFonts w:ascii="Arial" w:cs="Arial" w:eastAsia="Arial" w:hAnsi="Arial"/>
          <w:sz w:val="14"/>
          <w:szCs w:val="14"/>
          <w:color w:val="auto"/>
        </w:rPr>
        <w:t>“Foreign Subsidiary” means, with respect to any Person, any Subsidiary of such Person other than one that is organized or existing under the laws of the United States, any state thereof or the District of Columbia.</w:t>
      </w:r>
    </w:p>
    <w:p>
      <w:pPr>
        <w:spacing w:after="0" w:line="77" w:lineRule="exact"/>
        <w:rPr>
          <w:sz w:val="20"/>
          <w:szCs w:val="20"/>
          <w:color w:val="auto"/>
        </w:rPr>
      </w:pPr>
    </w:p>
    <w:p>
      <w:pPr>
        <w:jc w:val="both"/>
        <w:ind w:left="1300" w:right="1399"/>
        <w:spacing w:after="0" w:line="252" w:lineRule="auto"/>
        <w:rPr>
          <w:sz w:val="20"/>
          <w:szCs w:val="20"/>
          <w:color w:val="auto"/>
        </w:rPr>
      </w:pPr>
      <w:r>
        <w:rPr>
          <w:rFonts w:ascii="Arial" w:cs="Arial" w:eastAsia="Arial" w:hAnsi="Arial"/>
          <w:sz w:val="14"/>
          <w:szCs w:val="14"/>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81" w:lineRule="exact"/>
        <w:rPr>
          <w:sz w:val="20"/>
          <w:szCs w:val="20"/>
          <w:color w:val="auto"/>
        </w:rPr>
      </w:pPr>
    </w:p>
    <w:p>
      <w:pPr>
        <w:ind w:left="1300" w:right="1319"/>
        <w:spacing w:after="0" w:line="246" w:lineRule="auto"/>
        <w:rPr>
          <w:sz w:val="20"/>
          <w:szCs w:val="20"/>
          <w:color w:val="auto"/>
        </w:rPr>
      </w:pPr>
      <w:r>
        <w:rPr>
          <w:rFonts w:ascii="Arial" w:cs="Arial" w:eastAsia="Arial" w:hAnsi="Arial"/>
          <w:sz w:val="14"/>
          <w:szCs w:val="14"/>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amount of any Indebtedness outstanding as of any date will be:</w:t>
      </w:r>
    </w:p>
    <w:p>
      <w:pPr>
        <w:spacing w:after="0" w:line="123" w:lineRule="exact"/>
        <w:rPr>
          <w:sz w:val="20"/>
          <w:szCs w:val="20"/>
          <w:color w:val="auto"/>
        </w:rPr>
      </w:pPr>
    </w:p>
    <w:p>
      <w:pPr>
        <w:ind w:left="1860" w:right="1439" w:hanging="274"/>
        <w:spacing w:after="0" w:line="286" w:lineRule="auto"/>
        <w:tabs>
          <w:tab w:leader="none" w:pos="1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accreted value of the Indebtedness, in the case of any Indebtedness that does not require the current payment of interest;</w:t>
      </w:r>
    </w:p>
    <w:p>
      <w:pPr>
        <w:spacing w:after="0" w:line="68" w:lineRule="exact"/>
        <w:rPr>
          <w:rFonts w:ascii="Arial" w:cs="Arial" w:eastAsia="Arial" w:hAnsi="Arial"/>
          <w:sz w:val="14"/>
          <w:szCs w:val="14"/>
          <w:color w:val="auto"/>
        </w:rPr>
      </w:pPr>
    </w:p>
    <w:p>
      <w:pPr>
        <w:ind w:left="1860" w:hanging="274"/>
        <w:spacing w:after="0"/>
        <w:tabs>
          <w:tab w:leader="none" w:pos="1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principal amount of the Indebtedness, in the case of any other Indebtedness; and</w:t>
      </w:r>
    </w:p>
    <w:p>
      <w:pPr>
        <w:spacing w:after="0" w:line="112" w:lineRule="exact"/>
        <w:rPr>
          <w:rFonts w:ascii="Arial" w:cs="Arial" w:eastAsia="Arial" w:hAnsi="Arial"/>
          <w:sz w:val="14"/>
          <w:szCs w:val="14"/>
          <w:color w:val="auto"/>
        </w:rPr>
      </w:pPr>
    </w:p>
    <w:p>
      <w:pPr>
        <w:ind w:left="1860" w:right="1439" w:hanging="274"/>
        <w:spacing w:after="0" w:line="262" w:lineRule="auto"/>
        <w:tabs>
          <w:tab w:leader="none" w:pos="1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86" w:lineRule="exact"/>
        <w:rPr>
          <w:sz w:val="20"/>
          <w:szCs w:val="20"/>
          <w:color w:val="auto"/>
        </w:rPr>
      </w:pPr>
    </w:p>
    <w:p>
      <w:pPr>
        <w:ind w:left="1300" w:right="1359"/>
        <w:spacing w:after="0" w:line="270" w:lineRule="auto"/>
        <w:rPr>
          <w:sz w:val="20"/>
          <w:szCs w:val="20"/>
          <w:color w:val="auto"/>
        </w:rPr>
      </w:pPr>
      <w:r>
        <w:rPr>
          <w:rFonts w:ascii="Arial" w:cs="Arial" w:eastAsia="Arial" w:hAnsi="Arial"/>
          <w:sz w:val="14"/>
          <w:szCs w:val="14"/>
          <w:color w:val="auto"/>
        </w:rPr>
        <w:t>In addition, accrual of interest and accretion or amortization of original issue discount will not be deemed to be an incurrence of Indebtedness for any purpose under the Indenture.</w:t>
      </w:r>
    </w:p>
    <w:p>
      <w:pPr>
        <w:spacing w:after="0" w:line="69" w:lineRule="exact"/>
        <w:rPr>
          <w:sz w:val="20"/>
          <w:szCs w:val="20"/>
          <w:color w:val="auto"/>
        </w:rPr>
      </w:pPr>
    </w:p>
    <w:p>
      <w:pPr>
        <w:ind w:left="1300" w:right="1619"/>
        <w:spacing w:after="0" w:line="259" w:lineRule="auto"/>
        <w:rPr>
          <w:sz w:val="20"/>
          <w:szCs w:val="20"/>
          <w:color w:val="auto"/>
        </w:rPr>
      </w:pPr>
      <w:r>
        <w:rPr>
          <w:rFonts w:ascii="Arial" w:cs="Arial" w:eastAsia="Arial" w:hAnsi="Arial"/>
          <w:sz w:val="14"/>
          <w:szCs w:val="14"/>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“Issue Date” means the date of original issuance of the notes under the Indenture.</w:t>
      </w:r>
    </w:p>
    <w:p>
      <w:pPr>
        <w:spacing w:after="0" w:line="113" w:lineRule="exact"/>
        <w:rPr>
          <w:sz w:val="20"/>
          <w:szCs w:val="20"/>
          <w:color w:val="auto"/>
        </w:rPr>
      </w:pPr>
    </w:p>
    <w:p>
      <w:pPr>
        <w:ind w:left="1300" w:right="1319"/>
        <w:spacing w:after="0" w:line="268" w:lineRule="auto"/>
        <w:rPr>
          <w:sz w:val="20"/>
          <w:szCs w:val="20"/>
          <w:color w:val="auto"/>
        </w:rPr>
      </w:pPr>
      <w:r>
        <w:rPr>
          <w:rFonts w:ascii="Arial" w:cs="Arial" w:eastAsia="Arial" w:hAnsi="Arial"/>
          <w:sz w:val="14"/>
          <w:szCs w:val="14"/>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81" w:lineRule="exact"/>
        <w:rPr>
          <w:sz w:val="20"/>
          <w:szCs w:val="20"/>
          <w:color w:val="auto"/>
        </w:rPr>
      </w:pPr>
    </w:p>
    <w:p>
      <w:pPr>
        <w:ind w:left="1300" w:right="1519"/>
        <w:spacing w:after="0" w:line="327" w:lineRule="auto"/>
        <w:rPr>
          <w:sz w:val="20"/>
          <w:szCs w:val="20"/>
          <w:color w:val="auto"/>
        </w:rPr>
      </w:pPr>
      <w:r>
        <w:rPr>
          <w:rFonts w:ascii="Arial" w:cs="Arial" w:eastAsia="Arial" w:hAnsi="Arial"/>
          <w:sz w:val="13"/>
          <w:szCs w:val="13"/>
          <w:color w:val="auto"/>
        </w:rPr>
        <w:t>“Legal Holiday” means a Saturday, a Sunday or a day on which commercial banking institutions or the corporate trust office are not required to be open in the State of New York or the place of payment.</w:t>
      </w:r>
    </w:p>
    <w:p>
      <w:pPr>
        <w:spacing w:after="0" w:line="45" w:lineRule="exact"/>
        <w:rPr>
          <w:sz w:val="20"/>
          <w:szCs w:val="20"/>
          <w:color w:val="auto"/>
        </w:rPr>
      </w:pPr>
    </w:p>
    <w:p>
      <w:pPr>
        <w:ind w:left="1300" w:right="1499"/>
        <w:spacing w:after="0" w:line="298" w:lineRule="auto"/>
        <w:rPr>
          <w:sz w:val="20"/>
          <w:szCs w:val="20"/>
          <w:color w:val="auto"/>
        </w:rPr>
      </w:pPr>
      <w:r>
        <w:rPr>
          <w:rFonts w:ascii="Arial" w:cs="Arial" w:eastAsia="Arial" w:hAnsi="Arial"/>
          <w:sz w:val="13"/>
          <w:szCs w:val="13"/>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5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“Moody’s” means Moody’s Investors Service, Inc. and any successor to its rating agency business.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46" w:lineRule="auto"/>
        <w:rPr>
          <w:sz w:val="20"/>
          <w:szCs w:val="20"/>
          <w:color w:val="auto"/>
        </w:rPr>
      </w:pPr>
      <w:r>
        <w:rPr>
          <w:rFonts w:ascii="Arial" w:cs="Arial" w:eastAsia="Arial" w:hAnsi="Arial"/>
          <w:sz w:val="14"/>
          <w:szCs w:val="14"/>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“Permitted Liens” means:</w:t>
      </w:r>
    </w:p>
    <w:p>
      <w:pPr>
        <w:spacing w:after="0" w:line="92" w:lineRule="exact"/>
        <w:rPr>
          <w:sz w:val="20"/>
          <w:szCs w:val="20"/>
          <w:color w:val="auto"/>
        </w:rPr>
      </w:pPr>
    </w:p>
    <w:p>
      <w:pPr>
        <w:ind w:left="1720" w:right="1319" w:hanging="134"/>
        <w:spacing w:after="0" w:line="286" w:lineRule="auto"/>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existing as of the Issue Date or arising thereafter pursuant to related agreements existing as of the Issue Date;</w:t>
      </w:r>
    </w:p>
    <w:p>
      <w:pPr>
        <w:spacing w:after="0" w:line="37" w:lineRule="exact"/>
        <w:rPr>
          <w:rFonts w:ascii="Arial" w:cs="Arial" w:eastAsia="Arial" w:hAnsi="Arial"/>
          <w:sz w:val="14"/>
          <w:szCs w:val="14"/>
          <w:color w:val="auto"/>
        </w:rPr>
      </w:pPr>
    </w:p>
    <w:p>
      <w:pPr>
        <w:ind w:left="1720" w:hanging="134"/>
        <w:spacing w:after="0"/>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granted after the Issue Date created in favor of the holders of the notes;</w:t>
      </w:r>
    </w:p>
    <w:p>
      <w:pPr>
        <w:spacing w:after="0" w:line="91" w:lineRule="exact"/>
        <w:rPr>
          <w:rFonts w:ascii="Arial" w:cs="Arial" w:eastAsia="Arial" w:hAnsi="Arial"/>
          <w:sz w:val="14"/>
          <w:szCs w:val="14"/>
          <w:color w:val="auto"/>
        </w:rPr>
      </w:pPr>
    </w:p>
    <w:p>
      <w:pPr>
        <w:ind w:left="1720" w:right="1379" w:hanging="134"/>
        <w:spacing w:after="0" w:line="254" w:lineRule="auto"/>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on Principal Property or Liens on the Capital Stock of any Person formed to acquire or hold such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by the time of or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63" w:lineRule="exact"/>
        <w:rPr>
          <w:rFonts w:ascii="Arial" w:cs="Arial" w:eastAsia="Arial" w:hAnsi="Arial"/>
          <w:sz w:val="14"/>
          <w:szCs w:val="14"/>
          <w:color w:val="auto"/>
        </w:rPr>
      </w:pPr>
    </w:p>
    <w:p>
      <w:pPr>
        <w:ind w:left="1720" w:right="1339" w:hanging="134"/>
        <w:spacing w:after="0" w:line="254" w:lineRule="auto"/>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63" w:lineRule="exact"/>
        <w:rPr>
          <w:rFonts w:ascii="Arial" w:cs="Arial" w:eastAsia="Arial" w:hAnsi="Arial"/>
          <w:sz w:val="14"/>
          <w:szCs w:val="14"/>
          <w:color w:val="auto"/>
        </w:rPr>
      </w:pPr>
    </w:p>
    <w:p>
      <w:pPr>
        <w:ind w:left="1720" w:right="1359" w:hanging="134"/>
        <w:spacing w:after="0" w:line="273" w:lineRule="auto"/>
        <w:tabs>
          <w:tab w:leader="none" w:pos="1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ind w:left="1720" w:right="1499"/>
        <w:spacing w:after="0" w:line="258" w:lineRule="auto"/>
        <w:rPr>
          <w:rFonts w:ascii="Arial" w:cs="Arial" w:eastAsia="Arial" w:hAnsi="Arial"/>
          <w:sz w:val="13"/>
          <w:szCs w:val="13"/>
          <w:color w:val="auto"/>
        </w:rPr>
      </w:pPr>
      <w:r>
        <w:rPr>
          <w:rFonts w:ascii="Arial" w:cs="Arial" w:eastAsia="Arial" w:hAnsi="Arial"/>
          <w:sz w:val="14"/>
          <w:szCs w:val="14"/>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56" w:lineRule="exact"/>
        <w:rPr>
          <w:rFonts w:ascii="Arial" w:cs="Arial" w:eastAsia="Arial" w:hAnsi="Arial"/>
          <w:sz w:val="13"/>
          <w:szCs w:val="13"/>
          <w:color w:val="auto"/>
        </w:rPr>
      </w:pPr>
    </w:p>
    <w:p>
      <w:pPr>
        <w:ind w:left="1720" w:right="1419" w:hanging="134"/>
        <w:spacing w:after="0" w:line="262" w:lineRule="auto"/>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54" w:lineRule="exact"/>
        <w:rPr>
          <w:rFonts w:ascii="Arial" w:cs="Arial" w:eastAsia="Arial" w:hAnsi="Arial"/>
          <w:sz w:val="14"/>
          <w:szCs w:val="14"/>
          <w:color w:val="auto"/>
        </w:rPr>
      </w:pPr>
    </w:p>
    <w:p>
      <w:pPr>
        <w:ind w:left="1720" w:hanging="134"/>
        <w:spacing w:after="0"/>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in favor of the Company or a Restricted Subsidiary of the Company;</w:t>
      </w:r>
    </w:p>
    <w:p>
      <w:pPr>
        <w:spacing w:after="0" w:line="91" w:lineRule="exact"/>
        <w:rPr>
          <w:rFonts w:ascii="Arial" w:cs="Arial" w:eastAsia="Arial" w:hAnsi="Arial"/>
          <w:sz w:val="14"/>
          <w:szCs w:val="14"/>
          <w:color w:val="auto"/>
        </w:rPr>
      </w:pPr>
    </w:p>
    <w:p>
      <w:pPr>
        <w:ind w:left="1720" w:right="1359" w:hanging="134"/>
        <w:spacing w:after="0" w:line="262" w:lineRule="auto"/>
        <w:tabs>
          <w:tab w:leader="none" w:pos="1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59" w:hanging="134"/>
        <w:spacing w:after="0" w:line="268" w:lineRule="auto"/>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for taxes, assessments or other governmental charges not yet overdue for a period of more than 30 days or subject to penalties for non-payment or which are being contested in good faith by appropriate proceedings;</w:t>
      </w:r>
    </w:p>
    <w:p>
      <w:pPr>
        <w:spacing w:after="0" w:line="49" w:lineRule="exact"/>
        <w:rPr>
          <w:rFonts w:ascii="Arial" w:cs="Arial" w:eastAsia="Arial" w:hAnsi="Arial"/>
          <w:sz w:val="14"/>
          <w:szCs w:val="14"/>
          <w:color w:val="auto"/>
        </w:rPr>
      </w:pPr>
    </w:p>
    <w:p>
      <w:pPr>
        <w:ind w:left="1720" w:right="1359" w:hanging="134"/>
        <w:spacing w:after="0" w:line="256" w:lineRule="auto"/>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67" w:lineRule="exact"/>
        <w:rPr>
          <w:rFonts w:ascii="Arial" w:cs="Arial" w:eastAsia="Arial" w:hAnsi="Arial"/>
          <w:sz w:val="14"/>
          <w:szCs w:val="14"/>
          <w:color w:val="auto"/>
        </w:rPr>
      </w:pPr>
    </w:p>
    <w:p>
      <w:pPr>
        <w:ind w:left="1720" w:right="1339" w:hanging="134"/>
        <w:spacing w:after="0" w:line="258" w:lineRule="auto"/>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55" w:lineRule="exact"/>
        <w:rPr>
          <w:rFonts w:ascii="Arial" w:cs="Arial" w:eastAsia="Arial" w:hAnsi="Arial"/>
          <w:sz w:val="14"/>
          <w:szCs w:val="14"/>
          <w:color w:val="auto"/>
        </w:rPr>
      </w:pPr>
    </w:p>
    <w:p>
      <w:pPr>
        <w:ind w:left="1720" w:right="1359" w:hanging="134"/>
        <w:spacing w:after="0" w:line="298" w:lineRule="auto"/>
        <w:tabs>
          <w:tab w:leader="none" w:pos="1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32" w:lineRule="exact"/>
        <w:rPr>
          <w:rFonts w:ascii="Arial" w:cs="Arial" w:eastAsia="Arial" w:hAnsi="Arial"/>
          <w:sz w:val="13"/>
          <w:szCs w:val="13"/>
          <w:color w:val="auto"/>
        </w:rPr>
      </w:pPr>
    </w:p>
    <w:p>
      <w:pPr>
        <w:ind w:left="1720" w:right="1439" w:hanging="134"/>
        <w:spacing w:after="0" w:line="286" w:lineRule="auto"/>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created in connection with the acquisition of assets or a project financed with, and created to secure a Nonrecourse Obligation; and</w:t>
      </w:r>
    </w:p>
    <w:p>
      <w:pPr>
        <w:spacing w:after="0" w:line="37" w:lineRule="exact"/>
        <w:rPr>
          <w:rFonts w:ascii="Arial" w:cs="Arial" w:eastAsia="Arial" w:hAnsi="Arial"/>
          <w:sz w:val="14"/>
          <w:szCs w:val="14"/>
          <w:color w:val="auto"/>
        </w:rPr>
      </w:pPr>
    </w:p>
    <w:p>
      <w:pPr>
        <w:ind w:left="1720" w:right="1419" w:hanging="134"/>
        <w:spacing w:after="0" w:line="254" w:lineRule="auto"/>
        <w:tabs>
          <w:tab w:leader="none" w:pos="1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95" w:lineRule="exact"/>
        <w:rPr>
          <w:sz w:val="20"/>
          <w:szCs w:val="20"/>
          <w:color w:val="auto"/>
        </w:rPr>
      </w:pPr>
    </w:p>
    <w:p>
      <w:pPr>
        <w:ind w:left="1300" w:right="1539"/>
        <w:spacing w:after="0" w:line="286" w:lineRule="auto"/>
        <w:rPr>
          <w:sz w:val="20"/>
          <w:szCs w:val="20"/>
          <w:color w:val="auto"/>
        </w:rPr>
      </w:pPr>
      <w:r>
        <w:rPr>
          <w:rFonts w:ascii="Arial" w:cs="Arial" w:eastAsia="Arial" w:hAnsi="Arial"/>
          <w:sz w:val="14"/>
          <w:szCs w:val="14"/>
          <w:color w:val="auto"/>
        </w:rPr>
        <w:t>For the avoidance of doubt, the inclusion of specific Liens in the definition of Permitted Liens shall not create any implication that the obligations secured by such Liens constitute Indebtedness.</w:t>
      </w:r>
    </w:p>
    <w:p>
      <w:pPr>
        <w:spacing w:after="0" w:line="58" w:lineRule="exact"/>
        <w:rPr>
          <w:sz w:val="20"/>
          <w:szCs w:val="20"/>
          <w:color w:val="auto"/>
        </w:rPr>
      </w:pPr>
    </w:p>
    <w:p>
      <w:pPr>
        <w:jc w:val="both"/>
        <w:ind w:left="1300" w:right="1759"/>
        <w:spacing w:after="0" w:line="268" w:lineRule="auto"/>
        <w:rPr>
          <w:sz w:val="20"/>
          <w:szCs w:val="20"/>
          <w:color w:val="auto"/>
        </w:rPr>
      </w:pPr>
      <w:r>
        <w:rPr>
          <w:rFonts w:ascii="Arial" w:cs="Arial" w:eastAsia="Arial" w:hAnsi="Arial"/>
          <w:sz w:val="14"/>
          <w:szCs w:val="14"/>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81" w:lineRule="exact"/>
        <w:rPr>
          <w:sz w:val="20"/>
          <w:szCs w:val="20"/>
          <w:color w:val="auto"/>
        </w:rPr>
      </w:pPr>
    </w:p>
    <w:p>
      <w:pPr>
        <w:ind w:left="1300" w:right="1479"/>
        <w:spacing w:after="0" w:line="275" w:lineRule="auto"/>
        <w:rPr>
          <w:sz w:val="20"/>
          <w:szCs w:val="20"/>
          <w:color w:val="auto"/>
        </w:rPr>
      </w:pPr>
      <w:r>
        <w:rPr>
          <w:rFonts w:ascii="Arial" w:cs="Arial" w:eastAsia="Arial" w:hAnsi="Arial"/>
          <w:sz w:val="13"/>
          <w:szCs w:val="13"/>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2" w:lineRule="exact"/>
        <w:rPr>
          <w:sz w:val="20"/>
          <w:szCs w:val="20"/>
          <w:color w:val="auto"/>
        </w:rPr>
      </w:pPr>
    </w:p>
    <w:p>
      <w:pPr>
        <w:ind w:left="1300" w:right="1319" w:firstLine="5"/>
        <w:spacing w:after="0" w:line="253" w:lineRule="auto"/>
        <w:tabs>
          <w:tab w:leader="none" w:pos="1506" w:val="left"/>
        </w:tabs>
        <w:numPr>
          <w:ilvl w:val="0"/>
          <w:numId w:val="21"/>
        </w:numPr>
        <w:rPr>
          <w:rFonts w:ascii="Arial" w:cs="Arial" w:eastAsia="Arial" w:hAnsi="Arial"/>
          <w:sz w:val="14"/>
          <w:szCs w:val="14"/>
          <w:color w:val="auto"/>
        </w:rPr>
      </w:pPr>
      <w:r>
        <w:rPr>
          <w:rFonts w:ascii="Arial" w:cs="Arial" w:eastAsia="Arial" w:hAnsi="Arial"/>
          <w:sz w:val="14"/>
          <w:szCs w:val="14"/>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94" w:lineRule="exact"/>
        <w:rPr>
          <w:sz w:val="20"/>
          <w:szCs w:val="20"/>
          <w:color w:val="auto"/>
        </w:rPr>
      </w:pPr>
    </w:p>
    <w:p>
      <w:pPr>
        <w:ind w:left="1300" w:right="1339"/>
        <w:spacing w:after="0" w:line="268" w:lineRule="auto"/>
        <w:rPr>
          <w:sz w:val="20"/>
          <w:szCs w:val="20"/>
          <w:color w:val="auto"/>
        </w:rPr>
      </w:pPr>
      <w:r>
        <w:rPr>
          <w:rFonts w:ascii="Arial" w:cs="Arial" w:eastAsia="Arial" w:hAnsi="Arial"/>
          <w:sz w:val="14"/>
          <w:szCs w:val="14"/>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659"/>
        <w:spacing w:after="0" w:line="286" w:lineRule="auto"/>
        <w:rPr>
          <w:sz w:val="20"/>
          <w:szCs w:val="20"/>
          <w:color w:val="auto"/>
        </w:rPr>
      </w:pPr>
      <w:r>
        <w:rPr>
          <w:rFonts w:ascii="Arial" w:cs="Arial" w:eastAsia="Arial" w:hAnsi="Arial"/>
          <w:sz w:val="14"/>
          <w:szCs w:val="14"/>
          <w:color w:val="auto"/>
        </w:rPr>
        <w:t>Section 3(a)(62) of the Exchange Act, selected by the Company as a replacement agency for Fitch, Moody’s or S&amp;P, or all of them, as the case may be.</w:t>
      </w:r>
    </w:p>
    <w:p>
      <w:pPr>
        <w:spacing w:after="0" w:line="58" w:lineRule="exact"/>
        <w:rPr>
          <w:sz w:val="20"/>
          <w:szCs w:val="20"/>
          <w:color w:val="auto"/>
        </w:rPr>
      </w:pPr>
    </w:p>
    <w:p>
      <w:pPr>
        <w:ind w:left="1300" w:right="1579"/>
        <w:spacing w:after="0" w:line="266" w:lineRule="auto"/>
        <w:rPr>
          <w:sz w:val="20"/>
          <w:szCs w:val="20"/>
          <w:color w:val="auto"/>
        </w:rPr>
      </w:pPr>
      <w:r>
        <w:rPr>
          <w:rFonts w:ascii="Arial" w:cs="Arial" w:eastAsia="Arial" w:hAnsi="Arial"/>
          <w:sz w:val="13"/>
          <w:szCs w:val="13"/>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spacing w:after="0" w:line="1" w:lineRule="exact"/>
        <w:rPr>
          <w:sz w:val="20"/>
          <w:szCs w:val="20"/>
          <w:color w:val="auto"/>
        </w:rPr>
      </w:pPr>
    </w:p>
    <w:p>
      <w:pPr>
        <w:ind w:left="1300" w:right="1359" w:firstLine="5"/>
        <w:spacing w:after="0" w:line="242" w:lineRule="auto"/>
        <w:tabs>
          <w:tab w:leader="none" w:pos="150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“S&amp;P” means S&amp;P Global Ratings, and any successor to its rating agency business.</w:t>
      </w:r>
    </w:p>
    <w:p>
      <w:pPr>
        <w:spacing w:after="0" w:line="123" w:lineRule="exact"/>
        <w:rPr>
          <w:sz w:val="20"/>
          <w:szCs w:val="20"/>
          <w:color w:val="auto"/>
        </w:rPr>
      </w:pPr>
    </w:p>
    <w:p>
      <w:pPr>
        <w:ind w:left="1300" w:right="1319"/>
        <w:spacing w:after="0" w:line="244" w:lineRule="auto"/>
        <w:rPr>
          <w:sz w:val="20"/>
          <w:szCs w:val="20"/>
          <w:color w:val="auto"/>
        </w:rPr>
      </w:pPr>
      <w:r>
        <w:rPr>
          <w:rFonts w:ascii="Arial" w:cs="Arial" w:eastAsia="Arial" w:hAnsi="Arial"/>
          <w:sz w:val="14"/>
          <w:szCs w:val="14"/>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90" w:lineRule="exact"/>
        <w:rPr>
          <w:sz w:val="20"/>
          <w:szCs w:val="20"/>
          <w:color w:val="auto"/>
        </w:rPr>
      </w:pPr>
    </w:p>
    <w:p>
      <w:pPr>
        <w:ind w:left="1300" w:right="1419"/>
        <w:spacing w:after="0" w:line="260" w:lineRule="auto"/>
        <w:rPr>
          <w:sz w:val="20"/>
          <w:szCs w:val="20"/>
          <w:color w:val="auto"/>
        </w:rPr>
      </w:pPr>
      <w:r>
        <w:rPr>
          <w:rFonts w:ascii="Arial" w:cs="Arial" w:eastAsia="Arial" w:hAnsi="Arial"/>
          <w:sz w:val="14"/>
          <w:szCs w:val="14"/>
          <w:color w:val="auto"/>
        </w:rPr>
        <w:t>“Senior Officer” of any specified Person means the chief executive officer, any president, any vice president, the chief financial officer, the treasurer, any assistant treasurer, the secretary or any assistant secretary.</w:t>
      </w:r>
    </w:p>
    <w:p>
      <w:pPr>
        <w:spacing w:after="0" w:line="66" w:lineRule="exact"/>
        <w:rPr>
          <w:sz w:val="20"/>
          <w:szCs w:val="20"/>
          <w:color w:val="auto"/>
        </w:rPr>
      </w:pPr>
    </w:p>
    <w:p>
      <w:pPr>
        <w:ind w:left="1300" w:right="1339"/>
        <w:spacing w:after="0" w:line="252" w:lineRule="auto"/>
        <w:rPr>
          <w:sz w:val="20"/>
          <w:szCs w:val="20"/>
          <w:color w:val="auto"/>
        </w:rPr>
      </w:pPr>
      <w:r>
        <w:rPr>
          <w:rFonts w:ascii="Arial" w:cs="Arial" w:eastAsia="Arial" w:hAnsi="Arial"/>
          <w:sz w:val="14"/>
          <w:szCs w:val="14"/>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81" w:lineRule="exact"/>
        <w:rPr>
          <w:sz w:val="20"/>
          <w:szCs w:val="20"/>
          <w:color w:val="auto"/>
        </w:rPr>
      </w:pPr>
    </w:p>
    <w:p>
      <w:pPr>
        <w:ind w:left="1300" w:right="1539"/>
        <w:spacing w:after="0" w:line="286" w:lineRule="auto"/>
        <w:rPr>
          <w:sz w:val="20"/>
          <w:szCs w:val="20"/>
          <w:color w:val="auto"/>
        </w:rPr>
      </w:pPr>
      <w:r>
        <w:rPr>
          <w:rFonts w:ascii="Arial" w:cs="Arial" w:eastAsia="Arial" w:hAnsi="Arial"/>
          <w:sz w:val="14"/>
          <w:szCs w:val="14"/>
          <w:color w:val="auto"/>
        </w:rPr>
        <w:t>“Treasury Rate” means, with respect to any redemption date, the yield determined by the Company in the manner set forth below:</w:t>
      </w:r>
    </w:p>
    <w:p>
      <w:pPr>
        <w:spacing w:after="0" w:line="58" w:lineRule="exact"/>
        <w:rPr>
          <w:sz w:val="20"/>
          <w:szCs w:val="20"/>
          <w:color w:val="auto"/>
        </w:rPr>
      </w:pPr>
    </w:p>
    <w:p>
      <w:pPr>
        <w:ind w:left="1300" w:right="1359"/>
        <w:spacing w:after="0" w:line="261" w:lineRule="auto"/>
        <w:rPr>
          <w:sz w:val="20"/>
          <w:szCs w:val="20"/>
          <w:color w:val="auto"/>
        </w:rPr>
      </w:pPr>
      <w:r>
        <w:rPr>
          <w:rFonts w:ascii="Arial" w:cs="Arial" w:eastAsia="Arial" w:hAnsi="Arial"/>
          <w:sz w:val="13"/>
          <w:szCs w:val="13"/>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of months or years, as applicable, of such Treasury constant maturity from the redemption date.</w:t>
      </w:r>
    </w:p>
    <w:p>
      <w:pPr>
        <w:spacing w:after="0" w:line="99" w:lineRule="exact"/>
        <w:rPr>
          <w:sz w:val="20"/>
          <w:szCs w:val="20"/>
          <w:color w:val="auto"/>
        </w:rPr>
      </w:pPr>
    </w:p>
    <w:p>
      <w:pPr>
        <w:ind w:left="1300" w:right="1539"/>
        <w:spacing w:after="0" w:line="277" w:lineRule="auto"/>
        <w:rPr>
          <w:sz w:val="20"/>
          <w:szCs w:val="20"/>
          <w:color w:val="auto"/>
        </w:rPr>
      </w:pPr>
      <w:r>
        <w:rPr>
          <w:rFonts w:ascii="Arial" w:cs="Arial" w:eastAsia="Arial" w:hAnsi="Arial"/>
          <w:sz w:val="13"/>
          <w:szCs w:val="13"/>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63" w:lineRule="auto"/>
        <w:rPr>
          <w:sz w:val="20"/>
          <w:szCs w:val="20"/>
          <w:color w:val="auto"/>
        </w:rPr>
      </w:pPr>
      <w:r>
        <w:rPr>
          <w:rFonts w:ascii="Arial" w:cs="Arial" w:eastAsia="Arial" w:hAnsi="Arial"/>
          <w:sz w:val="13"/>
          <w:szCs w:val="13"/>
          <w:color w:val="auto"/>
        </w:rPr>
        <w:t>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80" w:lineRule="exact"/>
        <w:rPr>
          <w:sz w:val="20"/>
          <w:szCs w:val="20"/>
          <w:color w:val="auto"/>
        </w:rPr>
      </w:pPr>
    </w:p>
    <w:p>
      <w:pPr>
        <w:ind w:left="1300" w:right="1339"/>
        <w:spacing w:after="0" w:line="260" w:lineRule="auto"/>
        <w:rPr>
          <w:sz w:val="20"/>
          <w:szCs w:val="20"/>
          <w:color w:val="auto"/>
        </w:rPr>
      </w:pPr>
      <w:r>
        <w:rPr>
          <w:rFonts w:ascii="Arial" w:cs="Arial" w:eastAsia="Arial" w:hAnsi="Arial"/>
          <w:sz w:val="14"/>
          <w:szCs w:val="14"/>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Events of Default</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Each of the following will be an event of default under the Indenture for the notes:</w:t>
      </w:r>
    </w:p>
    <w:p>
      <w:pPr>
        <w:spacing w:after="0" w:line="81" w:lineRule="exact"/>
        <w:rPr>
          <w:sz w:val="20"/>
          <w:szCs w:val="20"/>
          <w:color w:val="auto"/>
        </w:rPr>
      </w:pPr>
    </w:p>
    <w:p>
      <w:pPr>
        <w:ind w:left="1720" w:right="1679" w:hanging="134"/>
        <w:spacing w:after="0" w:line="286" w:lineRule="auto"/>
        <w:tabs>
          <w:tab w:leader="none" w:pos="1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default in the payment of any interest upon any note when it becomes due and payable, and continuance of that default for a period of 30 days;</w:t>
      </w:r>
    </w:p>
    <w:p>
      <w:pPr>
        <w:spacing w:after="0" w:line="37" w:lineRule="exact"/>
        <w:rPr>
          <w:rFonts w:ascii="Arial" w:cs="Arial" w:eastAsia="Arial" w:hAnsi="Arial"/>
          <w:sz w:val="14"/>
          <w:szCs w:val="14"/>
          <w:color w:val="auto"/>
        </w:rPr>
      </w:pPr>
    </w:p>
    <w:p>
      <w:pPr>
        <w:ind w:left="1720" w:hanging="134"/>
        <w:spacing w:after="0"/>
        <w:tabs>
          <w:tab w:leader="none" w:pos="1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default in the payment of principal of or premium on any note when due and payable;</w:t>
      </w:r>
    </w:p>
    <w:p>
      <w:pPr>
        <w:spacing w:after="0" w:line="91" w:lineRule="exact"/>
        <w:rPr>
          <w:rFonts w:ascii="Arial" w:cs="Arial" w:eastAsia="Arial" w:hAnsi="Arial"/>
          <w:sz w:val="14"/>
          <w:szCs w:val="14"/>
          <w:color w:val="auto"/>
        </w:rPr>
      </w:pPr>
    </w:p>
    <w:p>
      <w:pPr>
        <w:ind w:left="1720" w:right="1979" w:hanging="134"/>
        <w:spacing w:after="0" w:line="286" w:lineRule="auto"/>
        <w:tabs>
          <w:tab w:leader="none" w:pos="1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failure by the Company to comply with the requirement to make an Offer to Purchase in connection with a Change of Control Triggering Event for 30 calendar days;</w:t>
      </w:r>
    </w:p>
    <w:p>
      <w:pPr>
        <w:spacing w:after="0" w:line="26" w:lineRule="exact"/>
        <w:rPr>
          <w:rFonts w:ascii="Arial" w:cs="Arial" w:eastAsia="Arial" w:hAnsi="Arial"/>
          <w:sz w:val="14"/>
          <w:szCs w:val="14"/>
          <w:color w:val="auto"/>
        </w:rPr>
      </w:pPr>
    </w:p>
    <w:p>
      <w:pPr>
        <w:ind w:left="1720" w:right="1519" w:hanging="134"/>
        <w:spacing w:after="0" w:line="259" w:lineRule="auto"/>
        <w:tabs>
          <w:tab w:leader="none" w:pos="1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57" w:lineRule="exact"/>
        <w:rPr>
          <w:rFonts w:ascii="Arial" w:cs="Arial" w:eastAsia="Arial" w:hAnsi="Arial"/>
          <w:sz w:val="14"/>
          <w:szCs w:val="14"/>
          <w:color w:val="auto"/>
        </w:rPr>
      </w:pPr>
    </w:p>
    <w:p>
      <w:pPr>
        <w:ind w:left="1720" w:right="1839" w:hanging="134"/>
        <w:spacing w:after="0" w:line="286" w:lineRule="auto"/>
        <w:tabs>
          <w:tab w:leader="none" w:pos="1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certain voluntary and involuntary events of bankruptcy, insolvency or reorganization of the Company.</w:t>
      </w:r>
    </w:p>
    <w:p>
      <w:pPr>
        <w:spacing w:after="0" w:line="69" w:lineRule="exact"/>
        <w:rPr>
          <w:sz w:val="20"/>
          <w:szCs w:val="20"/>
          <w:color w:val="auto"/>
        </w:rPr>
      </w:pPr>
    </w:p>
    <w:p>
      <w:pPr>
        <w:ind w:left="1300" w:right="1599"/>
        <w:spacing w:after="0" w:line="270" w:lineRule="auto"/>
        <w:rPr>
          <w:sz w:val="20"/>
          <w:szCs w:val="20"/>
          <w:color w:val="auto"/>
        </w:rPr>
      </w:pPr>
      <w:r>
        <w:rPr>
          <w:rFonts w:ascii="Arial" w:cs="Arial" w:eastAsia="Arial" w:hAnsi="Arial"/>
          <w:sz w:val="14"/>
          <w:szCs w:val="14"/>
          <w:color w:val="auto"/>
        </w:rPr>
        <w:t>The occurrence of certain events of default or an acceleration under the Indenture may constitute an event of default under certain of our other indebtedness outstanding from time to time.</w:t>
      </w:r>
    </w:p>
    <w:p>
      <w:pPr>
        <w:spacing w:after="0" w:line="69" w:lineRule="exact"/>
        <w:rPr>
          <w:sz w:val="20"/>
          <w:szCs w:val="20"/>
          <w:color w:val="auto"/>
        </w:rPr>
      </w:pPr>
    </w:p>
    <w:p>
      <w:pPr>
        <w:ind w:left="1300" w:right="1339"/>
        <w:spacing w:after="0" w:line="263" w:lineRule="auto"/>
        <w:rPr>
          <w:sz w:val="20"/>
          <w:szCs w:val="20"/>
          <w:color w:val="auto"/>
        </w:rPr>
      </w:pPr>
      <w:r>
        <w:rPr>
          <w:rFonts w:ascii="Arial" w:cs="Arial" w:eastAsia="Arial" w:hAnsi="Arial"/>
          <w:sz w:val="13"/>
          <w:szCs w:val="13"/>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80" w:lineRule="exact"/>
        <w:rPr>
          <w:sz w:val="20"/>
          <w:szCs w:val="20"/>
          <w:color w:val="auto"/>
        </w:rPr>
      </w:pPr>
    </w:p>
    <w:p>
      <w:pPr>
        <w:ind w:left="1300" w:right="1359"/>
        <w:spacing w:after="0" w:line="277" w:lineRule="auto"/>
        <w:rPr>
          <w:sz w:val="20"/>
          <w:szCs w:val="20"/>
          <w:color w:val="auto"/>
        </w:rPr>
      </w:pPr>
      <w:r>
        <w:rPr>
          <w:rFonts w:ascii="Arial" w:cs="Arial" w:eastAsia="Arial" w:hAnsi="Arial"/>
          <w:sz w:val="13"/>
          <w:szCs w:val="13"/>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86" w:lineRule="auto"/>
        <w:rPr>
          <w:sz w:val="20"/>
          <w:szCs w:val="20"/>
          <w:color w:val="auto"/>
        </w:rPr>
      </w:pPr>
      <w:r>
        <w:rPr>
          <w:rFonts w:ascii="Arial" w:cs="Arial" w:eastAsia="Arial" w:hAnsi="Arial"/>
          <w:sz w:val="14"/>
          <w:szCs w:val="14"/>
          <w:color w:val="auto"/>
        </w:rPr>
        <w:t>any proceeding for any remedy available to the Trustee or exercising any trust or power conferred on the Trustee with respect to the notes.</w:t>
      </w:r>
    </w:p>
    <w:p>
      <w:pPr>
        <w:spacing w:after="0" w:line="69" w:lineRule="exact"/>
        <w:rPr>
          <w:sz w:val="20"/>
          <w:szCs w:val="20"/>
          <w:color w:val="auto"/>
        </w:rPr>
      </w:pPr>
    </w:p>
    <w:p>
      <w:pPr>
        <w:ind w:left="1300" w:right="1359"/>
        <w:spacing w:after="0" w:line="268" w:lineRule="auto"/>
        <w:rPr>
          <w:sz w:val="20"/>
          <w:szCs w:val="20"/>
          <w:color w:val="auto"/>
        </w:rPr>
      </w:pPr>
      <w:r>
        <w:rPr>
          <w:rFonts w:ascii="Arial" w:cs="Arial" w:eastAsia="Arial" w:hAnsi="Arial"/>
          <w:sz w:val="14"/>
          <w:szCs w:val="14"/>
          <w:color w:val="auto"/>
        </w:rPr>
        <w:t>No holder of any note will have any right to institute any proceeding, judicial or otherwise, with respect to the Indenture or for the appointment of a receiver or trustee, or for any remedy under the Indenture, unless:</w:t>
      </w:r>
    </w:p>
    <w:p>
      <w:pPr>
        <w:spacing w:after="0" w:line="81" w:lineRule="exact"/>
        <w:rPr>
          <w:sz w:val="20"/>
          <w:szCs w:val="20"/>
          <w:color w:val="auto"/>
        </w:rPr>
      </w:pPr>
    </w:p>
    <w:p>
      <w:pPr>
        <w:ind w:left="1860" w:right="1559" w:hanging="274"/>
        <w:spacing w:after="0" w:line="286" w:lineRule="auto"/>
        <w:tabs>
          <w:tab w:leader="none" w:pos="18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that holder has previously given to the Trustee written notice of a continuing event of default with respect to the notes; and</w:t>
      </w:r>
    </w:p>
    <w:p>
      <w:pPr>
        <w:spacing w:after="0" w:line="68" w:lineRule="exact"/>
        <w:rPr>
          <w:rFonts w:ascii="Arial" w:cs="Arial" w:eastAsia="Arial" w:hAnsi="Arial"/>
          <w:sz w:val="14"/>
          <w:szCs w:val="14"/>
          <w:color w:val="auto"/>
        </w:rPr>
      </w:pPr>
    </w:p>
    <w:p>
      <w:pPr>
        <w:ind w:left="1860" w:right="1419" w:hanging="274"/>
        <w:spacing w:after="0" w:line="259" w:lineRule="auto"/>
        <w:tabs>
          <w:tab w:leader="none" w:pos="18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78" w:lineRule="exact"/>
        <w:rPr>
          <w:sz w:val="20"/>
          <w:szCs w:val="20"/>
          <w:color w:val="auto"/>
        </w:rPr>
      </w:pPr>
    </w:p>
    <w:p>
      <w:pPr>
        <w:ind w:left="1300" w:right="1379"/>
        <w:spacing w:after="0" w:line="259" w:lineRule="auto"/>
        <w:rPr>
          <w:sz w:val="20"/>
          <w:szCs w:val="20"/>
          <w:color w:val="auto"/>
        </w:rPr>
      </w:pPr>
      <w:r>
        <w:rPr>
          <w:rFonts w:ascii="Arial" w:cs="Arial" w:eastAsia="Arial" w:hAnsi="Arial"/>
          <w:sz w:val="14"/>
          <w:szCs w:val="14"/>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89" w:lineRule="exact"/>
        <w:rPr>
          <w:sz w:val="20"/>
          <w:szCs w:val="20"/>
          <w:color w:val="auto"/>
        </w:rPr>
      </w:pPr>
    </w:p>
    <w:p>
      <w:pPr>
        <w:ind w:left="1300" w:right="1339"/>
        <w:spacing w:after="0" w:line="255" w:lineRule="auto"/>
        <w:rPr>
          <w:sz w:val="20"/>
          <w:szCs w:val="20"/>
          <w:color w:val="auto"/>
        </w:rPr>
      </w:pPr>
      <w:r>
        <w:rPr>
          <w:rFonts w:ascii="Arial" w:cs="Arial" w:eastAsia="Arial" w:hAnsi="Arial"/>
          <w:sz w:val="14"/>
          <w:szCs w:val="14"/>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Modification and Waiver</w:t>
      </w:r>
    </w:p>
    <w:p>
      <w:pPr>
        <w:spacing w:after="0" w:line="116" w:lineRule="exact"/>
        <w:rPr>
          <w:sz w:val="20"/>
          <w:szCs w:val="20"/>
          <w:color w:val="auto"/>
        </w:rPr>
      </w:pPr>
    </w:p>
    <w:p>
      <w:pPr>
        <w:ind w:left="1300" w:right="1439"/>
        <w:spacing w:after="0" w:line="286" w:lineRule="auto"/>
        <w:rPr>
          <w:sz w:val="20"/>
          <w:szCs w:val="20"/>
          <w:color w:val="auto"/>
        </w:rPr>
      </w:pPr>
      <w:r>
        <w:rPr>
          <w:rFonts w:ascii="Arial" w:cs="Arial" w:eastAsia="Arial" w:hAnsi="Arial"/>
          <w:sz w:val="14"/>
          <w:szCs w:val="14"/>
          <w:color w:val="auto"/>
        </w:rPr>
        <w:t>The Company or the Trustee may amend or supplement the Indenture or the notes without the consent of the holders of the outstanding notes under the Indenture:</w:t>
      </w:r>
    </w:p>
    <w:p>
      <w:pPr>
        <w:spacing w:after="0" w:line="37" w:lineRule="exact"/>
        <w:rPr>
          <w:sz w:val="20"/>
          <w:szCs w:val="20"/>
          <w:color w:val="auto"/>
        </w:rPr>
      </w:pPr>
    </w:p>
    <w:p>
      <w:pPr>
        <w:ind w:left="1720" w:hanging="134"/>
        <w:spacing w:after="0"/>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cure any ambiguity, defect or inconsistency under the Indenture or the notes;</w:t>
      </w:r>
    </w:p>
    <w:p>
      <w:pPr>
        <w:spacing w:after="0" w:line="91" w:lineRule="exact"/>
        <w:rPr>
          <w:rFonts w:ascii="Arial" w:cs="Arial" w:eastAsia="Arial" w:hAnsi="Arial"/>
          <w:sz w:val="14"/>
          <w:szCs w:val="14"/>
          <w:color w:val="auto"/>
        </w:rPr>
      </w:pPr>
    </w:p>
    <w:p>
      <w:pPr>
        <w:ind w:left="1720" w:right="1579" w:hanging="134"/>
        <w:spacing w:after="0" w:line="268" w:lineRule="auto"/>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evidence the succession of another corporation to the Company or successive successions and the assumption of the covenants, agreements and obligations of the Company by a successor;</w:t>
      </w:r>
    </w:p>
    <w:p>
      <w:pPr>
        <w:spacing w:after="0" w:line="49" w:lineRule="exact"/>
        <w:rPr>
          <w:rFonts w:ascii="Arial" w:cs="Arial" w:eastAsia="Arial" w:hAnsi="Arial"/>
          <w:sz w:val="14"/>
          <w:szCs w:val="14"/>
          <w:color w:val="auto"/>
        </w:rPr>
      </w:pPr>
    </w:p>
    <w:p>
      <w:pPr>
        <w:ind w:left="1720" w:hanging="134"/>
        <w:spacing w:after="0"/>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provide for uncertificated notes in addition to or in place of certificated notes;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add guarantees with respect to the notes or secure the notes;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surrender any of the Company’s rights or powers under the Indenture;</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add covenants or events of default for the benefit of the holders of the notes;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make any change that does not adversely affect the rights of any holder of the notes;</w:t>
      </w:r>
    </w:p>
    <w:p>
      <w:pPr>
        <w:spacing w:after="0" w:line="91" w:lineRule="exact"/>
        <w:rPr>
          <w:rFonts w:ascii="Arial" w:cs="Arial" w:eastAsia="Arial" w:hAnsi="Arial"/>
          <w:sz w:val="14"/>
          <w:szCs w:val="14"/>
          <w:color w:val="auto"/>
        </w:rPr>
      </w:pPr>
    </w:p>
    <w:p>
      <w:pPr>
        <w:ind w:left="1720" w:right="1599" w:hanging="134"/>
        <w:spacing w:after="0" w:line="286" w:lineRule="auto"/>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provide for the issuance of and establish the form and terms and conditions of the notes as permitted by the Indenture;</w:t>
      </w:r>
    </w:p>
    <w:p>
      <w:pPr>
        <w:spacing w:after="0" w:line="37" w:lineRule="exact"/>
        <w:rPr>
          <w:rFonts w:ascii="Arial" w:cs="Arial" w:eastAsia="Arial" w:hAnsi="Arial"/>
          <w:sz w:val="14"/>
          <w:szCs w:val="14"/>
          <w:color w:val="auto"/>
        </w:rPr>
      </w:pPr>
    </w:p>
    <w:p>
      <w:pPr>
        <w:ind w:left="1720" w:right="1419" w:hanging="134"/>
        <w:spacing w:after="0" w:line="262" w:lineRule="auto"/>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54" w:lineRule="exact"/>
        <w:rPr>
          <w:rFonts w:ascii="Arial" w:cs="Arial" w:eastAsia="Arial" w:hAnsi="Arial"/>
          <w:sz w:val="14"/>
          <w:szCs w:val="14"/>
          <w:color w:val="auto"/>
        </w:rPr>
      </w:pPr>
    </w:p>
    <w:p>
      <w:pPr>
        <w:ind w:left="1720" w:right="1319" w:hanging="134"/>
        <w:spacing w:after="0" w:line="286" w:lineRule="auto"/>
        <w:tabs>
          <w:tab w:leader="none" w:pos="1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add to, change or eliminate any provisions of the Indenture in accordance with the Trust Indenture Act, or to comply with the provisions of the DTC, Euroclear or Clearstream or the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99"/>
        <w:spacing w:after="0" w:line="286" w:lineRule="auto"/>
        <w:rPr>
          <w:sz w:val="20"/>
          <w:szCs w:val="20"/>
          <w:color w:val="auto"/>
        </w:rPr>
      </w:pPr>
      <w:r>
        <w:rPr>
          <w:rFonts w:ascii="Arial" w:cs="Arial" w:eastAsia="Arial" w:hAnsi="Arial"/>
          <w:sz w:val="14"/>
          <w:szCs w:val="14"/>
          <w:color w:val="auto"/>
        </w:rPr>
        <w:t>Trustee with respect to provisions of the Indenture or the notes relating to transfers or exchanges of notes or beneficial interests in the notes; or</w:t>
      </w:r>
    </w:p>
    <w:p>
      <w:pPr>
        <w:spacing w:after="0" w:line="27" w:lineRule="exact"/>
        <w:rPr>
          <w:sz w:val="20"/>
          <w:szCs w:val="20"/>
          <w:color w:val="auto"/>
        </w:rPr>
      </w:pPr>
    </w:p>
    <w:p>
      <w:pPr>
        <w:ind w:left="1720" w:right="1519" w:hanging="134"/>
        <w:spacing w:after="0" w:line="286" w:lineRule="auto"/>
        <w:tabs>
          <w:tab w:leader="none" w:pos="17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 conform any provision of the Indenture, insofar as it relates to the notes, to the description of the notes in this “Description of the Notes.”</w:t>
      </w:r>
    </w:p>
    <w:p>
      <w:pPr>
        <w:spacing w:after="0" w:line="58" w:lineRule="exact"/>
        <w:rPr>
          <w:sz w:val="20"/>
          <w:szCs w:val="20"/>
          <w:color w:val="auto"/>
        </w:rPr>
      </w:pPr>
    </w:p>
    <w:p>
      <w:pPr>
        <w:ind w:left="1300" w:right="1319"/>
        <w:spacing w:after="0" w:line="277" w:lineRule="auto"/>
        <w:rPr>
          <w:sz w:val="20"/>
          <w:szCs w:val="20"/>
          <w:color w:val="auto"/>
        </w:rPr>
      </w:pPr>
      <w:r>
        <w:rPr>
          <w:rFonts w:ascii="Arial" w:cs="Arial" w:eastAsia="Arial" w:hAnsi="Arial"/>
          <w:sz w:val="13"/>
          <w:szCs w:val="13"/>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46" w:lineRule="exact"/>
        <w:rPr>
          <w:sz w:val="20"/>
          <w:szCs w:val="20"/>
          <w:color w:val="auto"/>
        </w:rPr>
      </w:pPr>
    </w:p>
    <w:p>
      <w:pPr>
        <w:ind w:left="1720" w:hanging="134"/>
        <w:spacing w:after="0"/>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reduces the rates of or extends the time for payment of interest on any notes;</w:t>
      </w:r>
    </w:p>
    <w:p>
      <w:pPr>
        <w:spacing w:after="0" w:line="81" w:lineRule="exact"/>
        <w:rPr>
          <w:rFonts w:ascii="Arial" w:cs="Arial" w:eastAsia="Arial" w:hAnsi="Arial"/>
          <w:sz w:val="14"/>
          <w:szCs w:val="14"/>
          <w:color w:val="auto"/>
        </w:rPr>
      </w:pPr>
    </w:p>
    <w:p>
      <w:pPr>
        <w:ind w:left="1720" w:hanging="134"/>
        <w:spacing w:after="0"/>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reduces the principal amount of, or changes the stated maturity of, any notes;</w:t>
      </w:r>
    </w:p>
    <w:p>
      <w:pPr>
        <w:spacing w:after="0" w:line="91" w:lineRule="exact"/>
        <w:rPr>
          <w:rFonts w:ascii="Arial" w:cs="Arial" w:eastAsia="Arial" w:hAnsi="Arial"/>
          <w:sz w:val="14"/>
          <w:szCs w:val="14"/>
          <w:color w:val="auto"/>
        </w:rPr>
      </w:pPr>
    </w:p>
    <w:p>
      <w:pPr>
        <w:jc w:val="both"/>
        <w:ind w:left="1720" w:right="1399" w:hanging="134"/>
        <w:spacing w:after="0" w:line="268" w:lineRule="auto"/>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reduces the redemption price, including upon a Change of Control Triggering Event, of any notes or amends or modifies in any manner adverse to the holders thereof the Company’s obligation to make such payments;</w:t>
      </w:r>
    </w:p>
    <w:p>
      <w:pPr>
        <w:spacing w:after="0" w:line="49" w:lineRule="exact"/>
        <w:rPr>
          <w:rFonts w:ascii="Arial" w:cs="Arial" w:eastAsia="Arial" w:hAnsi="Arial"/>
          <w:sz w:val="14"/>
          <w:szCs w:val="14"/>
          <w:color w:val="auto"/>
        </w:rPr>
      </w:pPr>
    </w:p>
    <w:p>
      <w:pPr>
        <w:ind w:left="1720" w:hanging="134"/>
        <w:spacing w:after="0"/>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the currency of payment of principal, premium, if any, or interest;</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reduces the quorum requirements under the Indenture;</w:t>
      </w:r>
    </w:p>
    <w:p>
      <w:pPr>
        <w:spacing w:after="0" w:line="91" w:lineRule="exact"/>
        <w:rPr>
          <w:rFonts w:ascii="Arial" w:cs="Arial" w:eastAsia="Arial" w:hAnsi="Arial"/>
          <w:sz w:val="14"/>
          <w:szCs w:val="14"/>
          <w:color w:val="auto"/>
        </w:rPr>
      </w:pPr>
    </w:p>
    <w:p>
      <w:pPr>
        <w:ind w:left="1720" w:right="2059" w:hanging="134"/>
        <w:spacing w:after="0" w:line="286" w:lineRule="auto"/>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reduces the principal amount of notes whose holders must consent to an amendment, supplement or waiver;</w:t>
      </w:r>
    </w:p>
    <w:p>
      <w:pPr>
        <w:spacing w:after="0" w:line="37" w:lineRule="exact"/>
        <w:rPr>
          <w:rFonts w:ascii="Arial" w:cs="Arial" w:eastAsia="Arial" w:hAnsi="Arial"/>
          <w:sz w:val="14"/>
          <w:szCs w:val="14"/>
          <w:color w:val="auto"/>
        </w:rPr>
      </w:pPr>
    </w:p>
    <w:p>
      <w:pPr>
        <w:ind w:left="1720" w:hanging="134"/>
        <w:spacing w:after="0"/>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adversely affects the ranking of the notes;</w:t>
      </w:r>
    </w:p>
    <w:p>
      <w:pPr>
        <w:spacing w:after="0" w:line="91" w:lineRule="exact"/>
        <w:rPr>
          <w:rFonts w:ascii="Arial" w:cs="Arial" w:eastAsia="Arial" w:hAnsi="Arial"/>
          <w:sz w:val="14"/>
          <w:szCs w:val="14"/>
          <w:color w:val="auto"/>
        </w:rPr>
      </w:pPr>
    </w:p>
    <w:p>
      <w:pPr>
        <w:ind w:left="1720" w:right="1519" w:hanging="134"/>
        <w:spacing w:after="0" w:line="262" w:lineRule="auto"/>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44" w:lineRule="exact"/>
        <w:rPr>
          <w:rFonts w:ascii="Arial" w:cs="Arial" w:eastAsia="Arial" w:hAnsi="Arial"/>
          <w:sz w:val="14"/>
          <w:szCs w:val="14"/>
          <w:color w:val="auto"/>
        </w:rPr>
      </w:pPr>
    </w:p>
    <w:p>
      <w:pPr>
        <w:ind w:left="1720" w:hanging="134"/>
        <w:spacing w:after="0"/>
        <w:tabs>
          <w:tab w:leader="none" w:pos="1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impairs the right to institute suit for the enforcement of any payment on the notes.</w:t>
      </w:r>
    </w:p>
    <w:p>
      <w:pPr>
        <w:spacing w:after="0" w:line="123" w:lineRule="exact"/>
        <w:rPr>
          <w:sz w:val="20"/>
          <w:szCs w:val="20"/>
          <w:color w:val="auto"/>
        </w:rPr>
      </w:pPr>
    </w:p>
    <w:p>
      <w:pPr>
        <w:ind w:left="1300" w:right="1499"/>
        <w:spacing w:after="0" w:line="244" w:lineRule="auto"/>
        <w:rPr>
          <w:sz w:val="20"/>
          <w:szCs w:val="20"/>
          <w:color w:val="auto"/>
        </w:rPr>
      </w:pPr>
      <w:r>
        <w:rPr>
          <w:rFonts w:ascii="Arial" w:cs="Arial" w:eastAsia="Arial" w:hAnsi="Arial"/>
          <w:sz w:val="14"/>
          <w:szCs w:val="14"/>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the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Defeasance of Notes and Certain Covenants in Certain Circumstances</w:t>
      </w:r>
    </w:p>
    <w:p>
      <w:pPr>
        <w:spacing w:after="0" w:line="116" w:lineRule="exact"/>
        <w:rPr>
          <w:sz w:val="20"/>
          <w:szCs w:val="20"/>
          <w:color w:val="auto"/>
        </w:rPr>
      </w:pPr>
    </w:p>
    <w:p>
      <w:pPr>
        <w:ind w:left="1300" w:right="1399"/>
        <w:spacing w:after="0" w:line="245" w:lineRule="auto"/>
        <w:rPr>
          <w:sz w:val="20"/>
          <w:szCs w:val="20"/>
          <w:color w:val="auto"/>
        </w:rPr>
      </w:pPr>
      <w:r>
        <w:rPr>
          <w:rFonts w:ascii="Arial" w:cs="Arial" w:eastAsia="Arial" w:hAnsi="Arial"/>
          <w:sz w:val="14"/>
          <w:szCs w:val="14"/>
          <w:i w:val="1"/>
          <w:iCs w:val="1"/>
          <w:color w:val="auto"/>
        </w:rPr>
        <w:t>Legal Defeasance</w:t>
      </w:r>
      <w:r>
        <w:rPr>
          <w:rFonts w:ascii="Arial" w:cs="Arial" w:eastAsia="Arial" w:hAnsi="Arial"/>
          <w:sz w:val="14"/>
          <w:szCs w:val="14"/>
          <w:color w:val="auto"/>
        </w:rPr>
        <w:t>. The Indenture provides that the Company may be discharged from any and all</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 in respect of the notes (except for certain 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on the stated maturity of those payments in accordance with the terms of the Indenture and those notes.</w:t>
      </w:r>
    </w:p>
    <w:p>
      <w:pPr>
        <w:spacing w:after="0" w:line="89" w:lineRule="exact"/>
        <w:rPr>
          <w:sz w:val="20"/>
          <w:szCs w:val="20"/>
          <w:color w:val="auto"/>
        </w:rPr>
      </w:pPr>
    </w:p>
    <w:p>
      <w:pPr>
        <w:ind w:left="1300" w:right="1319"/>
        <w:spacing w:after="0" w:line="245" w:lineRule="auto"/>
        <w:rPr>
          <w:sz w:val="20"/>
          <w:szCs w:val="20"/>
          <w:color w:val="auto"/>
        </w:rPr>
      </w:pPr>
      <w:r>
        <w:rPr>
          <w:rFonts w:ascii="Arial" w:cs="Arial" w:eastAsia="Arial" w:hAnsi="Arial"/>
          <w:sz w:val="14"/>
          <w:szCs w:val="14"/>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60" w:lineRule="auto"/>
        <w:rPr>
          <w:sz w:val="20"/>
          <w:szCs w:val="20"/>
          <w:color w:val="auto"/>
        </w:rPr>
      </w:pPr>
      <w:r>
        <w:rPr>
          <w:rFonts w:ascii="Arial" w:cs="Arial" w:eastAsia="Arial" w:hAnsi="Arial"/>
          <w:sz w:val="14"/>
          <w:szCs w:val="14"/>
          <w:color w:val="auto"/>
        </w:rPr>
        <w:t>discharge and will be subject to United States federal income tax on the same amounts and in the same manner and at the same times as would have been the case if the deposit, defeasance and discharge had not occurred.</w:t>
      </w:r>
    </w:p>
    <w:p>
      <w:pPr>
        <w:spacing w:after="0" w:line="77" w:lineRule="exact"/>
        <w:rPr>
          <w:sz w:val="20"/>
          <w:szCs w:val="20"/>
          <w:color w:val="auto"/>
        </w:rPr>
      </w:pPr>
    </w:p>
    <w:p>
      <w:pPr>
        <w:ind w:left="1300" w:right="1919"/>
        <w:spacing w:after="0" w:line="270" w:lineRule="auto"/>
        <w:rPr>
          <w:sz w:val="20"/>
          <w:szCs w:val="20"/>
          <w:color w:val="auto"/>
        </w:rPr>
      </w:pPr>
      <w:r>
        <w:rPr>
          <w:rFonts w:ascii="Arial" w:cs="Arial" w:eastAsia="Arial" w:hAnsi="Arial"/>
          <w:sz w:val="14"/>
          <w:szCs w:val="14"/>
          <w:i w:val="1"/>
          <w:iCs w:val="1"/>
          <w:color w:val="auto"/>
        </w:rPr>
        <w:t>Defeasance of Certain Covenants</w:t>
      </w:r>
      <w:r>
        <w:rPr>
          <w:rFonts w:ascii="Arial" w:cs="Arial" w:eastAsia="Arial" w:hAnsi="Arial"/>
          <w:sz w:val="14"/>
          <w:szCs w:val="14"/>
          <w:color w:val="auto"/>
        </w:rPr>
        <w:t>. The Indenture provides that, upon compliance with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w:t>
      </w:r>
    </w:p>
    <w:p>
      <w:pPr>
        <w:spacing w:after="0" w:line="59" w:lineRule="exact"/>
        <w:rPr>
          <w:sz w:val="20"/>
          <w:szCs w:val="20"/>
          <w:color w:val="auto"/>
        </w:rPr>
      </w:pPr>
    </w:p>
    <w:p>
      <w:pPr>
        <w:ind w:left="1860" w:right="1419" w:hanging="274"/>
        <w:spacing w:after="0" w:line="268" w:lineRule="auto"/>
        <w:tabs>
          <w:tab w:leader="none" w:pos="1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70" w:lineRule="exact"/>
        <w:rPr>
          <w:rFonts w:ascii="Arial" w:cs="Arial" w:eastAsia="Arial" w:hAnsi="Arial"/>
          <w:sz w:val="14"/>
          <w:szCs w:val="14"/>
          <w:color w:val="auto"/>
        </w:rPr>
      </w:pPr>
    </w:p>
    <w:p>
      <w:pPr>
        <w:ind w:left="1860" w:right="1399" w:hanging="274"/>
        <w:spacing w:after="0" w:line="286" w:lineRule="auto"/>
        <w:tabs>
          <w:tab w:leader="none" w:pos="1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omission to comply with those covenants will not constitute a default or an event of default with respect to the notes (“covenant defeasance”).</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conditions include:</w:t>
      </w:r>
    </w:p>
    <w:p>
      <w:pPr>
        <w:spacing w:after="0" w:line="113" w:lineRule="exact"/>
        <w:rPr>
          <w:sz w:val="20"/>
          <w:szCs w:val="20"/>
          <w:color w:val="auto"/>
        </w:rPr>
      </w:pPr>
    </w:p>
    <w:p>
      <w:pPr>
        <w:ind w:left="1860" w:right="1399" w:hanging="274"/>
        <w:spacing w:after="0" w:line="258" w:lineRule="auto"/>
        <w:tabs>
          <w:tab w:leader="none" w:pos="18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66" w:lineRule="exact"/>
        <w:rPr>
          <w:rFonts w:ascii="Arial" w:cs="Arial" w:eastAsia="Arial" w:hAnsi="Arial"/>
          <w:sz w:val="14"/>
          <w:szCs w:val="14"/>
          <w:color w:val="auto"/>
        </w:rPr>
      </w:pPr>
    </w:p>
    <w:p>
      <w:pPr>
        <w:ind w:left="1860" w:right="1399" w:hanging="274"/>
        <w:spacing w:after="0" w:line="259" w:lineRule="auto"/>
        <w:tabs>
          <w:tab w:leader="none" w:pos="18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89" w:lineRule="exact"/>
        <w:rPr>
          <w:sz w:val="20"/>
          <w:szCs w:val="20"/>
          <w:color w:val="auto"/>
        </w:rPr>
      </w:pPr>
    </w:p>
    <w:p>
      <w:pPr>
        <w:ind w:left="1300" w:right="1419"/>
        <w:spacing w:after="0" w:line="268" w:lineRule="auto"/>
        <w:rPr>
          <w:sz w:val="20"/>
          <w:szCs w:val="20"/>
          <w:color w:val="auto"/>
        </w:rPr>
      </w:pPr>
      <w:r>
        <w:rPr>
          <w:rFonts w:ascii="Arial" w:cs="Arial" w:eastAsia="Arial" w:hAnsi="Arial"/>
          <w:sz w:val="13"/>
          <w:szCs w:val="13"/>
          <w:i w:val="1"/>
          <w:iCs w:val="1"/>
          <w:color w:val="auto"/>
        </w:rPr>
        <w:t>Covenant Defeasance and Events of Default</w:t>
      </w:r>
      <w:r>
        <w:rPr>
          <w:rFonts w:ascii="Arial" w:cs="Arial" w:eastAsia="Arial" w:hAnsi="Arial"/>
          <w:sz w:val="13"/>
          <w:szCs w:val="13"/>
          <w:color w:val="auto"/>
        </w:rPr>
        <w:t>. In the event the Company exercises its option to effect</w:t>
      </w:r>
      <w:r>
        <w:rPr>
          <w:rFonts w:ascii="Arial" w:cs="Arial" w:eastAsia="Arial" w:hAnsi="Arial"/>
          <w:sz w:val="13"/>
          <w:szCs w:val="13"/>
          <w:i w:val="1"/>
          <w:iCs w:val="1"/>
          <w:color w:val="auto"/>
        </w:rPr>
        <w:t xml:space="preserve"> </w:t>
      </w:r>
      <w:r>
        <w:rPr>
          <w:rFonts w:ascii="Arial" w:cs="Arial" w:eastAsia="Arial" w:hAnsi="Arial"/>
          <w:sz w:val="13"/>
          <w:szCs w:val="13"/>
          <w:color w:val="auto"/>
        </w:rPr>
        <w:t>covenant defeasance with respect to the notes and 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72" w:lineRule="exact"/>
        <w:rPr>
          <w:sz w:val="20"/>
          <w:szCs w:val="20"/>
          <w:color w:val="auto"/>
        </w:rPr>
      </w:pPr>
    </w:p>
    <w:p>
      <w:pPr>
        <w:ind w:left="1300" w:right="1479"/>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Government Obligations</w:t>
      </w:r>
      <w:r>
        <w:rPr>
          <w:rFonts w:ascii="Arial" w:cs="Arial" w:eastAsia="Arial" w:hAnsi="Arial"/>
          <w:sz w:val="14"/>
          <w:szCs w:val="14"/>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Satisfaction and Discharge</w:t>
      </w:r>
    </w:p>
    <w:p>
      <w:pPr>
        <w:spacing w:after="0" w:line="127" w:lineRule="exact"/>
        <w:rPr>
          <w:sz w:val="20"/>
          <w:szCs w:val="20"/>
          <w:color w:val="auto"/>
        </w:rPr>
      </w:pPr>
    </w:p>
    <w:p>
      <w:pPr>
        <w:ind w:left="1300" w:right="1399"/>
        <w:spacing w:after="0" w:line="243" w:lineRule="auto"/>
        <w:rPr>
          <w:sz w:val="20"/>
          <w:szCs w:val="20"/>
          <w:color w:val="auto"/>
        </w:rPr>
      </w:pPr>
      <w:r>
        <w:rPr>
          <w:rFonts w:ascii="Arial" w:cs="Arial" w:eastAsia="Arial" w:hAnsi="Arial"/>
          <w:sz w:val="14"/>
          <w:szCs w:val="14"/>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90" w:lineRule="exact"/>
        <w:rPr>
          <w:sz w:val="20"/>
          <w:szCs w:val="20"/>
          <w:color w:val="auto"/>
        </w:rPr>
      </w:pPr>
    </w:p>
    <w:p>
      <w:pPr>
        <w:ind w:left="1300" w:right="1439"/>
        <w:spacing w:after="0" w:line="327" w:lineRule="auto"/>
        <w:rPr>
          <w:sz w:val="20"/>
          <w:szCs w:val="20"/>
          <w:color w:val="auto"/>
        </w:rPr>
      </w:pPr>
      <w:r>
        <w:rPr>
          <w:rFonts w:ascii="Arial" w:cs="Arial" w:eastAsia="Arial" w:hAnsi="Arial"/>
          <w:sz w:val="13"/>
          <w:szCs w:val="13"/>
          <w:color w:val="auto"/>
        </w:rPr>
        <w:t>If such deposit is sufficient (as determined by the Company), for the purpose of paying and discharging each installment of principal of and interest on all the notes on the dates such installments of principal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86" w:lineRule="auto"/>
        <w:rPr>
          <w:sz w:val="20"/>
          <w:szCs w:val="20"/>
          <w:color w:val="auto"/>
        </w:rPr>
      </w:pPr>
      <w:r>
        <w:rPr>
          <w:rFonts w:ascii="Arial" w:cs="Arial" w:eastAsia="Arial" w:hAnsi="Arial"/>
          <w:sz w:val="14"/>
          <w:szCs w:val="14"/>
          <w:color w:val="auto"/>
        </w:rPr>
        <w:t>or interest are due, all the obligations of the Company under the Indenture with respect to such notes will be discharged and terminated except as otherwise provided in the Indenture.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Book-Entry, Form, Denomination and Delivery of Notes</w:t>
      </w:r>
    </w:p>
    <w:p>
      <w:pPr>
        <w:spacing w:after="0" w:line="116" w:lineRule="exact"/>
        <w:rPr>
          <w:sz w:val="20"/>
          <w:szCs w:val="20"/>
          <w:color w:val="auto"/>
        </w:rPr>
      </w:pPr>
    </w:p>
    <w:p>
      <w:pPr>
        <w:ind w:left="1300" w:right="1399"/>
        <w:spacing w:after="0" w:line="260" w:lineRule="auto"/>
        <w:rPr>
          <w:sz w:val="20"/>
          <w:szCs w:val="20"/>
          <w:color w:val="auto"/>
        </w:rPr>
      </w:pPr>
      <w:r>
        <w:rPr>
          <w:rFonts w:ascii="Arial" w:cs="Arial" w:eastAsia="Arial" w:hAnsi="Arial"/>
          <w:sz w:val="14"/>
          <w:szCs w:val="14"/>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77" w:lineRule="exact"/>
        <w:rPr>
          <w:sz w:val="20"/>
          <w:szCs w:val="20"/>
          <w:color w:val="auto"/>
        </w:rPr>
      </w:pPr>
    </w:p>
    <w:p>
      <w:pPr>
        <w:ind w:left="1300" w:right="1379"/>
        <w:spacing w:after="0" w:line="245" w:lineRule="auto"/>
        <w:rPr>
          <w:sz w:val="20"/>
          <w:szCs w:val="20"/>
          <w:color w:val="auto"/>
        </w:rPr>
      </w:pPr>
      <w:r>
        <w:rPr>
          <w:rFonts w:ascii="Arial" w:cs="Arial" w:eastAsia="Arial" w:hAnsi="Arial"/>
          <w:sz w:val="14"/>
          <w:szCs w:val="14"/>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w:t>
      </w:r>
    </w:p>
    <w:p>
      <w:pPr>
        <w:spacing w:after="0" w:line="2" w:lineRule="exact"/>
        <w:rPr>
          <w:sz w:val="20"/>
          <w:szCs w:val="20"/>
          <w:color w:val="auto"/>
        </w:rPr>
      </w:pPr>
    </w:p>
    <w:p>
      <w:pPr>
        <w:ind w:left="1300" w:right="1399" w:firstLine="5"/>
        <w:spacing w:after="0" w:line="245" w:lineRule="auto"/>
        <w:tabs>
          <w:tab w:leader="none" w:pos="1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86" w:lineRule="exact"/>
        <w:rPr>
          <w:sz w:val="20"/>
          <w:szCs w:val="20"/>
          <w:color w:val="auto"/>
        </w:rPr>
      </w:pPr>
    </w:p>
    <w:p>
      <w:pPr>
        <w:ind w:left="1300" w:right="1699"/>
        <w:spacing w:after="0" w:line="253" w:lineRule="auto"/>
        <w:rPr>
          <w:sz w:val="20"/>
          <w:szCs w:val="20"/>
          <w:color w:val="auto"/>
        </w:rPr>
      </w:pPr>
      <w:r>
        <w:rPr>
          <w:rFonts w:ascii="Arial" w:cs="Arial" w:eastAsia="Arial" w:hAnsi="Arial"/>
          <w:sz w:val="14"/>
          <w:szCs w:val="14"/>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45"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Depository Procedures</w:t>
      </w:r>
    </w:p>
    <w:p>
      <w:pPr>
        <w:spacing w:after="0" w:line="111" w:lineRule="exact"/>
        <w:rPr>
          <w:sz w:val="20"/>
          <w:szCs w:val="20"/>
          <w:color w:val="auto"/>
        </w:rPr>
      </w:pPr>
    </w:p>
    <w:p>
      <w:pPr>
        <w:ind w:left="1300" w:right="1359"/>
        <w:spacing w:after="0" w:line="248" w:lineRule="auto"/>
        <w:rPr>
          <w:sz w:val="20"/>
          <w:szCs w:val="20"/>
          <w:color w:val="auto"/>
        </w:rPr>
      </w:pPr>
      <w:r>
        <w:rPr>
          <w:rFonts w:ascii="Arial" w:cs="Arial" w:eastAsia="Arial" w:hAnsi="Arial"/>
          <w:sz w:val="14"/>
          <w:szCs w:val="14"/>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84" w:lineRule="exact"/>
        <w:rPr>
          <w:sz w:val="20"/>
          <w:szCs w:val="20"/>
          <w:color w:val="auto"/>
        </w:rPr>
      </w:pPr>
    </w:p>
    <w:p>
      <w:pPr>
        <w:ind w:left="1300" w:right="1339"/>
        <w:spacing w:after="0" w:line="243" w:lineRule="auto"/>
        <w:rPr>
          <w:sz w:val="20"/>
          <w:szCs w:val="20"/>
          <w:color w:val="auto"/>
        </w:rPr>
      </w:pPr>
      <w:r>
        <w:rPr>
          <w:rFonts w:ascii="Arial" w:cs="Arial" w:eastAsia="Arial" w:hAnsi="Arial"/>
          <w:sz w:val="14"/>
          <w:szCs w:val="14"/>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DTC has also advised the Company that, pursuant to procedures established by it:</w:t>
      </w:r>
    </w:p>
    <w:p>
      <w:pPr>
        <w:spacing w:after="0" w:line="92" w:lineRule="exact"/>
        <w:rPr>
          <w:sz w:val="20"/>
          <w:szCs w:val="20"/>
          <w:color w:val="auto"/>
        </w:rPr>
      </w:pPr>
    </w:p>
    <w:p>
      <w:pPr>
        <w:ind w:left="1720" w:right="1519" w:hanging="134"/>
        <w:spacing w:after="0" w:line="286" w:lineRule="auto"/>
        <w:tabs>
          <w:tab w:leader="none" w:pos="1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upon deposit of the global notes, DTC will credit the accounts of the Participants designated by the underwriters with portions of the principal amount of the global notes; and</w:t>
      </w:r>
    </w:p>
    <w:p>
      <w:pPr>
        <w:spacing w:after="0" w:line="37" w:lineRule="exact"/>
        <w:rPr>
          <w:rFonts w:ascii="Arial" w:cs="Arial" w:eastAsia="Arial" w:hAnsi="Arial"/>
          <w:sz w:val="14"/>
          <w:szCs w:val="14"/>
          <w:color w:val="auto"/>
        </w:rPr>
      </w:pPr>
    </w:p>
    <w:p>
      <w:pPr>
        <w:ind w:left="1720" w:right="1359" w:hanging="134"/>
        <w:spacing w:after="0" w:line="262" w:lineRule="auto"/>
        <w:tabs>
          <w:tab w:leader="none" w:pos="1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Investors in global notes who are Participants may hold their interests therein directly through DTC.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Investors in global notes who are not Participants may hold their interests therein indirectly through</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64" w:lineRule="auto"/>
        <w:rPr>
          <w:sz w:val="20"/>
          <w:szCs w:val="20"/>
          <w:color w:val="auto"/>
        </w:rPr>
      </w:pPr>
      <w:r>
        <w:rPr>
          <w:rFonts w:ascii="Arial" w:cs="Arial" w:eastAsia="Arial" w:hAnsi="Arial"/>
          <w:sz w:val="13"/>
          <w:szCs w:val="13"/>
          <w:color w:val="auto"/>
        </w:rPr>
        <w:t>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240" w:lineRule="exact"/>
        <w:rPr>
          <w:sz w:val="20"/>
          <w:szCs w:val="20"/>
          <w:color w:val="auto"/>
        </w:rPr>
      </w:pPr>
    </w:p>
    <w:p>
      <w:pPr>
        <w:ind w:left="1300" w:right="1379"/>
        <w:spacing w:after="0" w:line="256" w:lineRule="auto"/>
        <w:rPr>
          <w:sz w:val="20"/>
          <w:szCs w:val="20"/>
          <w:color w:val="auto"/>
        </w:rPr>
      </w:pPr>
      <w:r>
        <w:rPr>
          <w:rFonts w:ascii="Arial" w:cs="Arial" w:eastAsia="Arial" w:hAnsi="Arial"/>
          <w:sz w:val="14"/>
          <w:szCs w:val="14"/>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71" w:lineRule="exact"/>
        <w:rPr>
          <w:sz w:val="20"/>
          <w:szCs w:val="20"/>
          <w:color w:val="auto"/>
        </w:rPr>
      </w:pPr>
    </w:p>
    <w:p>
      <w:pPr>
        <w:ind w:left="1300" w:right="1359"/>
        <w:spacing w:after="0" w:line="253" w:lineRule="auto"/>
        <w:rPr>
          <w:sz w:val="20"/>
          <w:szCs w:val="20"/>
          <w:color w:val="auto"/>
        </w:rPr>
      </w:pPr>
      <w:r>
        <w:rPr>
          <w:rFonts w:ascii="Arial" w:cs="Arial" w:eastAsia="Arial" w:hAnsi="Arial"/>
          <w:sz w:val="14"/>
          <w:szCs w:val="14"/>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80" w:lineRule="exact"/>
        <w:rPr>
          <w:sz w:val="20"/>
          <w:szCs w:val="20"/>
          <w:color w:val="auto"/>
        </w:rPr>
      </w:pPr>
    </w:p>
    <w:p>
      <w:pPr>
        <w:ind w:left="1300" w:right="1339"/>
        <w:spacing w:after="0" w:line="248" w:lineRule="auto"/>
        <w:rPr>
          <w:sz w:val="20"/>
          <w:szCs w:val="20"/>
          <w:color w:val="auto"/>
        </w:rPr>
      </w:pPr>
      <w:r>
        <w:rPr>
          <w:rFonts w:ascii="Arial" w:cs="Arial" w:eastAsia="Arial" w:hAnsi="Arial"/>
          <w:sz w:val="14"/>
          <w:szCs w:val="14"/>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63" w:lineRule="exact"/>
        <w:rPr>
          <w:sz w:val="20"/>
          <w:szCs w:val="20"/>
          <w:color w:val="auto"/>
        </w:rPr>
      </w:pPr>
    </w:p>
    <w:p>
      <w:pPr>
        <w:ind w:left="1720" w:right="1339" w:hanging="134"/>
        <w:spacing w:after="0" w:line="268" w:lineRule="auto"/>
        <w:tabs>
          <w:tab w:leader="none" w:pos="1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49" w:lineRule="exact"/>
        <w:rPr>
          <w:rFonts w:ascii="Arial" w:cs="Arial" w:eastAsia="Arial" w:hAnsi="Arial"/>
          <w:sz w:val="14"/>
          <w:szCs w:val="14"/>
          <w:color w:val="auto"/>
        </w:rPr>
      </w:pPr>
    </w:p>
    <w:p>
      <w:pPr>
        <w:ind w:left="1720" w:right="1459" w:hanging="134"/>
        <w:spacing w:after="0" w:line="286" w:lineRule="auto"/>
        <w:tabs>
          <w:tab w:leader="none" w:pos="1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other matter relating to the actions and practices of DTC or any of its Participants or Indirect Participants.</w:t>
      </w:r>
    </w:p>
    <w:p>
      <w:pPr>
        <w:spacing w:after="0" w:line="58" w:lineRule="exact"/>
        <w:rPr>
          <w:sz w:val="20"/>
          <w:szCs w:val="20"/>
          <w:color w:val="auto"/>
        </w:rPr>
      </w:pPr>
    </w:p>
    <w:p>
      <w:pPr>
        <w:ind w:left="1300" w:right="1379"/>
        <w:spacing w:after="0" w:line="244" w:lineRule="auto"/>
        <w:rPr>
          <w:sz w:val="20"/>
          <w:szCs w:val="20"/>
          <w:color w:val="auto"/>
        </w:rPr>
      </w:pPr>
      <w:r>
        <w:rPr>
          <w:rFonts w:ascii="Arial" w:cs="Arial" w:eastAsia="Arial" w:hAnsi="Arial"/>
          <w:sz w:val="14"/>
          <w:szCs w:val="14"/>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88" w:lineRule="exact"/>
        <w:rPr>
          <w:sz w:val="20"/>
          <w:szCs w:val="20"/>
          <w:color w:val="auto"/>
        </w:rPr>
      </w:pPr>
    </w:p>
    <w:p>
      <w:pPr>
        <w:ind w:left="1300" w:right="1619"/>
        <w:spacing w:after="0" w:line="253" w:lineRule="auto"/>
        <w:rPr>
          <w:sz w:val="20"/>
          <w:szCs w:val="20"/>
          <w:color w:val="auto"/>
        </w:rPr>
      </w:pPr>
      <w:r>
        <w:rPr>
          <w:rFonts w:ascii="Arial" w:cs="Arial" w:eastAsia="Arial" w:hAnsi="Arial"/>
          <w:sz w:val="14"/>
          <w:szCs w:val="14"/>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0" w:lineRule="exact"/>
        <w:rPr>
          <w:sz w:val="20"/>
          <w:szCs w:val="20"/>
          <w:color w:val="auto"/>
        </w:rPr>
      </w:pPr>
    </w:p>
    <w:p>
      <w:pPr>
        <w:ind w:left="1300" w:right="1339"/>
        <w:spacing w:after="0" w:line="248" w:lineRule="auto"/>
        <w:rPr>
          <w:sz w:val="20"/>
          <w:szCs w:val="20"/>
          <w:color w:val="auto"/>
        </w:rPr>
      </w:pPr>
      <w:r>
        <w:rPr>
          <w:rFonts w:ascii="Arial" w:cs="Arial" w:eastAsia="Arial" w:hAnsi="Arial"/>
          <w:sz w:val="14"/>
          <w:szCs w:val="14"/>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71" w:lineRule="auto"/>
        <w:rPr>
          <w:sz w:val="20"/>
          <w:szCs w:val="20"/>
          <w:color w:val="auto"/>
        </w:rPr>
      </w:pPr>
      <w:r>
        <w:rPr>
          <w:rFonts w:ascii="Arial" w:cs="Arial" w:eastAsia="Arial" w:hAnsi="Arial"/>
          <w:sz w:val="14"/>
          <w:szCs w:val="14"/>
          <w:color w:val="auto"/>
        </w:rPr>
        <w:t>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80" w:lineRule="exact"/>
        <w:rPr>
          <w:sz w:val="20"/>
          <w:szCs w:val="20"/>
          <w:color w:val="auto"/>
        </w:rPr>
      </w:pPr>
    </w:p>
    <w:p>
      <w:pPr>
        <w:ind w:left="1300" w:right="1319"/>
        <w:spacing w:after="0" w:line="270" w:lineRule="auto"/>
        <w:rPr>
          <w:sz w:val="20"/>
          <w:szCs w:val="20"/>
          <w:color w:val="auto"/>
        </w:rPr>
      </w:pPr>
      <w:r>
        <w:rPr>
          <w:rFonts w:ascii="Arial" w:cs="Arial" w:eastAsia="Arial" w:hAnsi="Arial"/>
          <w:sz w:val="14"/>
          <w:szCs w:val="14"/>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81" w:lineRule="exact"/>
        <w:rPr>
          <w:sz w:val="20"/>
          <w:szCs w:val="20"/>
          <w:color w:val="auto"/>
        </w:rPr>
      </w:pPr>
    </w:p>
    <w:p>
      <w:pPr>
        <w:ind w:left="1300" w:right="1319"/>
        <w:spacing w:after="0" w:line="267" w:lineRule="auto"/>
        <w:rPr>
          <w:sz w:val="20"/>
          <w:szCs w:val="20"/>
          <w:color w:val="auto"/>
        </w:rPr>
      </w:pPr>
      <w:r>
        <w:rPr>
          <w:rFonts w:ascii="Arial" w:cs="Arial" w:eastAsia="Arial" w:hAnsi="Arial"/>
          <w:sz w:val="14"/>
          <w:szCs w:val="14"/>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37"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Global Notes</w:t>
      </w:r>
    </w:p>
    <w:p>
      <w:pPr>
        <w:spacing w:after="0" w:line="121" w:lineRule="exact"/>
        <w:rPr>
          <w:sz w:val="20"/>
          <w:szCs w:val="20"/>
          <w:color w:val="auto"/>
        </w:rPr>
      </w:pPr>
    </w:p>
    <w:p>
      <w:pPr>
        <w:ind w:left="1300" w:right="1619"/>
        <w:spacing w:after="0" w:line="302" w:lineRule="auto"/>
        <w:rPr>
          <w:sz w:val="20"/>
          <w:szCs w:val="20"/>
          <w:color w:val="auto"/>
        </w:rPr>
      </w:pPr>
      <w:r>
        <w:rPr>
          <w:rFonts w:ascii="Arial" w:cs="Arial" w:eastAsia="Arial" w:hAnsi="Arial"/>
          <w:sz w:val="14"/>
          <w:szCs w:val="14"/>
          <w:color w:val="auto"/>
        </w:rPr>
        <w:t>Global notes will be deposited with a custodian for DTC, and registered in the name of a nominee of DTC.</w:t>
      </w:r>
    </w:p>
    <w:p>
      <w:pPr>
        <w:spacing w:after="0" w:line="58" w:lineRule="exact"/>
        <w:rPr>
          <w:sz w:val="20"/>
          <w:szCs w:val="20"/>
          <w:color w:val="auto"/>
        </w:rPr>
      </w:pPr>
    </w:p>
    <w:p>
      <w:pPr>
        <w:ind w:left="1300" w:right="1399"/>
        <w:spacing w:after="0" w:line="267" w:lineRule="auto"/>
        <w:rPr>
          <w:sz w:val="20"/>
          <w:szCs w:val="20"/>
          <w:color w:val="auto"/>
        </w:rPr>
      </w:pPr>
      <w:r>
        <w:rPr>
          <w:rFonts w:ascii="Arial" w:cs="Arial" w:eastAsia="Arial" w:hAnsi="Arial"/>
          <w:sz w:val="14"/>
          <w:szCs w:val="14"/>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93" w:lineRule="exact"/>
        <w:rPr>
          <w:sz w:val="20"/>
          <w:szCs w:val="20"/>
          <w:color w:val="auto"/>
        </w:rPr>
      </w:pPr>
    </w:p>
    <w:p>
      <w:pPr>
        <w:ind w:left="1300" w:right="1459"/>
        <w:spacing w:after="0" w:line="276" w:lineRule="auto"/>
        <w:rPr>
          <w:sz w:val="20"/>
          <w:szCs w:val="20"/>
          <w:color w:val="auto"/>
        </w:rPr>
      </w:pPr>
      <w:r>
        <w:rPr>
          <w:rFonts w:ascii="Arial" w:cs="Arial" w:eastAsia="Arial" w:hAnsi="Arial"/>
          <w:sz w:val="14"/>
          <w:szCs w:val="14"/>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76" w:lineRule="exact"/>
        <w:rPr>
          <w:sz w:val="20"/>
          <w:szCs w:val="20"/>
          <w:color w:val="auto"/>
        </w:rPr>
      </w:pPr>
    </w:p>
    <w:p>
      <w:pPr>
        <w:ind w:left="1300" w:right="1319"/>
        <w:spacing w:after="0" w:line="265" w:lineRule="auto"/>
        <w:rPr>
          <w:sz w:val="20"/>
          <w:szCs w:val="20"/>
          <w:color w:val="auto"/>
        </w:rPr>
      </w:pPr>
      <w:r>
        <w:rPr>
          <w:rFonts w:ascii="Arial" w:cs="Arial" w:eastAsia="Arial" w:hAnsi="Arial"/>
          <w:sz w:val="14"/>
          <w:szCs w:val="14"/>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51"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Certificated Notes</w:t>
      </w:r>
    </w:p>
    <w:p>
      <w:pPr>
        <w:spacing w:after="0" w:line="111" w:lineRule="exact"/>
        <w:rPr>
          <w:sz w:val="20"/>
          <w:szCs w:val="20"/>
          <w:color w:val="auto"/>
        </w:rPr>
      </w:pPr>
    </w:p>
    <w:p>
      <w:pPr>
        <w:ind w:left="1300" w:right="1419"/>
        <w:spacing w:after="0" w:line="259" w:lineRule="auto"/>
        <w:rPr>
          <w:sz w:val="20"/>
          <w:szCs w:val="20"/>
          <w:color w:val="auto"/>
        </w:rPr>
      </w:pPr>
      <w:r>
        <w:rPr>
          <w:rFonts w:ascii="Arial" w:cs="Arial" w:eastAsia="Arial" w:hAnsi="Arial"/>
          <w:sz w:val="14"/>
          <w:szCs w:val="14"/>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Same Day Settlement and Payment</w:t>
      </w:r>
    </w:p>
    <w:p>
      <w:pPr>
        <w:spacing w:after="0" w:line="121" w:lineRule="exact"/>
        <w:rPr>
          <w:sz w:val="20"/>
          <w:szCs w:val="20"/>
          <w:color w:val="auto"/>
        </w:rPr>
      </w:pPr>
    </w:p>
    <w:p>
      <w:pPr>
        <w:ind w:left="1300" w:right="1479"/>
        <w:spacing w:after="0" w:line="260" w:lineRule="auto"/>
        <w:rPr>
          <w:sz w:val="20"/>
          <w:szCs w:val="20"/>
          <w:color w:val="auto"/>
        </w:rPr>
      </w:pPr>
      <w:r>
        <w:rPr>
          <w:rFonts w:ascii="Arial" w:cs="Arial" w:eastAsia="Arial" w:hAnsi="Arial"/>
          <w:sz w:val="14"/>
          <w:szCs w:val="14"/>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45" w:lineRule="exact"/>
        <w:rPr>
          <w:sz w:val="20"/>
          <w:szCs w:val="20"/>
          <w:color w:val="auto"/>
        </w:rPr>
      </w:pPr>
    </w:p>
    <w:p>
      <w:pPr>
        <w:ind w:left="1720" w:right="1559" w:hanging="134"/>
        <w:spacing w:after="0" w:line="286" w:lineRule="auto"/>
        <w:tabs>
          <w:tab w:leader="none" w:pos="1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check mailed to the address of the Person entitled to the payment as it appears in the security register; or</w:t>
      </w:r>
    </w:p>
    <w:p>
      <w:pPr>
        <w:spacing w:after="0" w:line="37" w:lineRule="exact"/>
        <w:rPr>
          <w:rFonts w:ascii="Arial" w:cs="Arial" w:eastAsia="Arial" w:hAnsi="Arial"/>
          <w:sz w:val="14"/>
          <w:szCs w:val="14"/>
          <w:color w:val="auto"/>
        </w:rPr>
      </w:pPr>
    </w:p>
    <w:p>
      <w:pPr>
        <w:ind w:left="1720" w:right="1339" w:hanging="134"/>
        <w:spacing w:after="0" w:line="262" w:lineRule="auto"/>
        <w:tabs>
          <w:tab w:leader="none" w:pos="1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76" w:lineRule="exact"/>
        <w:rPr>
          <w:sz w:val="20"/>
          <w:szCs w:val="20"/>
          <w:color w:val="auto"/>
        </w:rPr>
      </w:pPr>
    </w:p>
    <w:p>
      <w:pPr>
        <w:ind w:left="1300" w:right="1359"/>
        <w:spacing w:after="0" w:line="252" w:lineRule="auto"/>
        <w:rPr>
          <w:sz w:val="20"/>
          <w:szCs w:val="20"/>
          <w:color w:val="auto"/>
        </w:rPr>
      </w:pPr>
      <w:r>
        <w:rPr>
          <w:rFonts w:ascii="Arial" w:cs="Arial" w:eastAsia="Arial" w:hAnsi="Arial"/>
          <w:sz w:val="14"/>
          <w:szCs w:val="14"/>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81" w:lineRule="exact"/>
        <w:rPr>
          <w:sz w:val="20"/>
          <w:szCs w:val="20"/>
          <w:color w:val="auto"/>
        </w:rPr>
      </w:pPr>
    </w:p>
    <w:p>
      <w:pPr>
        <w:ind w:left="1300" w:right="1339"/>
        <w:spacing w:after="0" w:line="245" w:lineRule="auto"/>
        <w:rPr>
          <w:sz w:val="20"/>
          <w:szCs w:val="20"/>
          <w:color w:val="auto"/>
        </w:rPr>
      </w:pPr>
      <w:r>
        <w:rPr>
          <w:rFonts w:ascii="Arial" w:cs="Arial" w:eastAsia="Arial" w:hAnsi="Arial"/>
          <w:sz w:val="14"/>
          <w:szCs w:val="14"/>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Notices</w:t>
      </w:r>
    </w:p>
    <w:p>
      <w:pPr>
        <w:spacing w:after="0" w:line="127" w:lineRule="exact"/>
        <w:rPr>
          <w:sz w:val="20"/>
          <w:szCs w:val="20"/>
          <w:color w:val="auto"/>
        </w:rPr>
      </w:pPr>
    </w:p>
    <w:p>
      <w:pPr>
        <w:ind w:left="1300" w:right="1519"/>
        <w:spacing w:after="0" w:line="270" w:lineRule="auto"/>
        <w:rPr>
          <w:sz w:val="20"/>
          <w:szCs w:val="20"/>
          <w:color w:val="auto"/>
        </w:rPr>
      </w:pPr>
      <w:r>
        <w:rPr>
          <w:rFonts w:ascii="Arial" w:cs="Arial" w:eastAsia="Arial" w:hAnsi="Arial"/>
          <w:sz w:val="14"/>
          <w:szCs w:val="14"/>
          <w:color w:val="auto"/>
        </w:rPr>
        <w:t>Holders will receive notices at their addresses as they appear in the security register or in accordance with DTC’s applicable procedures.</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Title</w:t>
      </w:r>
    </w:p>
    <w:p>
      <w:pPr>
        <w:spacing w:after="0" w:line="127" w:lineRule="exact"/>
        <w:rPr>
          <w:sz w:val="20"/>
          <w:szCs w:val="20"/>
          <w:color w:val="auto"/>
        </w:rPr>
      </w:pPr>
    </w:p>
    <w:p>
      <w:pPr>
        <w:ind w:left="1300" w:right="1339"/>
        <w:spacing w:after="0" w:line="270" w:lineRule="auto"/>
        <w:rPr>
          <w:sz w:val="20"/>
          <w:szCs w:val="20"/>
          <w:color w:val="auto"/>
        </w:rPr>
      </w:pPr>
      <w:r>
        <w:rPr>
          <w:rFonts w:ascii="Arial" w:cs="Arial" w:eastAsia="Arial" w:hAnsi="Arial"/>
          <w:sz w:val="14"/>
          <w:szCs w:val="14"/>
          <w:color w:val="auto"/>
        </w:rPr>
        <w:t>The Company may treat the Person in whose name a note is registered on the applicable record date as the owner of the note for all purposes, whether or not it is overdue.</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 Personal Liability of Directors, Officers, Employees or Stockholders</w:t>
      </w:r>
    </w:p>
    <w:p>
      <w:pPr>
        <w:spacing w:after="0" w:line="127" w:lineRule="exact"/>
        <w:rPr>
          <w:sz w:val="20"/>
          <w:szCs w:val="20"/>
          <w:color w:val="auto"/>
        </w:rPr>
      </w:pPr>
    </w:p>
    <w:p>
      <w:pPr>
        <w:ind w:left="1300" w:right="1379"/>
        <w:spacing w:after="0" w:line="268" w:lineRule="auto"/>
        <w:rPr>
          <w:sz w:val="20"/>
          <w:szCs w:val="20"/>
          <w:color w:val="auto"/>
        </w:rPr>
      </w:pPr>
      <w:r>
        <w:rPr>
          <w:rFonts w:ascii="Arial" w:cs="Arial" w:eastAsia="Arial" w:hAnsi="Arial"/>
          <w:sz w:val="13"/>
          <w:szCs w:val="13"/>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Governing Law</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New York law will govern the Indenture and the notes.</w:t>
      </w:r>
    </w:p>
    <w:p>
      <w:pPr>
        <w:spacing w:after="0" w:line="113" w:lineRule="exact"/>
        <w:rPr>
          <w:sz w:val="20"/>
          <w:szCs w:val="20"/>
          <w:color w:val="auto"/>
        </w:rPr>
      </w:pPr>
    </w:p>
    <w:p>
      <w:pPr>
        <w:ind w:left="1300" w:right="1379"/>
        <w:spacing w:after="0" w:line="262" w:lineRule="auto"/>
        <w:rPr>
          <w:sz w:val="20"/>
          <w:szCs w:val="20"/>
          <w:color w:val="auto"/>
        </w:rPr>
      </w:pPr>
      <w:r>
        <w:rPr>
          <w:rFonts w:ascii="Arial" w:cs="Arial" w:eastAsia="Arial" w:hAnsi="Arial"/>
          <w:sz w:val="14"/>
          <w:szCs w:val="14"/>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86" w:lineRule="exact"/>
        <w:rPr>
          <w:sz w:val="20"/>
          <w:szCs w:val="20"/>
          <w:color w:val="auto"/>
        </w:rPr>
      </w:pPr>
    </w:p>
    <w:p>
      <w:pPr>
        <w:ind w:left="1300" w:right="1439"/>
        <w:spacing w:after="0" w:line="327" w:lineRule="auto"/>
        <w:rPr>
          <w:sz w:val="20"/>
          <w:szCs w:val="20"/>
          <w:color w:val="auto"/>
        </w:rPr>
      </w:pPr>
      <w:r>
        <w:rPr>
          <w:rFonts w:ascii="Arial" w:cs="Arial" w:eastAsia="Arial" w:hAnsi="Arial"/>
          <w:sz w:val="13"/>
          <w:szCs w:val="13"/>
          <w:color w:val="auto"/>
        </w:rPr>
        <w:t>The Indenture provides that any legal suit, action or proceeding arising out of or based upon the Indenture or the transactions contemplated thereby may be instituted in the federal courts of the United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54" w:lineRule="auto"/>
        <w:rPr>
          <w:sz w:val="20"/>
          <w:szCs w:val="20"/>
          <w:color w:val="auto"/>
        </w:rPr>
      </w:pPr>
      <w:r>
        <w:rPr>
          <w:rFonts w:ascii="Arial" w:cs="Arial" w:eastAsia="Arial" w:hAnsi="Arial"/>
          <w:sz w:val="14"/>
          <w:szCs w:val="14"/>
          <w:color w:val="auto"/>
        </w:rPr>
        <w:t>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Regarding the Trustee</w:t>
      </w:r>
    </w:p>
    <w:p>
      <w:pPr>
        <w:spacing w:after="0" w:line="127" w:lineRule="exact"/>
        <w:rPr>
          <w:sz w:val="20"/>
          <w:szCs w:val="20"/>
          <w:color w:val="auto"/>
        </w:rPr>
      </w:pPr>
    </w:p>
    <w:p>
      <w:pPr>
        <w:ind w:left="1300" w:right="1439"/>
        <w:spacing w:after="0" w:line="262" w:lineRule="auto"/>
        <w:rPr>
          <w:sz w:val="20"/>
          <w:szCs w:val="20"/>
          <w:color w:val="auto"/>
        </w:rPr>
      </w:pPr>
      <w:r>
        <w:rPr>
          <w:rFonts w:ascii="Arial" w:cs="Arial" w:eastAsia="Arial" w:hAnsi="Arial"/>
          <w:sz w:val="14"/>
          <w:szCs w:val="14"/>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76" w:lineRule="exact"/>
        <w:rPr>
          <w:sz w:val="20"/>
          <w:szCs w:val="20"/>
          <w:color w:val="auto"/>
        </w:rPr>
      </w:pPr>
    </w:p>
    <w:p>
      <w:pPr>
        <w:ind w:left="1300" w:right="1399"/>
        <w:spacing w:after="0" w:line="259" w:lineRule="auto"/>
        <w:rPr>
          <w:sz w:val="20"/>
          <w:szCs w:val="20"/>
          <w:color w:val="auto"/>
        </w:rPr>
      </w:pPr>
      <w:r>
        <w:rPr>
          <w:rFonts w:ascii="Arial" w:cs="Arial" w:eastAsia="Arial" w:hAnsi="Arial"/>
          <w:sz w:val="14"/>
          <w:szCs w:val="14"/>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89" w:lineRule="exact"/>
        <w:rPr>
          <w:sz w:val="20"/>
          <w:szCs w:val="20"/>
          <w:color w:val="auto"/>
        </w:rPr>
      </w:pPr>
    </w:p>
    <w:p>
      <w:pPr>
        <w:ind w:left="1300" w:right="1439"/>
        <w:spacing w:after="0" w:line="284" w:lineRule="auto"/>
        <w:rPr>
          <w:sz w:val="20"/>
          <w:szCs w:val="20"/>
          <w:color w:val="auto"/>
        </w:rPr>
      </w:pPr>
      <w:r>
        <w:rPr>
          <w:rFonts w:ascii="Arial" w:cs="Arial" w:eastAsia="Arial" w:hAnsi="Arial"/>
          <w:sz w:val="13"/>
          <w:szCs w:val="13"/>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right="2139"/>
        <w:spacing w:after="0" w:line="273" w:lineRule="auto"/>
        <w:rPr>
          <w:sz w:val="20"/>
          <w:szCs w:val="20"/>
          <w:color w:val="auto"/>
        </w:rPr>
      </w:pPr>
      <w:r>
        <w:rPr>
          <w:rFonts w:ascii="Arial" w:cs="Arial" w:eastAsia="Arial" w:hAnsi="Arial"/>
          <w:sz w:val="31"/>
          <w:szCs w:val="31"/>
          <w:b w:val="1"/>
          <w:bCs w:val="1"/>
          <w:color w:val="auto"/>
        </w:rPr>
        <w:t>MATERIAL U.S. FEDERAL INCOME TAX CONSEQUENCES</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In General</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Nature and Scope of Discussion</w:t>
      </w:r>
    </w:p>
    <w:p>
      <w:pPr>
        <w:spacing w:after="0" w:line="111" w:lineRule="exact"/>
        <w:rPr>
          <w:sz w:val="20"/>
          <w:szCs w:val="20"/>
          <w:color w:val="auto"/>
        </w:rPr>
      </w:pPr>
    </w:p>
    <w:p>
      <w:pPr>
        <w:ind w:left="1300" w:right="1399"/>
        <w:spacing w:after="0" w:line="245" w:lineRule="auto"/>
        <w:rPr>
          <w:sz w:val="20"/>
          <w:szCs w:val="20"/>
          <w:color w:val="auto"/>
        </w:rPr>
      </w:pPr>
      <w:r>
        <w:rPr>
          <w:rFonts w:ascii="Arial" w:cs="Arial" w:eastAsia="Arial" w:hAnsi="Arial"/>
          <w:sz w:val="14"/>
          <w:szCs w:val="14"/>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(the “Code”), and Treasury regulations, rulings and judicial decisions as of the date hereof, all of which are subject to change or differing interpretations, possibly with retroactive effect. There can be no assurance that the Internal Revenue Service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89" w:lineRule="exact"/>
        <w:rPr>
          <w:sz w:val="20"/>
          <w:szCs w:val="20"/>
          <w:color w:val="auto"/>
        </w:rPr>
      </w:pPr>
    </w:p>
    <w:p>
      <w:pPr>
        <w:ind w:left="1300" w:right="1319"/>
        <w:spacing w:after="0" w:line="241" w:lineRule="auto"/>
        <w:rPr>
          <w:sz w:val="20"/>
          <w:szCs w:val="20"/>
          <w:color w:val="auto"/>
        </w:rPr>
      </w:pPr>
      <w:r>
        <w:rPr>
          <w:rFonts w:ascii="Arial" w:cs="Arial" w:eastAsia="Arial" w:hAnsi="Arial"/>
          <w:sz w:val="14"/>
          <w:szCs w:val="14"/>
          <w:color w:val="auto"/>
        </w:rPr>
        <w:t>The following summary generally applies only to beneficial owners of the notes that purchase their notes in this offering for an amount equal to their issue price,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The summary does not address any potential U.S. federal income or other tax considerations that may be relevant to holders of 2026 notes that are redeemed pursuant to the 2026 notes Redemption that is contingent on the issuance of the notes contemplated hereby.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97" w:lineRule="exact"/>
        <w:rPr>
          <w:sz w:val="20"/>
          <w:szCs w:val="20"/>
          <w:color w:val="auto"/>
        </w:rPr>
      </w:pPr>
    </w:p>
    <w:p>
      <w:pPr>
        <w:ind w:left="1300" w:right="1499"/>
        <w:spacing w:after="0" w:line="252" w:lineRule="auto"/>
        <w:rPr>
          <w:sz w:val="20"/>
          <w:szCs w:val="20"/>
          <w:color w:val="auto"/>
        </w:rPr>
      </w:pPr>
      <w:r>
        <w:rPr>
          <w:rFonts w:ascii="Arial" w:cs="Arial" w:eastAsia="Arial" w:hAnsi="Arial"/>
          <w:sz w:val="14"/>
          <w:szCs w:val="14"/>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81" w:lineRule="exact"/>
        <w:rPr>
          <w:sz w:val="20"/>
          <w:szCs w:val="20"/>
          <w:color w:val="auto"/>
        </w:rPr>
      </w:pPr>
    </w:p>
    <w:p>
      <w:pPr>
        <w:ind w:left="1300" w:right="1339"/>
        <w:spacing w:after="0" w:line="247" w:lineRule="auto"/>
        <w:rPr>
          <w:sz w:val="20"/>
          <w:szCs w:val="20"/>
          <w:color w:val="auto"/>
        </w:rPr>
      </w:pPr>
      <w:r>
        <w:rPr>
          <w:rFonts w:ascii="Arial" w:cs="Arial" w:eastAsia="Arial" w:hAnsi="Arial"/>
          <w:sz w:val="14"/>
          <w:szCs w:val="14"/>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00" w:right="1419"/>
        <w:spacing w:after="0" w:line="260" w:lineRule="auto"/>
        <w:rPr>
          <w:sz w:val="20"/>
          <w:szCs w:val="20"/>
          <w:color w:val="auto"/>
        </w:rPr>
      </w:pPr>
      <w:r>
        <w:rPr>
          <w:rFonts w:ascii="Arial" w:cs="Arial" w:eastAsia="Arial" w:hAnsi="Arial"/>
          <w:sz w:val="14"/>
          <w:szCs w:val="14"/>
          <w:color w:val="auto"/>
        </w:rPr>
        <w:t>A “non-U.S. holder” is a beneficial owner of a note (other than a partnership or an entity or arrangement (domestic or foreign) that is treated as a partnership for U.S. federal income tax purposes) that is not a U.S. holder.</w:t>
      </w:r>
    </w:p>
    <w:p>
      <w:pPr>
        <w:spacing w:after="0" w:line="77" w:lineRule="exact"/>
        <w:rPr>
          <w:sz w:val="20"/>
          <w:szCs w:val="20"/>
          <w:color w:val="auto"/>
        </w:rPr>
      </w:pPr>
    </w:p>
    <w:p>
      <w:pPr>
        <w:ind w:left="1300" w:right="1339"/>
        <w:spacing w:after="0" w:line="248" w:lineRule="auto"/>
        <w:rPr>
          <w:sz w:val="20"/>
          <w:szCs w:val="20"/>
          <w:color w:val="auto"/>
        </w:rPr>
      </w:pPr>
      <w:r>
        <w:rPr>
          <w:rFonts w:ascii="Arial" w:cs="Arial" w:eastAsia="Arial" w:hAnsi="Arial"/>
          <w:sz w:val="14"/>
          <w:szCs w:val="14"/>
          <w:color w:val="auto"/>
        </w:rPr>
        <w:t>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40"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Additional Payments</w:t>
      </w:r>
    </w:p>
    <w:p>
      <w:pPr>
        <w:spacing w:after="0" w:line="121" w:lineRule="exact"/>
        <w:rPr>
          <w:sz w:val="20"/>
          <w:szCs w:val="20"/>
          <w:color w:val="auto"/>
        </w:rPr>
      </w:pPr>
    </w:p>
    <w:p>
      <w:pPr>
        <w:ind w:left="1300" w:right="1339"/>
        <w:spacing w:after="0" w:line="243" w:lineRule="auto"/>
        <w:rPr>
          <w:sz w:val="20"/>
          <w:szCs w:val="20"/>
          <w:color w:val="auto"/>
        </w:rPr>
      </w:pPr>
      <w:r>
        <w:rPr>
          <w:rFonts w:ascii="Arial" w:cs="Arial" w:eastAsia="Arial" w:hAnsi="Arial"/>
          <w:sz w:val="14"/>
          <w:szCs w:val="14"/>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the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U.S. Holders</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Taxation of Interest</w:t>
      </w:r>
    </w:p>
    <w:p>
      <w:pPr>
        <w:spacing w:after="0" w:line="111" w:lineRule="exact"/>
        <w:rPr>
          <w:sz w:val="20"/>
          <w:szCs w:val="20"/>
          <w:color w:val="auto"/>
        </w:rPr>
      </w:pPr>
    </w:p>
    <w:p>
      <w:pPr>
        <w:ind w:left="1300" w:right="1359"/>
        <w:spacing w:after="0" w:line="270" w:lineRule="auto"/>
        <w:rPr>
          <w:sz w:val="20"/>
          <w:szCs w:val="20"/>
          <w:color w:val="auto"/>
        </w:rPr>
      </w:pPr>
      <w:r>
        <w:rPr>
          <w:rFonts w:ascii="Arial" w:cs="Arial" w:eastAsia="Arial" w:hAnsi="Arial"/>
          <w:sz w:val="14"/>
          <w:szCs w:val="14"/>
          <w:color w:val="auto"/>
        </w:rPr>
        <w:t>A U.S. holder will be required to recognize as ordinary income any stated interest paid or accrued on the notes, in accordance with such holder’s regular method of tax accounting.</w:t>
      </w:r>
    </w:p>
    <w:p>
      <w:pPr>
        <w:spacing w:after="0" w:line="69" w:lineRule="exact"/>
        <w:rPr>
          <w:sz w:val="20"/>
          <w:szCs w:val="20"/>
          <w:color w:val="auto"/>
        </w:rPr>
      </w:pPr>
    </w:p>
    <w:p>
      <w:pPr>
        <w:ind w:left="1300" w:right="1319"/>
        <w:spacing w:after="0" w:line="248" w:lineRule="auto"/>
        <w:rPr>
          <w:sz w:val="20"/>
          <w:szCs w:val="20"/>
          <w:color w:val="auto"/>
        </w:rPr>
      </w:pPr>
      <w:r>
        <w:rPr>
          <w:rFonts w:ascii="Arial" w:cs="Arial" w:eastAsia="Arial" w:hAnsi="Arial"/>
          <w:sz w:val="14"/>
          <w:szCs w:val="14"/>
          <w:color w:val="auto"/>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p>
    <w:p>
      <w:pPr>
        <w:spacing w:after="0" w:line="140"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Sale, Exchange, Redemption, Retirement or Other Taxable Disposition of the Notes</w:t>
      </w:r>
    </w:p>
    <w:p>
      <w:pPr>
        <w:spacing w:after="0" w:line="121" w:lineRule="exact"/>
        <w:rPr>
          <w:sz w:val="20"/>
          <w:szCs w:val="20"/>
          <w:color w:val="auto"/>
        </w:rPr>
      </w:pPr>
    </w:p>
    <w:p>
      <w:pPr>
        <w:ind w:left="1300" w:right="1379"/>
        <w:spacing w:after="0" w:line="263" w:lineRule="auto"/>
        <w:rPr>
          <w:sz w:val="20"/>
          <w:szCs w:val="20"/>
          <w:color w:val="auto"/>
        </w:rPr>
      </w:pPr>
      <w:r>
        <w:rPr>
          <w:rFonts w:ascii="Arial" w:cs="Arial" w:eastAsia="Arial" w:hAnsi="Arial"/>
          <w:sz w:val="13"/>
          <w:szCs w:val="13"/>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Non-U.S. Holders</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Taxation of Interest</w:t>
      </w:r>
    </w:p>
    <w:p>
      <w:pPr>
        <w:spacing w:after="0" w:line="121" w:lineRule="exact"/>
        <w:rPr>
          <w:sz w:val="20"/>
          <w:szCs w:val="20"/>
          <w:color w:val="auto"/>
        </w:rPr>
      </w:pPr>
    </w:p>
    <w:p>
      <w:pPr>
        <w:ind w:left="1300" w:right="1339"/>
        <w:spacing w:after="0" w:line="254" w:lineRule="auto"/>
        <w:rPr>
          <w:sz w:val="20"/>
          <w:szCs w:val="20"/>
          <w:color w:val="auto"/>
        </w:rPr>
      </w:pPr>
      <w:r>
        <w:rPr>
          <w:rFonts w:ascii="Arial" w:cs="Arial" w:eastAsia="Arial" w:hAnsi="Arial"/>
          <w:sz w:val="14"/>
          <w:szCs w:val="14"/>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64" w:lineRule="exact"/>
        <w:rPr>
          <w:sz w:val="20"/>
          <w:szCs w:val="20"/>
          <w:color w:val="auto"/>
        </w:rPr>
      </w:pPr>
    </w:p>
    <w:p>
      <w:pPr>
        <w:ind w:left="1720" w:right="1379" w:hanging="134"/>
        <w:spacing w:after="0" w:line="268" w:lineRule="auto"/>
        <w:tabs>
          <w:tab w:leader="none" w:pos="1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owns, actually or constructively (applying certain attribution rules), shares of our stock representing at least 10% of the total combined voting power of all classes of our stock entitled to vote;</w:t>
      </w:r>
    </w:p>
    <w:p>
      <w:pPr>
        <w:spacing w:after="0" w:line="49" w:lineRule="exact"/>
        <w:rPr>
          <w:rFonts w:ascii="Arial" w:cs="Arial" w:eastAsia="Arial" w:hAnsi="Arial"/>
          <w:sz w:val="14"/>
          <w:szCs w:val="14"/>
          <w:color w:val="auto"/>
        </w:rPr>
      </w:pPr>
    </w:p>
    <w:p>
      <w:pPr>
        <w:ind w:left="1720" w:right="1739" w:hanging="134"/>
        <w:spacing w:after="0" w:line="286" w:lineRule="auto"/>
        <w:tabs>
          <w:tab w:leader="none" w:pos="1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is a “controlled foreign corporation” within the meaning of Section 957(a) of the Code that is related, directly or indirectly, to us through sufficient stock ownership; or</w:t>
      </w:r>
    </w:p>
    <w:p>
      <w:pPr>
        <w:spacing w:after="0" w:line="37" w:lineRule="exact"/>
        <w:rPr>
          <w:rFonts w:ascii="Arial" w:cs="Arial" w:eastAsia="Arial" w:hAnsi="Arial"/>
          <w:sz w:val="14"/>
          <w:szCs w:val="14"/>
          <w:color w:val="auto"/>
        </w:rPr>
      </w:pPr>
    </w:p>
    <w:p>
      <w:pPr>
        <w:ind w:left="1720" w:hanging="134"/>
        <w:spacing w:after="0"/>
        <w:tabs>
          <w:tab w:leader="none" w:pos="1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is a bank whose receipt of interest on the notes is described in Section 881(c)(3)(A) of the Code.</w:t>
      </w:r>
    </w:p>
    <w:p>
      <w:pPr>
        <w:spacing w:after="0" w:line="113" w:lineRule="exact"/>
        <w:rPr>
          <w:sz w:val="20"/>
          <w:szCs w:val="20"/>
          <w:color w:val="auto"/>
        </w:rPr>
      </w:pPr>
    </w:p>
    <w:p>
      <w:pPr>
        <w:ind w:left="1300" w:right="1379"/>
        <w:spacing w:after="0" w:line="268" w:lineRule="auto"/>
        <w:rPr>
          <w:sz w:val="20"/>
          <w:szCs w:val="20"/>
          <w:color w:val="auto"/>
        </w:rPr>
      </w:pPr>
      <w:r>
        <w:rPr>
          <w:rFonts w:ascii="Arial" w:cs="Arial" w:eastAsia="Arial" w:hAnsi="Arial"/>
          <w:sz w:val="14"/>
          <w:szCs w:val="14"/>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81" w:lineRule="exact"/>
        <w:rPr>
          <w:sz w:val="20"/>
          <w:szCs w:val="20"/>
          <w:color w:val="auto"/>
        </w:rPr>
      </w:pPr>
    </w:p>
    <w:p>
      <w:pPr>
        <w:ind w:left="1300" w:right="1339"/>
        <w:spacing w:after="0" w:line="256" w:lineRule="auto"/>
        <w:rPr>
          <w:sz w:val="20"/>
          <w:szCs w:val="20"/>
          <w:color w:val="auto"/>
        </w:rPr>
      </w:pPr>
      <w:r>
        <w:rPr>
          <w:rFonts w:ascii="Arial" w:cs="Arial" w:eastAsia="Arial" w:hAnsi="Arial"/>
          <w:sz w:val="14"/>
          <w:szCs w:val="14"/>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43"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Sale, Exchange, Redemption, Retirement or Other Taxable Disposition of the Notes</w:t>
      </w:r>
    </w:p>
    <w:p>
      <w:pPr>
        <w:spacing w:after="0" w:line="121" w:lineRule="exact"/>
        <w:rPr>
          <w:sz w:val="20"/>
          <w:szCs w:val="20"/>
          <w:color w:val="auto"/>
        </w:rPr>
      </w:pPr>
    </w:p>
    <w:p>
      <w:pPr>
        <w:ind w:left="1300" w:right="1339"/>
        <w:spacing w:after="0" w:line="258" w:lineRule="auto"/>
        <w:rPr>
          <w:sz w:val="20"/>
          <w:szCs w:val="20"/>
          <w:color w:val="auto"/>
        </w:rPr>
      </w:pPr>
      <w:r>
        <w:rPr>
          <w:rFonts w:ascii="Arial" w:cs="Arial" w:eastAsia="Arial" w:hAnsi="Arial"/>
          <w:sz w:val="14"/>
          <w:szCs w:val="14"/>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56" w:lineRule="exact"/>
        <w:rPr>
          <w:sz w:val="20"/>
          <w:szCs w:val="20"/>
          <w:color w:val="auto"/>
        </w:rPr>
      </w:pPr>
    </w:p>
    <w:p>
      <w:pPr>
        <w:ind w:left="1720" w:right="1379" w:hanging="134"/>
        <w:spacing w:after="0" w:line="259" w:lineRule="auto"/>
        <w:tabs>
          <w:tab w:leader="none" w:pos="1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57" w:lineRule="exact"/>
        <w:rPr>
          <w:rFonts w:ascii="Arial" w:cs="Arial" w:eastAsia="Arial" w:hAnsi="Arial"/>
          <w:sz w:val="14"/>
          <w:szCs w:val="14"/>
          <w:color w:val="auto"/>
        </w:rPr>
      </w:pPr>
    </w:p>
    <w:p>
      <w:pPr>
        <w:ind w:left="1720" w:right="1319" w:hanging="134"/>
        <w:spacing w:after="0" w:line="258" w:lineRule="auto"/>
        <w:tabs>
          <w:tab w:leader="none" w:pos="1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Income or Gains Effectively Connected With a U.S. Trade or Business</w:t>
      </w:r>
    </w:p>
    <w:p>
      <w:pPr>
        <w:spacing w:after="0" w:line="121" w:lineRule="exact"/>
        <w:rPr>
          <w:sz w:val="20"/>
          <w:szCs w:val="20"/>
          <w:color w:val="auto"/>
        </w:rPr>
      </w:pPr>
    </w:p>
    <w:p>
      <w:pPr>
        <w:ind w:left="1300" w:right="1319"/>
        <w:spacing w:after="0" w:line="242" w:lineRule="auto"/>
        <w:rPr>
          <w:sz w:val="20"/>
          <w:szCs w:val="20"/>
          <w:color w:val="auto"/>
        </w:rPr>
      </w:pPr>
      <w:r>
        <w:rPr>
          <w:rFonts w:ascii="Arial" w:cs="Arial" w:eastAsia="Arial" w:hAnsi="Arial"/>
          <w:sz w:val="14"/>
          <w:szCs w:val="14"/>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52"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Legislation and Guidance Relating to Foreign Accounts</w:t>
      </w:r>
    </w:p>
    <w:p>
      <w:pPr>
        <w:spacing w:after="0" w:line="121" w:lineRule="exact"/>
        <w:rPr>
          <w:sz w:val="20"/>
          <w:szCs w:val="20"/>
          <w:color w:val="auto"/>
        </w:rPr>
      </w:pPr>
    </w:p>
    <w:p>
      <w:pPr>
        <w:ind w:left="1300" w:right="1359"/>
        <w:spacing w:after="0" w:line="261" w:lineRule="auto"/>
        <w:rPr>
          <w:sz w:val="20"/>
          <w:szCs w:val="20"/>
          <w:color w:val="auto"/>
        </w:rPr>
      </w:pPr>
      <w:r>
        <w:rPr>
          <w:rFonts w:ascii="Arial" w:cs="Arial" w:eastAsia="Arial" w:hAnsi="Arial"/>
          <w:sz w:val="13"/>
          <w:szCs w:val="13"/>
          <w:color w:val="auto"/>
        </w:rPr>
        <w:t>Legislation and administrative guidance incorporating provisions referred to as the Foreign Account Tax Compliance Act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28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Backup Withholding and Information Reporting</w:t>
      </w:r>
    </w:p>
    <w:p>
      <w:pPr>
        <w:spacing w:after="0" w:line="116" w:lineRule="exact"/>
        <w:rPr>
          <w:sz w:val="20"/>
          <w:szCs w:val="20"/>
          <w:color w:val="auto"/>
        </w:rPr>
      </w:pPr>
    </w:p>
    <w:p>
      <w:pPr>
        <w:ind w:left="1300" w:right="1479"/>
        <w:spacing w:after="0" w:line="248" w:lineRule="auto"/>
        <w:rPr>
          <w:sz w:val="20"/>
          <w:szCs w:val="20"/>
          <w:color w:val="auto"/>
        </w:rPr>
      </w:pPr>
      <w:r>
        <w:rPr>
          <w:rFonts w:ascii="Arial" w:cs="Arial" w:eastAsia="Arial" w:hAnsi="Arial"/>
          <w:sz w:val="14"/>
          <w:szCs w:val="14"/>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619"/>
        <w:spacing w:after="0" w:line="259" w:lineRule="auto"/>
        <w:rPr>
          <w:sz w:val="20"/>
          <w:szCs w:val="20"/>
          <w:color w:val="auto"/>
        </w:rPr>
      </w:pPr>
      <w:r>
        <w:rPr>
          <w:rFonts w:ascii="Arial" w:cs="Arial" w:eastAsia="Arial" w:hAnsi="Arial"/>
          <w:sz w:val="14"/>
          <w:szCs w:val="14"/>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89" w:lineRule="exact"/>
        <w:rPr>
          <w:sz w:val="20"/>
          <w:szCs w:val="20"/>
          <w:color w:val="auto"/>
        </w:rPr>
      </w:pPr>
    </w:p>
    <w:p>
      <w:pPr>
        <w:ind w:left="1300" w:right="1339"/>
        <w:spacing w:after="0" w:line="277" w:lineRule="auto"/>
        <w:rPr>
          <w:sz w:val="20"/>
          <w:szCs w:val="20"/>
          <w:color w:val="auto"/>
        </w:rPr>
      </w:pPr>
      <w:r>
        <w:rPr>
          <w:rFonts w:ascii="Arial" w:cs="Arial" w:eastAsia="Arial" w:hAnsi="Arial"/>
          <w:sz w:val="13"/>
          <w:szCs w:val="13"/>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78" w:lineRule="exact"/>
        <w:rPr>
          <w:sz w:val="20"/>
          <w:szCs w:val="20"/>
          <w:color w:val="auto"/>
        </w:rPr>
      </w:pPr>
    </w:p>
    <w:p>
      <w:pPr>
        <w:ind w:left="1300" w:right="1379"/>
        <w:spacing w:after="0" w:line="262" w:lineRule="auto"/>
        <w:rPr>
          <w:sz w:val="20"/>
          <w:szCs w:val="20"/>
          <w:color w:val="auto"/>
        </w:rPr>
      </w:pPr>
      <w:r>
        <w:rPr>
          <w:rFonts w:ascii="Arial" w:cs="Arial" w:eastAsia="Arial" w:hAnsi="Arial"/>
          <w:sz w:val="14"/>
          <w:szCs w:val="14"/>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UNDERWRITING</w:t>
      </w:r>
    </w:p>
    <w:p>
      <w:pPr>
        <w:spacing w:after="0" w:line="119" w:lineRule="exact"/>
        <w:rPr>
          <w:sz w:val="20"/>
          <w:szCs w:val="20"/>
          <w:color w:val="auto"/>
        </w:rPr>
      </w:pPr>
    </w:p>
    <w:p>
      <w:pPr>
        <w:ind w:left="1300" w:right="1619"/>
        <w:spacing w:after="0" w:line="267" w:lineRule="auto"/>
        <w:rPr>
          <w:sz w:val="20"/>
          <w:szCs w:val="20"/>
          <w:color w:val="auto"/>
        </w:rPr>
      </w:pPr>
      <w:r>
        <w:rPr>
          <w:rFonts w:ascii="Arial" w:cs="Arial" w:eastAsia="Arial" w:hAnsi="Arial"/>
          <w:sz w:val="14"/>
          <w:szCs w:val="14"/>
          <w:color w:val="auto"/>
        </w:rPr>
        <w:t>Subject to the terms and conditions stated in the underwriting agreement dated the date of this prospectus supplement, each underwriter named below, for whom Morgan Stanley &amp; Co. LLC, BNP Paribas Securities Corp., J.P. Morgan Securities LLC and Wells Fargo Securities, LLC are acting as representatives, has severally and not jointly agreed to purchase, and we have agreed to sell to that underwriter, the aggregate principal amount of notes set forth opposite the underwriter’s name in the following table:</w:t>
      </w:r>
    </w:p>
    <w:p>
      <w:pPr>
        <w:sectPr>
          <w:pgSz w:w="11900" w:h="16838" w:orient="portrait"/>
          <w:cols w:equalWidth="0" w:num="1">
            <w:col w:w="9019"/>
          </w:cols>
          <w:pgMar w:left="1440" w:top="107" w:right="1440" w:bottom="1440" w:gutter="0" w:footer="0" w:header="0"/>
        </w:sectPr>
      </w:pPr>
    </w:p>
    <w:p>
      <w:pPr>
        <w:spacing w:after="0" w:line="375"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17145</wp:posOffset>
            </wp:positionV>
            <wp:extent cx="4062095" cy="133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Morgan Stanley &amp; Co. LLC</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27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J.P. Morgan Securities LLC</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27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ANZ Securities, Inc.</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27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Commerz Markets LLC</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27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MUFG Securities Americas Inc.</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Siebert Williams Shank &amp; Co., LLC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Barclays Capital Inc.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CIBC World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Citigroup Global Markets Inc.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Credit Agricole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Goldman Sachs &amp; Co. LLC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ICBC Standard Bank Plc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Scotia Capital (USA) Inc.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SMBC Nikko Securities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21590</wp:posOffset>
            </wp:positionV>
            <wp:extent cx="4062095" cy="133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4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TD Securities (USA) LLC</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20955</wp:posOffset>
            </wp:positionV>
            <wp:extent cx="4062095" cy="160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62095" cy="16065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Principal</w:t>
            </w:r>
          </w:p>
        </w:tc>
        <w:tc>
          <w:tcPr>
            <w:tcW w:w="4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r>
      <w:tr>
        <w:trPr>
          <w:trHeight w:val="154"/>
        </w:trPr>
        <w:tc>
          <w:tcPr>
            <w:tcW w:w="160" w:type="dxa"/>
            <w:vAlign w:val="bottom"/>
          </w:tcPr>
          <w:p>
            <w:pPr>
              <w:spacing w:after="0"/>
              <w:rPr>
                <w:sz w:val="20"/>
                <w:szCs w:val="20"/>
                <w:color w:val="auto"/>
              </w:rPr>
            </w:pPr>
            <w:r>
              <w:rPr>
                <w:rFonts w:ascii="Arial" w:cs="Arial" w:eastAsia="Arial" w:hAnsi="Arial"/>
                <w:sz w:val="11"/>
                <w:szCs w:val="11"/>
                <w:b w:val="1"/>
                <w:bCs w:val="1"/>
                <w:color w:val="auto"/>
              </w:rPr>
              <w:t>​ ​</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Notes</w:t>
            </w:r>
          </w:p>
        </w:tc>
        <w:tc>
          <w:tcPr>
            <w:tcW w:w="40" w:type="dxa"/>
            <w:vAlign w:val="bottom"/>
          </w:tcPr>
          <w:p>
            <w:pPr>
              <w:spacing w:after="0"/>
              <w:rPr>
                <w:sz w:val="20"/>
                <w:szCs w:val="20"/>
                <w:color w:val="auto"/>
              </w:rPr>
            </w:pPr>
            <w:r>
              <w:rPr>
                <w:rFonts w:ascii="Arial" w:cs="Arial" w:eastAsia="Arial" w:hAnsi="Arial"/>
                <w:sz w:val="11"/>
                <w:szCs w:val="11"/>
                <w:b w:val="1"/>
                <w:bCs w:val="1"/>
                <w:color w:val="auto"/>
              </w:rPr>
              <w:t>​</w:t>
            </w:r>
          </w:p>
        </w:tc>
      </w:tr>
    </w:tbl>
    <w:p>
      <w:pPr>
        <w:spacing w:after="0" w:line="17"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4"/>
          <w:szCs w:val="14"/>
          <w:color w:val="auto"/>
        </w:rPr>
        <w:t>​ ​​$</w:t>
        <w:tab/>
        <w:t>100,000,000​</w:t>
      </w:r>
    </w:p>
    <w:p>
      <w:pPr>
        <w:spacing w:after="0" w:line="45"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4"/>
          <w:szCs w:val="14"/>
          <w:color w:val="auto"/>
        </w:rPr>
        <w:t>​ ​​$</w:t>
        <w:tab/>
        <w:t>100,000,000​</w:t>
      </w:r>
    </w:p>
    <w:p>
      <w:pPr>
        <w:spacing w:after="0" w:line="39"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4"/>
          <w:szCs w:val="14"/>
          <w:color w:val="auto"/>
        </w:rPr>
        <w:t>​ ​​$</w:t>
        <w:tab/>
        <w:t>100,000,000​</w:t>
      </w:r>
    </w:p>
    <w:p>
      <w:pPr>
        <w:spacing w:after="0" w:line="39"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4"/>
          <w:szCs w:val="14"/>
          <w:color w:val="auto"/>
        </w:rPr>
        <w:t>​ ​​$</w:t>
        <w:tab/>
        <w:t>100,000,000​</w:t>
      </w:r>
    </w:p>
    <w:p>
      <w:pPr>
        <w:spacing w:after="0" w:line="3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50,000,000​</w:t>
      </w:r>
    </w:p>
    <w:p>
      <w:pPr>
        <w:spacing w:after="0" w:line="3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50,000,000​</w:t>
      </w:r>
    </w:p>
    <w:p>
      <w:pPr>
        <w:spacing w:after="0" w:line="3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50,000,000​</w:t>
      </w:r>
    </w:p>
    <w:p>
      <w:pPr>
        <w:spacing w:after="0" w:line="3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50,000,000​</w:t>
      </w:r>
    </w:p>
    <w:p>
      <w:pPr>
        <w:spacing w:after="0" w:line="3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50,000,000​</w:t>
      </w:r>
    </w:p>
    <w:p>
      <w:pPr>
        <w:spacing w:after="0" w:line="3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50,000,000​</w:t>
      </w:r>
    </w:p>
    <w:p>
      <w:pPr>
        <w:spacing w:after="0" w:line="43"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30,000,000​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30,000,000​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spacing w:after="0" w:line="49"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4"/>
          <w:szCs w:val="14"/>
          <w:color w:val="auto"/>
        </w:rPr>
        <w:t>​ ​​$</w:t>
        <w:tab/>
        <w:t>20,000,000​</w:t>
      </w:r>
    </w:p>
    <w:p>
      <w:pPr>
        <w:ind w:left="40"/>
        <w:spacing w:after="0" w:line="198" w:lineRule="auto"/>
        <w:tabs>
          <w:tab w:leader="none" w:pos="440" w:val="left"/>
        </w:tabs>
        <w:rPr>
          <w:sz w:val="20"/>
          <w:szCs w:val="20"/>
          <w:color w:val="auto"/>
        </w:rPr>
      </w:pPr>
      <w:r>
        <w:rPr>
          <w:rFonts w:ascii="Arial" w:cs="Arial" w:eastAsia="Arial" w:hAnsi="Arial"/>
          <w:sz w:val="28"/>
          <w:szCs w:val="28"/>
          <w:color w:val="auto"/>
          <w:vertAlign w:val="subscript"/>
        </w:rPr>
        <w:t>​ ​</w:t>
      </w:r>
      <w:r>
        <w:rPr>
          <w:rFonts w:ascii="Arial" w:cs="Arial" w:eastAsia="Arial" w:hAnsi="Arial"/>
          <w:sz w:val="28"/>
          <w:szCs w:val="28"/>
          <w:u w:val="single" w:color="auto"/>
          <w:color w:val="auto"/>
          <w:vertAlign w:val="subscript"/>
        </w:rPr>
        <w:t>​</w:t>
      </w:r>
      <w:r>
        <w:rPr>
          <w:rFonts w:ascii="Arial" w:cs="Arial" w:eastAsia="Arial" w:hAnsi="Arial"/>
          <w:sz w:val="14"/>
          <w:szCs w:val="14"/>
          <w:u w:val="single" w:color="auto"/>
          <w:color w:val="auto"/>
        </w:rPr>
        <w:t>$</w:t>
      </w:r>
      <w:r>
        <w:rPr>
          <w:sz w:val="20"/>
          <w:szCs w:val="20"/>
          <w:color w:val="auto"/>
        </w:rPr>
        <w:tab/>
      </w:r>
      <w:r>
        <w:rPr>
          <w:rFonts w:ascii="Arial" w:cs="Arial" w:eastAsia="Arial" w:hAnsi="Arial"/>
          <w:sz w:val="14"/>
          <w:szCs w:val="14"/>
          <w:u w:val="single" w:color="auto"/>
          <w:color w:val="auto"/>
        </w:rPr>
        <w:t>20,000,000</w:t>
      </w:r>
      <w:r>
        <w:rPr>
          <w:rFonts w:ascii="Arial" w:cs="Arial" w:eastAsia="Arial" w:hAnsi="Arial"/>
          <w:sz w:val="28"/>
          <w:szCs w:val="28"/>
          <w:color w:val="auto"/>
          <w:vertAlign w:val="subscript"/>
        </w:rPr>
        <w:t>​</w:t>
      </w:r>
    </w:p>
    <w:p>
      <w:pPr>
        <w:ind w:left="40"/>
        <w:spacing w:after="0" w:line="188" w:lineRule="auto"/>
        <w:rPr>
          <w:sz w:val="20"/>
          <w:szCs w:val="20"/>
          <w:color w:val="auto"/>
        </w:rPr>
      </w:pPr>
      <w:r>
        <w:rPr>
          <w:rFonts w:ascii="Arial" w:cs="Arial" w:eastAsia="Arial" w:hAnsi="Arial"/>
          <w:sz w:val="28"/>
          <w:szCs w:val="28"/>
          <w:color w:val="auto"/>
          <w:vertAlign w:val="subscript"/>
        </w:rPr>
        <w:t>​ ​</w:t>
      </w:r>
      <w:r>
        <w:rPr>
          <w:rFonts w:ascii="Arial" w:cs="Arial" w:eastAsia="Arial" w:hAnsi="Arial"/>
          <w:sz w:val="28"/>
          <w:szCs w:val="28"/>
          <w:u w:val="single" w:color="auto"/>
          <w:color w:val="auto"/>
          <w:vertAlign w:val="subscript"/>
        </w:rPr>
        <w:t>​</w:t>
      </w:r>
      <w:r>
        <w:rPr>
          <w:rFonts w:ascii="Arial" w:cs="Arial" w:eastAsia="Arial" w:hAnsi="Arial"/>
          <w:sz w:val="14"/>
          <w:szCs w:val="14"/>
          <w:u w:val="single" w:color="auto"/>
          <w:color w:val="auto"/>
        </w:rPr>
        <w:t>$1,000,000,000</w:t>
      </w:r>
      <w:r>
        <w:rPr>
          <w:rFonts w:ascii="Arial" w:cs="Arial" w:eastAsia="Arial" w:hAnsi="Arial"/>
          <w:sz w:val="28"/>
          <w:szCs w:val="28"/>
          <w:color w:val="auto"/>
          <w:vertAlign w:val="subscript"/>
        </w:rPr>
        <w:t>​</w:t>
      </w:r>
    </w:p>
    <w:p>
      <w:pPr>
        <w:spacing w:after="0" w:line="173" w:lineRule="exact"/>
        <w:rPr>
          <w:sz w:val="20"/>
          <w:szCs w:val="20"/>
          <w:color w:val="auto"/>
        </w:rPr>
      </w:pPr>
    </w:p>
    <w:p>
      <w:pPr>
        <w:sectPr>
          <w:pgSz w:w="11900" w:h="16838" w:orient="portrait"/>
          <w:cols w:equalWidth="0" w:num="2">
            <w:col w:w="5820" w:space="720"/>
            <w:col w:w="2479"/>
          </w:cols>
          <w:pgMar w:left="1440" w:top="107" w:right="1440" w:bottom="1440" w:gutter="0" w:footer="0" w:header="0"/>
          <w:type w:val="continuous"/>
        </w:sectPr>
      </w:pPr>
    </w:p>
    <w:p>
      <w:pPr>
        <w:ind w:left="1300" w:right="1459"/>
        <w:spacing w:after="0" w:line="267" w:lineRule="auto"/>
        <w:rPr>
          <w:sz w:val="20"/>
          <w:szCs w:val="20"/>
          <w:color w:val="auto"/>
        </w:rPr>
      </w:pPr>
      <w:r>
        <w:rPr>
          <w:rFonts w:ascii="Arial" w:cs="Arial" w:eastAsia="Arial" w:hAnsi="Arial"/>
          <w:sz w:val="14"/>
          <w:szCs w:val="14"/>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83" w:lineRule="exact"/>
        <w:rPr>
          <w:sz w:val="20"/>
          <w:szCs w:val="20"/>
          <w:color w:val="auto"/>
        </w:rPr>
      </w:pPr>
    </w:p>
    <w:p>
      <w:pPr>
        <w:jc w:val="both"/>
        <w:ind w:left="1300" w:right="1539"/>
        <w:spacing w:after="0" w:line="284"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45" w:name="page46"/>
    <w:bookmarkEnd w:id="4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Commissions and Discounts</w:t>
      </w:r>
    </w:p>
    <w:p>
      <w:pPr>
        <w:spacing w:after="0" w:line="127" w:lineRule="exact"/>
        <w:rPr>
          <w:sz w:val="20"/>
          <w:szCs w:val="20"/>
          <w:color w:val="auto"/>
        </w:rPr>
      </w:pPr>
    </w:p>
    <w:p>
      <w:pPr>
        <w:ind w:left="1300" w:right="1339"/>
        <w:spacing w:after="0" w:line="245" w:lineRule="auto"/>
        <w:rPr>
          <w:sz w:val="20"/>
          <w:szCs w:val="20"/>
          <w:color w:val="auto"/>
        </w:rPr>
      </w:pPr>
      <w:r>
        <w:rPr>
          <w:rFonts w:ascii="Arial" w:cs="Arial" w:eastAsia="Arial" w:hAnsi="Arial"/>
          <w:sz w:val="14"/>
          <w:szCs w:val="14"/>
          <w:color w:val="auto"/>
        </w:rPr>
        <w:t>The underwriters propose to offer the notes directly to the public at the public offering prices set forth on the cover page of this prospectus supplement and some of the notes to dealers at the public offering price less a concession not to exceed 0.250% of the principal amount of the notes. The underwriters may allow, and any such dealer may reallow, a concession not to exceed 0.150% of the principal amount of the notes. After the initial offering of the notes to the public, the representatives may change the public offering price and other selling terms.</w:t>
      </w:r>
    </w:p>
    <w:p>
      <w:pPr>
        <w:spacing w:after="0" w:line="87" w:lineRule="exact"/>
        <w:rPr>
          <w:sz w:val="20"/>
          <w:szCs w:val="20"/>
          <w:color w:val="auto"/>
        </w:rPr>
      </w:pPr>
    </w:p>
    <w:p>
      <w:pPr>
        <w:ind w:left="1300" w:right="1339"/>
        <w:spacing w:after="0" w:line="283" w:lineRule="auto"/>
        <w:rPr>
          <w:sz w:val="20"/>
          <w:szCs w:val="20"/>
          <w:color w:val="auto"/>
        </w:rPr>
      </w:pPr>
      <w:r>
        <w:rPr>
          <w:rFonts w:ascii="Arial" w:cs="Arial" w:eastAsia="Arial" w:hAnsi="Arial"/>
          <w:sz w:val="13"/>
          <w:szCs w:val="13"/>
          <w:color w:val="auto"/>
        </w:rPr>
        <w:t>The following table shows the underwriting discounts that we are to pay to the underwriters in connection with this offering (expressed as a percentage of the principal amount of the notes and in total).</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72"/>
        </w:trPr>
        <w:tc>
          <w:tcPr>
            <w:tcW w:w="3040" w:type="dxa"/>
            <w:vAlign w:val="bottom"/>
          </w:tcPr>
          <w:p>
            <w:pPr>
              <w:spacing w:after="0"/>
              <w:rPr>
                <w:sz w:val="20"/>
                <w:szCs w:val="20"/>
                <w:color w:val="auto"/>
              </w:rPr>
            </w:pPr>
            <w:r>
              <w:rPr>
                <w:rFonts w:ascii="Arial" w:cs="Arial" w:eastAsia="Arial" w:hAnsi="Arial"/>
                <w:sz w:val="11"/>
                <w:szCs w:val="11"/>
                <w:b w:val="1"/>
                <w:bCs w:val="1"/>
                <w:color w:val="auto"/>
              </w:rPr>
              <w:t>​</w:t>
            </w:r>
          </w:p>
        </w:tc>
        <w:tc>
          <w:tcPr>
            <w:tcW w:w="2700" w:type="dxa"/>
            <w:vAlign w:val="bottom"/>
          </w:tcPr>
          <w:p>
            <w:pPr>
              <w:ind w:left="2460"/>
              <w:spacing w:after="0"/>
              <w:rPr>
                <w:sz w:val="20"/>
                <w:szCs w:val="20"/>
                <w:color w:val="auto"/>
              </w:rPr>
            </w:pPr>
            <w:r>
              <w:rPr>
                <w:rFonts w:ascii="Arial" w:cs="Arial" w:eastAsia="Arial" w:hAnsi="Arial"/>
                <w:sz w:val="11"/>
                <w:szCs w:val="11"/>
                <w:b w:val="1"/>
                <w:bCs w:val="1"/>
                <w:color w:val="auto"/>
              </w:rPr>
              <w:t>​ ​</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 xml:space="preserve">Percentage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Note</w:t>
            </w:r>
          </w:p>
        </w:tc>
        <w:tc>
          <w:tcPr>
            <w:tcW w:w="2700" w:type="dxa"/>
            <w:vAlign w:val="bottom"/>
            <w:tcBorders>
              <w:right w:val="single" w:sz="8" w:color="CCEEFF"/>
            </w:tcBorders>
            <w:vMerge w:val="restart"/>
            <w:shd w:val="clear" w:color="auto" w:fill="CCEEFF"/>
          </w:tcPr>
          <w:p>
            <w:pPr>
              <w:ind w:left="252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0.400</w:t>
            </w:r>
          </w:p>
        </w:tc>
        <w:tc>
          <w:tcPr>
            <w:tcW w:w="120" w:type="dxa"/>
            <w:vAlign w:val="bottom"/>
          </w:tcPr>
          <w:p>
            <w:pPr>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42"/>
        </w:trPr>
        <w:tc>
          <w:tcPr>
            <w:tcW w:w="3040" w:type="dxa"/>
            <w:vAlign w:val="bottom"/>
            <w:shd w:val="clear" w:color="auto" w:fill="CCEEFF"/>
          </w:tcPr>
          <w:p>
            <w:pPr>
              <w:spacing w:after="0"/>
              <w:rPr>
                <w:sz w:val="3"/>
                <w:szCs w:val="3"/>
                <w:color w:val="auto"/>
              </w:rPr>
            </w:pPr>
          </w:p>
        </w:tc>
        <w:tc>
          <w:tcPr>
            <w:tcW w:w="2700" w:type="dxa"/>
            <w:vAlign w:val="bottom"/>
            <w:tcBorders>
              <w:right w:val="single" w:sz="8" w:color="CCEEFF"/>
            </w:tcBorders>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tcPr>
          <w:p>
            <w:pPr>
              <w:spacing w:after="0" w:line="42"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4"/>
                <w:szCs w:val="14"/>
                <w:color w:val="auto"/>
              </w:rPr>
              <w:t>Total</w:t>
            </w:r>
          </w:p>
        </w:tc>
        <w:tc>
          <w:tcPr>
            <w:tcW w:w="3480" w:type="dxa"/>
            <w:vAlign w:val="bottom"/>
            <w:gridSpan w:val="4"/>
          </w:tcPr>
          <w:p>
            <w:pPr>
              <w:ind w:left="2520"/>
              <w:spacing w:after="0"/>
              <w:rPr>
                <w:sz w:val="20"/>
                <w:szCs w:val="20"/>
                <w:color w:val="auto"/>
              </w:rPr>
            </w:pPr>
            <w:r>
              <w:rPr>
                <w:rFonts w:ascii="Arial" w:cs="Arial" w:eastAsia="Arial" w:hAnsi="Arial"/>
                <w:sz w:val="14"/>
                <w:szCs w:val="14"/>
                <w:color w:val="auto"/>
              </w:rPr>
              <w:t>​ ​​$4,000,000​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-274320</wp:posOffset>
            </wp:positionV>
            <wp:extent cx="360108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01085" cy="6985"/>
                    </a:xfrm>
                    <a:prstGeom prst="rect">
                      <a:avLst/>
                    </a:prstGeom>
                    <a:noFill/>
                  </pic:spPr>
                </pic:pic>
              </a:graphicData>
            </a:graphic>
          </wp:anchor>
        </w:drawing>
      </w:r>
    </w:p>
    <w:p>
      <w:pPr>
        <w:spacing w:after="0" w:line="58" w:lineRule="exact"/>
        <w:rPr>
          <w:sz w:val="20"/>
          <w:szCs w:val="20"/>
          <w:color w:val="auto"/>
        </w:rPr>
      </w:pPr>
    </w:p>
    <w:p>
      <w:pPr>
        <w:ind w:left="1300" w:right="1359"/>
        <w:spacing w:after="0" w:line="253" w:lineRule="auto"/>
        <w:rPr>
          <w:sz w:val="20"/>
          <w:szCs w:val="20"/>
          <w:color w:val="auto"/>
        </w:rPr>
      </w:pPr>
      <w:r>
        <w:rPr>
          <w:rFonts w:ascii="Arial" w:cs="Arial" w:eastAsia="Arial" w:hAnsi="Arial"/>
          <w:sz w:val="14"/>
          <w:szCs w:val="14"/>
          <w:color w:val="auto"/>
        </w:rPr>
        <w:t>We estimate that our total expenses for this offering, other than underwriting discounts, will be approximately $3 million. The underwriters have agreed to reimburse us for certain expenses incurred in connection with this offering.</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New Issue of Notes</w:t>
      </w:r>
    </w:p>
    <w:p>
      <w:pPr>
        <w:spacing w:after="0" w:line="127" w:lineRule="exact"/>
        <w:rPr>
          <w:sz w:val="20"/>
          <w:szCs w:val="20"/>
          <w:color w:val="auto"/>
        </w:rPr>
      </w:pPr>
    </w:p>
    <w:p>
      <w:pPr>
        <w:ind w:left="1300" w:right="1359"/>
        <w:spacing w:after="0" w:line="244" w:lineRule="auto"/>
        <w:rPr>
          <w:sz w:val="20"/>
          <w:szCs w:val="20"/>
          <w:color w:val="auto"/>
        </w:rPr>
      </w:pPr>
      <w:r>
        <w:rPr>
          <w:rFonts w:ascii="Arial" w:cs="Arial" w:eastAsia="Arial" w:hAnsi="Arial"/>
          <w:sz w:val="14"/>
          <w:szCs w:val="14"/>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Price Stabilization and Short Positions</w:t>
      </w:r>
    </w:p>
    <w:p>
      <w:pPr>
        <w:spacing w:after="0" w:line="116" w:lineRule="exact"/>
        <w:rPr>
          <w:sz w:val="20"/>
          <w:szCs w:val="20"/>
          <w:color w:val="auto"/>
        </w:rPr>
      </w:pPr>
    </w:p>
    <w:p>
      <w:pPr>
        <w:ind w:left="1300" w:right="1439"/>
        <w:spacing w:after="0" w:line="246" w:lineRule="auto"/>
        <w:rPr>
          <w:sz w:val="20"/>
          <w:szCs w:val="20"/>
          <w:color w:val="auto"/>
        </w:rPr>
      </w:pPr>
      <w:r>
        <w:rPr>
          <w:rFonts w:ascii="Arial" w:cs="Arial" w:eastAsia="Arial" w:hAnsi="Arial"/>
          <w:sz w:val="14"/>
          <w:szCs w:val="14"/>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6" w:lineRule="exact"/>
        <w:rPr>
          <w:sz w:val="20"/>
          <w:szCs w:val="20"/>
          <w:color w:val="auto"/>
        </w:rPr>
      </w:pPr>
    </w:p>
    <w:p>
      <w:pPr>
        <w:jc w:val="both"/>
        <w:ind w:left="1300" w:right="1479"/>
        <w:spacing w:after="0" w:line="252" w:lineRule="auto"/>
        <w:rPr>
          <w:sz w:val="20"/>
          <w:szCs w:val="20"/>
          <w:color w:val="auto"/>
        </w:rPr>
      </w:pPr>
      <w:r>
        <w:rPr>
          <w:rFonts w:ascii="Arial" w:cs="Arial" w:eastAsia="Arial" w:hAnsi="Arial"/>
          <w:sz w:val="14"/>
          <w:szCs w:val="14"/>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81" w:lineRule="exact"/>
        <w:rPr>
          <w:sz w:val="20"/>
          <w:szCs w:val="20"/>
          <w:color w:val="auto"/>
        </w:rPr>
      </w:pPr>
    </w:p>
    <w:p>
      <w:pPr>
        <w:ind w:left="1300" w:right="1579"/>
        <w:spacing w:after="0" w:line="252" w:lineRule="auto"/>
        <w:rPr>
          <w:sz w:val="20"/>
          <w:szCs w:val="20"/>
          <w:color w:val="auto"/>
        </w:rPr>
      </w:pPr>
      <w:r>
        <w:rPr>
          <w:rFonts w:ascii="Arial" w:cs="Arial" w:eastAsia="Arial" w:hAnsi="Arial"/>
          <w:sz w:val="14"/>
          <w:szCs w:val="14"/>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 Sales of Similar Securities</w:t>
      </w:r>
    </w:p>
    <w:p>
      <w:pPr>
        <w:spacing w:after="0" w:line="116" w:lineRule="exact"/>
        <w:rPr>
          <w:sz w:val="20"/>
          <w:szCs w:val="20"/>
          <w:color w:val="auto"/>
        </w:rPr>
      </w:pPr>
    </w:p>
    <w:p>
      <w:pPr>
        <w:ind w:left="1300" w:right="1399"/>
        <w:spacing w:after="0" w:line="286" w:lineRule="auto"/>
        <w:rPr>
          <w:sz w:val="20"/>
          <w:szCs w:val="20"/>
          <w:color w:val="auto"/>
        </w:rPr>
      </w:pPr>
      <w:r>
        <w:rPr>
          <w:rFonts w:ascii="Arial" w:cs="Arial" w:eastAsia="Arial" w:hAnsi="Arial"/>
          <w:sz w:val="14"/>
          <w:szCs w:val="14"/>
          <w:color w:val="auto"/>
        </w:rPr>
        <w:t>We have agreed that we will not, until the closing date, without first obtaining the prior written consent of the representatives, offer, sell, contract to sell or otherwise dispose of any debt securities of the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739"/>
        <w:spacing w:after="0" w:line="286" w:lineRule="auto"/>
        <w:rPr>
          <w:sz w:val="20"/>
          <w:szCs w:val="20"/>
          <w:color w:val="auto"/>
        </w:rPr>
      </w:pPr>
      <w:r>
        <w:rPr>
          <w:rFonts w:ascii="Arial" w:cs="Arial" w:eastAsia="Arial" w:hAnsi="Arial"/>
          <w:sz w:val="14"/>
          <w:szCs w:val="14"/>
          <w:color w:val="auto"/>
        </w:rPr>
        <w:t>Company or warrants to purchase debt securities of the Company, except for the notes sold to the underwriters pursuant to the underwriting agreement.</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Other Relationships</w:t>
      </w:r>
    </w:p>
    <w:p>
      <w:pPr>
        <w:spacing w:after="0" w:line="127" w:lineRule="exact"/>
        <w:rPr>
          <w:sz w:val="20"/>
          <w:szCs w:val="20"/>
          <w:color w:val="auto"/>
        </w:rPr>
      </w:pPr>
    </w:p>
    <w:p>
      <w:pPr>
        <w:ind w:left="1300" w:right="1339"/>
        <w:spacing w:after="0" w:line="262" w:lineRule="auto"/>
        <w:rPr>
          <w:sz w:val="20"/>
          <w:szCs w:val="20"/>
          <w:color w:val="auto"/>
        </w:rPr>
      </w:pPr>
      <w:r>
        <w:rPr>
          <w:rFonts w:ascii="Arial" w:cs="Arial" w:eastAsia="Arial" w:hAnsi="Arial"/>
          <w:sz w:val="14"/>
          <w:szCs w:val="14"/>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76" w:lineRule="exact"/>
        <w:rPr>
          <w:sz w:val="20"/>
          <w:szCs w:val="20"/>
          <w:color w:val="auto"/>
        </w:rPr>
      </w:pPr>
    </w:p>
    <w:p>
      <w:pPr>
        <w:ind w:left="1300" w:right="1319"/>
        <w:spacing w:after="0" w:line="253"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7" w:lineRule="exact"/>
        <w:rPr>
          <w:sz w:val="20"/>
          <w:szCs w:val="20"/>
          <w:color w:val="auto"/>
        </w:rPr>
      </w:pPr>
    </w:p>
    <w:p>
      <w:pPr>
        <w:ind w:left="1300" w:right="1539"/>
        <w:spacing w:after="0" w:line="286" w:lineRule="auto"/>
        <w:rPr>
          <w:sz w:val="20"/>
          <w:szCs w:val="20"/>
          <w:color w:val="auto"/>
        </w:rPr>
      </w:pPr>
      <w:r>
        <w:rPr>
          <w:rFonts w:ascii="Arial" w:cs="Arial" w:eastAsia="Arial" w:hAnsi="Arial"/>
          <w:sz w:val="14"/>
          <w:szCs w:val="14"/>
          <w:color w:val="auto"/>
        </w:rPr>
        <w:t>In addition, U.S. Bancorp Investments, Inc., one of the underwriters, is an affiliate of the trustee under the indenture governing the notes.</w:t>
      </w:r>
    </w:p>
    <w:p>
      <w:pPr>
        <w:spacing w:after="0" w:line="69" w:lineRule="exact"/>
        <w:rPr>
          <w:sz w:val="20"/>
          <w:szCs w:val="20"/>
          <w:color w:val="auto"/>
        </w:rPr>
      </w:pPr>
    </w:p>
    <w:p>
      <w:pPr>
        <w:jc w:val="both"/>
        <w:ind w:left="1300" w:right="1399"/>
        <w:spacing w:after="0" w:line="268" w:lineRule="auto"/>
        <w:rPr>
          <w:sz w:val="20"/>
          <w:szCs w:val="20"/>
          <w:color w:val="auto"/>
        </w:rPr>
      </w:pPr>
      <w:r>
        <w:rPr>
          <w:rFonts w:ascii="Arial" w:cs="Arial" w:eastAsia="Arial" w:hAnsi="Arial"/>
          <w:sz w:val="14"/>
          <w:szCs w:val="14"/>
          <w:color w:val="auto"/>
        </w:rPr>
        <w:t>In addition, affiliates of certain underwriters are holders of our debt, including our 2026 notes, and upon application of the net proceeds of this offering to redeem such notes, such underwriters or their affiliates will receive a portion of the net proceeds of this offering.</w:t>
      </w:r>
    </w:p>
    <w:p>
      <w:pPr>
        <w:spacing w:after="0" w:line="71" w:lineRule="exact"/>
        <w:rPr>
          <w:sz w:val="20"/>
          <w:szCs w:val="20"/>
          <w:color w:val="auto"/>
        </w:rPr>
      </w:pPr>
    </w:p>
    <w:p>
      <w:pPr>
        <w:ind w:left="1300" w:right="1419"/>
        <w:spacing w:after="0" w:line="281" w:lineRule="auto"/>
        <w:rPr>
          <w:sz w:val="20"/>
          <w:szCs w:val="20"/>
          <w:color w:val="auto"/>
        </w:rPr>
      </w:pPr>
      <w:r>
        <w:rPr>
          <w:rFonts w:ascii="Arial" w:cs="Arial" w:eastAsia="Arial" w:hAnsi="Arial"/>
          <w:sz w:val="13"/>
          <w:szCs w:val="13"/>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76" w:lineRule="exact"/>
        <w:rPr>
          <w:sz w:val="20"/>
          <w:szCs w:val="20"/>
          <w:color w:val="auto"/>
        </w:rPr>
      </w:pPr>
    </w:p>
    <w:p>
      <w:pPr>
        <w:ind w:left="1300" w:right="1379"/>
        <w:spacing w:after="0" w:line="255" w:lineRule="auto"/>
        <w:rPr>
          <w:sz w:val="20"/>
          <w:szCs w:val="20"/>
          <w:color w:val="auto"/>
        </w:rPr>
      </w:pPr>
      <w:r>
        <w:rPr>
          <w:rFonts w:ascii="Arial" w:cs="Arial" w:eastAsia="Arial" w:hAnsi="Arial"/>
          <w:sz w:val="14"/>
          <w:szCs w:val="14"/>
          <w:color w:val="auto"/>
        </w:rPr>
        <w:t>We expect that delivery of the notes will be made to investors on or about January 16, 2025, which will be the third business day following the date of this prospectus supplement (such settlement being referred to as T+3).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January 16, 2025 will be required, by virtue of the fact that the notes initially settle in T+3, to specify an alternate settlement arrangement to prevent a failed settlement. Purchasers of the notes who wish to trade the notes more than one business day prior to January 16, 2025 should consult their advisors.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 to Prospective Investors in Canada</w:t>
      </w:r>
    </w:p>
    <w:p>
      <w:pPr>
        <w:spacing w:after="0" w:line="116" w:lineRule="exact"/>
        <w:rPr>
          <w:sz w:val="20"/>
          <w:szCs w:val="20"/>
          <w:color w:val="auto"/>
        </w:rPr>
      </w:pPr>
    </w:p>
    <w:p>
      <w:pPr>
        <w:ind w:left="1300" w:right="1399"/>
        <w:spacing w:after="0" w:line="258" w:lineRule="auto"/>
        <w:rPr>
          <w:sz w:val="20"/>
          <w:szCs w:val="20"/>
          <w:color w:val="auto"/>
        </w:rPr>
      </w:pPr>
      <w:r>
        <w:rPr>
          <w:rFonts w:ascii="Arial" w:cs="Arial" w:eastAsia="Arial" w:hAnsi="Arial"/>
          <w:sz w:val="14"/>
          <w:szCs w:val="14"/>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46"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6" w:lineRule="exact"/>
        <w:rPr>
          <w:sz w:val="20"/>
          <w:szCs w:val="20"/>
          <w:color w:val="auto"/>
        </w:rPr>
      </w:pPr>
    </w:p>
    <w:p>
      <w:pPr>
        <w:ind w:left="1300" w:right="1879"/>
        <w:spacing w:after="0" w:line="260"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Prohibition of Sales to EEA Retail Investors</w:t>
      </w:r>
    </w:p>
    <w:p>
      <w:pPr>
        <w:spacing w:after="0" w:line="127" w:lineRule="exact"/>
        <w:rPr>
          <w:sz w:val="20"/>
          <w:szCs w:val="20"/>
          <w:color w:val="auto"/>
        </w:rPr>
      </w:pPr>
    </w:p>
    <w:p>
      <w:pPr>
        <w:ind w:left="1300" w:right="1379"/>
        <w:spacing w:after="0" w:line="262" w:lineRule="auto"/>
        <w:rPr>
          <w:sz w:val="20"/>
          <w:szCs w:val="20"/>
          <w:color w:val="auto"/>
        </w:rPr>
      </w:pPr>
      <w:r>
        <w:rPr>
          <w:rFonts w:ascii="Arial" w:cs="Arial" w:eastAsia="Arial" w:hAnsi="Arial"/>
          <w:sz w:val="13"/>
          <w:szCs w:val="13"/>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w:t>
      </w:r>
    </w:p>
    <w:p>
      <w:pPr>
        <w:spacing w:after="0" w:line="3" w:lineRule="exact"/>
        <w:rPr>
          <w:sz w:val="20"/>
          <w:szCs w:val="20"/>
          <w:color w:val="auto"/>
        </w:rPr>
      </w:pPr>
    </w:p>
    <w:p>
      <w:pPr>
        <w:ind w:left="1300" w:right="1339" w:firstLine="5"/>
        <w:spacing w:after="0"/>
        <w:tabs>
          <w:tab w:leader="none" w:pos="1583" w:val="left"/>
        </w:tabs>
        <w:numPr>
          <w:ilvl w:val="0"/>
          <w:numId w:val="36"/>
        </w:numPr>
        <w:rPr>
          <w:rFonts w:ascii="Arial" w:cs="Arial" w:eastAsia="Arial" w:hAnsi="Arial"/>
          <w:sz w:val="14"/>
          <w:szCs w:val="14"/>
          <w:color w:val="auto"/>
        </w:rPr>
      </w:pPr>
      <w:r>
        <w:rPr>
          <w:rFonts w:ascii="Arial" w:cs="Arial" w:eastAsia="Arial" w:hAnsi="Arial"/>
          <w:sz w:val="14"/>
          <w:szCs w:val="14"/>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91" w:lineRule="exact"/>
        <w:rPr>
          <w:sz w:val="20"/>
          <w:szCs w:val="20"/>
          <w:color w:val="auto"/>
        </w:rPr>
      </w:pPr>
    </w:p>
    <w:p>
      <w:pPr>
        <w:ind w:left="1300" w:right="1619"/>
        <w:spacing w:after="0" w:line="286" w:lineRule="auto"/>
        <w:rPr>
          <w:sz w:val="20"/>
          <w:szCs w:val="20"/>
          <w:color w:val="auto"/>
        </w:rPr>
      </w:pPr>
      <w:r>
        <w:rPr>
          <w:rFonts w:ascii="Arial" w:cs="Arial" w:eastAsia="Arial" w:hAnsi="Arial"/>
          <w:sz w:val="14"/>
          <w:szCs w:val="14"/>
          <w:color w:val="auto"/>
        </w:rPr>
        <w:t>This European Economic Area selling restriction is in addition to any other selling restrictions set out below.</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Prohibition of Sales to UK Retail Investors</w:t>
      </w:r>
    </w:p>
    <w:p>
      <w:pPr>
        <w:spacing w:after="0" w:line="116" w:lineRule="exact"/>
        <w:rPr>
          <w:sz w:val="20"/>
          <w:szCs w:val="20"/>
          <w:color w:val="auto"/>
        </w:rPr>
      </w:pPr>
    </w:p>
    <w:p>
      <w:pPr>
        <w:ind w:left="1300" w:right="1379"/>
        <w:spacing w:after="0" w:line="266" w:lineRule="auto"/>
        <w:rPr>
          <w:sz w:val="20"/>
          <w:szCs w:val="20"/>
          <w:color w:val="auto"/>
        </w:rPr>
      </w:pPr>
      <w:r>
        <w:rPr>
          <w:rFonts w:ascii="Arial" w:cs="Arial" w:eastAsia="Arial" w:hAnsi="Arial"/>
          <w:sz w:val="13"/>
          <w:szCs w:val="13"/>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w:t>
      </w:r>
    </w:p>
    <w:p>
      <w:pPr>
        <w:spacing w:after="0" w:line="1" w:lineRule="exact"/>
        <w:rPr>
          <w:sz w:val="20"/>
          <w:szCs w:val="20"/>
          <w:color w:val="auto"/>
        </w:rPr>
      </w:pPr>
    </w:p>
    <w:p>
      <w:pPr>
        <w:ind w:left="1300" w:right="1339" w:firstLine="5"/>
        <w:spacing w:after="0" w:line="261" w:lineRule="auto"/>
        <w:tabs>
          <w:tab w:leader="none" w:pos="1506" w:val="left"/>
        </w:tabs>
        <w:numPr>
          <w:ilvl w:val="0"/>
          <w:numId w:val="37"/>
        </w:numPr>
        <w:rPr>
          <w:rFonts w:ascii="Arial" w:cs="Arial" w:eastAsia="Arial" w:hAnsi="Arial"/>
          <w:sz w:val="13"/>
          <w:szCs w:val="13"/>
          <w:color w:val="auto"/>
        </w:rPr>
      </w:pPr>
      <w:r>
        <w:rPr>
          <w:rFonts w:ascii="Arial" w:cs="Arial" w:eastAsia="Arial" w:hAnsi="Arial"/>
          <w:sz w:val="13"/>
          <w:szCs w:val="13"/>
          <w:color w:val="auto"/>
        </w:rPr>
        <w:t>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 to Prospective Investors in Hong Kong</w:t>
      </w:r>
    </w:p>
    <w:p>
      <w:pPr>
        <w:spacing w:after="0" w:line="127" w:lineRule="exact"/>
        <w:rPr>
          <w:sz w:val="20"/>
          <w:szCs w:val="20"/>
          <w:color w:val="auto"/>
        </w:rPr>
      </w:pPr>
    </w:p>
    <w:p>
      <w:pPr>
        <w:ind w:left="1300" w:right="1659"/>
        <w:spacing w:after="0" w:line="310" w:lineRule="auto"/>
        <w:rPr>
          <w:sz w:val="20"/>
          <w:szCs w:val="20"/>
          <w:color w:val="auto"/>
        </w:rPr>
      </w:pPr>
      <w:r>
        <w:rPr>
          <w:rFonts w:ascii="Arial" w:cs="Arial" w:eastAsia="Arial" w:hAnsi="Arial"/>
          <w:sz w:val="13"/>
          <w:szCs w:val="13"/>
          <w:color w:val="auto"/>
        </w:rPr>
        <w:t>The notes may not be offered or sold in Hong Kong by means of any document, other than (a) to “professional investors” as defined in the Securities and Futures Ordinance (Cap. 571 of the laws of</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54" w:lineRule="auto"/>
        <w:rPr>
          <w:sz w:val="20"/>
          <w:szCs w:val="20"/>
          <w:color w:val="auto"/>
        </w:rPr>
      </w:pPr>
      <w:r>
        <w:rPr>
          <w:rFonts w:ascii="Arial" w:cs="Arial" w:eastAsia="Arial" w:hAnsi="Arial"/>
          <w:sz w:val="14"/>
          <w:szCs w:val="14"/>
          <w:color w:val="auto"/>
        </w:rPr>
        <w:t>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 to Prospective Investors in Japan</w:t>
      </w:r>
    </w:p>
    <w:p>
      <w:pPr>
        <w:spacing w:after="0" w:line="127" w:lineRule="exact"/>
        <w:rPr>
          <w:sz w:val="20"/>
          <w:szCs w:val="20"/>
          <w:color w:val="auto"/>
        </w:rPr>
      </w:pPr>
    </w:p>
    <w:p>
      <w:pPr>
        <w:ind w:left="1300" w:right="1379"/>
        <w:spacing w:after="0" w:line="254" w:lineRule="auto"/>
        <w:rPr>
          <w:sz w:val="20"/>
          <w:szCs w:val="20"/>
          <w:color w:val="auto"/>
        </w:rPr>
      </w:pPr>
      <w:r>
        <w:rPr>
          <w:rFonts w:ascii="Arial" w:cs="Arial" w:eastAsia="Arial" w:hAnsi="Arial"/>
          <w:sz w:val="14"/>
          <w:szCs w:val="14"/>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85" w:lineRule="exact"/>
        <w:rPr>
          <w:sz w:val="20"/>
          <w:szCs w:val="20"/>
          <w:color w:val="auto"/>
        </w:rPr>
      </w:pPr>
    </w:p>
    <w:p>
      <w:pPr>
        <w:ind w:left="1300" w:right="1479"/>
        <w:spacing w:after="0" w:line="286" w:lineRule="auto"/>
        <w:rPr>
          <w:sz w:val="20"/>
          <w:szCs w:val="20"/>
          <w:color w:val="auto"/>
        </w:rPr>
      </w:pPr>
      <w:r>
        <w:rPr>
          <w:rFonts w:ascii="Arial" w:cs="Arial" w:eastAsia="Arial" w:hAnsi="Arial"/>
          <w:sz w:val="14"/>
          <w:szCs w:val="14"/>
          <w:color w:val="auto"/>
        </w:rPr>
        <w:t>Any investor desiring to acquire the notes must be aware that the notes may not be Transferred to any other person unless such person is a QII.</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In this section:</w:t>
      </w:r>
    </w:p>
    <w:p>
      <w:pPr>
        <w:spacing w:after="0" w:line="123" w:lineRule="exact"/>
        <w:rPr>
          <w:sz w:val="20"/>
          <w:szCs w:val="20"/>
          <w:color w:val="auto"/>
        </w:rPr>
      </w:pPr>
    </w:p>
    <w:p>
      <w:pPr>
        <w:ind w:left="1300" w:right="1399"/>
        <w:spacing w:after="0" w:line="268" w:lineRule="auto"/>
        <w:rPr>
          <w:sz w:val="20"/>
          <w:szCs w:val="20"/>
          <w:color w:val="auto"/>
        </w:rPr>
      </w:pPr>
      <w:r>
        <w:rPr>
          <w:rFonts w:ascii="Arial" w:cs="Arial" w:eastAsia="Arial" w:hAnsi="Arial"/>
          <w:sz w:val="14"/>
          <w:szCs w:val="14"/>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71" w:lineRule="exact"/>
        <w:rPr>
          <w:sz w:val="20"/>
          <w:szCs w:val="20"/>
          <w:color w:val="auto"/>
        </w:rPr>
      </w:pPr>
    </w:p>
    <w:p>
      <w:pPr>
        <w:jc w:val="both"/>
        <w:ind w:left="1300" w:right="1399"/>
        <w:spacing w:after="0" w:line="268" w:lineRule="auto"/>
        <w:rPr>
          <w:sz w:val="20"/>
          <w:szCs w:val="20"/>
          <w:color w:val="auto"/>
        </w:rPr>
      </w:pPr>
      <w:r>
        <w:rPr>
          <w:rFonts w:ascii="Arial" w:cs="Arial" w:eastAsia="Arial" w:hAnsi="Arial"/>
          <w:sz w:val="14"/>
          <w:szCs w:val="14"/>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81" w:lineRule="exact"/>
        <w:rPr>
          <w:sz w:val="20"/>
          <w:szCs w:val="20"/>
          <w:color w:val="auto"/>
        </w:rPr>
      </w:pPr>
    </w:p>
    <w:p>
      <w:pPr>
        <w:ind w:left="1300" w:right="1759"/>
        <w:spacing w:after="0" w:line="286" w:lineRule="auto"/>
        <w:rPr>
          <w:sz w:val="20"/>
          <w:szCs w:val="20"/>
          <w:color w:val="auto"/>
        </w:rPr>
      </w:pPr>
      <w:r>
        <w:rPr>
          <w:rFonts w:ascii="Arial" w:cs="Arial" w:eastAsia="Arial" w:hAnsi="Arial"/>
          <w:sz w:val="14"/>
          <w:szCs w:val="14"/>
          <w:color w:val="auto"/>
        </w:rPr>
        <w:t>“Resident of Japan” means any person resident in Japan, including any corporation or other entity organized under the laws of Japan.</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 to Prospective Investors in Singapore</w:t>
      </w:r>
    </w:p>
    <w:p>
      <w:pPr>
        <w:spacing w:after="0" w:line="116" w:lineRule="exact"/>
        <w:rPr>
          <w:sz w:val="20"/>
          <w:szCs w:val="20"/>
          <w:color w:val="auto"/>
        </w:rPr>
      </w:pPr>
    </w:p>
    <w:p>
      <w:pPr>
        <w:ind w:left="1300" w:right="1619"/>
        <w:spacing w:after="0" w:line="284" w:lineRule="auto"/>
        <w:rPr>
          <w:sz w:val="20"/>
          <w:szCs w:val="20"/>
          <w:color w:val="auto"/>
        </w:rPr>
      </w:pPr>
      <w:r>
        <w:rPr>
          <w:rFonts w:ascii="Arial" w:cs="Arial" w:eastAsia="Arial" w:hAnsi="Arial"/>
          <w:sz w:val="13"/>
          <w:szCs w:val="13"/>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73" w:lineRule="exact"/>
        <w:rPr>
          <w:sz w:val="20"/>
          <w:szCs w:val="20"/>
          <w:color w:val="auto"/>
        </w:rPr>
      </w:pPr>
    </w:p>
    <w:p>
      <w:pPr>
        <w:ind w:left="1860" w:hanging="274"/>
        <w:spacing w:after="0"/>
        <w:tabs>
          <w:tab w:leader="none" w:pos="18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w:t>
      </w:r>
    </w:p>
    <w:p>
      <w:pPr>
        <w:spacing w:after="0" w:line="21" w:lineRule="exact"/>
        <w:rPr>
          <w:rFonts w:ascii="Arial" w:cs="Arial" w:eastAsia="Arial" w:hAnsi="Arial"/>
          <w:sz w:val="14"/>
          <w:szCs w:val="14"/>
          <w:color w:val="auto"/>
        </w:rPr>
      </w:pPr>
    </w:p>
    <w:p>
      <w:pPr>
        <w:ind w:left="1860" w:right="1379"/>
        <w:spacing w:after="0" w:line="265" w:lineRule="auto"/>
        <w:rPr>
          <w:rFonts w:ascii="Arial" w:cs="Arial" w:eastAsia="Arial" w:hAnsi="Arial"/>
          <w:sz w:val="14"/>
          <w:szCs w:val="14"/>
          <w:color w:val="auto"/>
        </w:rPr>
      </w:pPr>
      <w:r>
        <w:rPr>
          <w:rFonts w:ascii="Arial" w:cs="Arial" w:eastAsia="Arial" w:hAnsi="Arial"/>
          <w:sz w:val="14"/>
          <w:szCs w:val="14"/>
          <w:color w:val="auto"/>
        </w:rPr>
        <w:t>(Chapter 289) of Singapore, as modified or amended from time to time (the “SFA”)) pursuant to Section 274 of the SFA;</w:t>
      </w:r>
    </w:p>
    <w:p>
      <w:pPr>
        <w:spacing w:after="0" w:line="82" w:lineRule="exact"/>
        <w:rPr>
          <w:rFonts w:ascii="Arial" w:cs="Arial" w:eastAsia="Arial" w:hAnsi="Arial"/>
          <w:sz w:val="14"/>
          <w:szCs w:val="14"/>
          <w:color w:val="auto"/>
        </w:rPr>
      </w:pPr>
    </w:p>
    <w:p>
      <w:pPr>
        <w:ind w:left="1860" w:right="1359" w:hanging="274"/>
        <w:spacing w:after="0" w:line="268" w:lineRule="auto"/>
        <w:tabs>
          <w:tab w:leader="none" w:pos="18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1" w:lineRule="exact"/>
        <w:rPr>
          <w:rFonts w:ascii="Arial" w:cs="Arial" w:eastAsia="Arial" w:hAnsi="Arial"/>
          <w:sz w:val="14"/>
          <w:szCs w:val="14"/>
          <w:color w:val="auto"/>
        </w:rPr>
      </w:pPr>
    </w:p>
    <w:p>
      <w:pPr>
        <w:ind w:left="1860" w:right="1399" w:hanging="274"/>
        <w:spacing w:after="0" w:line="286" w:lineRule="auto"/>
        <w:tabs>
          <w:tab w:leader="none" w:pos="18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86" w:lineRule="auto"/>
        <w:rPr>
          <w:sz w:val="20"/>
          <w:szCs w:val="20"/>
          <w:color w:val="auto"/>
        </w:rPr>
      </w:pPr>
      <w:r>
        <w:rPr>
          <w:rFonts w:ascii="Arial" w:cs="Arial" w:eastAsia="Arial" w:hAnsi="Arial"/>
          <w:sz w:val="14"/>
          <w:szCs w:val="14"/>
          <w:color w:val="auto"/>
        </w:rPr>
        <w:t>Where the notes are subscribed or purchased under Section 275 of the SFA by a relevant person which is:</w:t>
      </w:r>
    </w:p>
    <w:p>
      <w:pPr>
        <w:spacing w:after="0" w:line="69" w:lineRule="exact"/>
        <w:rPr>
          <w:sz w:val="20"/>
          <w:szCs w:val="20"/>
          <w:color w:val="auto"/>
        </w:rPr>
      </w:pPr>
    </w:p>
    <w:p>
      <w:pPr>
        <w:ind w:left="1860" w:right="1399" w:hanging="274"/>
        <w:spacing w:after="0" w:line="268" w:lineRule="auto"/>
        <w:tabs>
          <w:tab w:leader="none" w:pos="18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1" w:lineRule="exact"/>
        <w:rPr>
          <w:rFonts w:ascii="Arial" w:cs="Arial" w:eastAsia="Arial" w:hAnsi="Arial"/>
          <w:sz w:val="14"/>
          <w:szCs w:val="14"/>
          <w:color w:val="auto"/>
        </w:rPr>
      </w:pPr>
    </w:p>
    <w:p>
      <w:pPr>
        <w:ind w:left="1860" w:right="1619" w:hanging="274"/>
        <w:spacing w:after="0" w:line="327" w:lineRule="auto"/>
        <w:tabs>
          <w:tab w:leader="none" w:pos="18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trust (where the trustee is not an accredited investor) whose sole purpose is to hold investments and each beneficiary of the trust is an individual who is an accredited investor,</w:t>
      </w:r>
    </w:p>
    <w:p>
      <w:pPr>
        <w:spacing w:after="0" w:line="34" w:lineRule="exact"/>
        <w:rPr>
          <w:rFonts w:ascii="Arial" w:cs="Arial" w:eastAsia="Arial" w:hAnsi="Arial"/>
          <w:sz w:val="13"/>
          <w:szCs w:val="13"/>
          <w:color w:val="auto"/>
        </w:rPr>
      </w:pPr>
    </w:p>
    <w:p>
      <w:pPr>
        <w:ind w:left="1860" w:right="1399" w:hanging="274"/>
        <w:spacing w:after="0" w:line="262" w:lineRule="auto"/>
        <w:tabs>
          <w:tab w:leader="none" w:pos="18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6" w:lineRule="exact"/>
        <w:rPr>
          <w:rFonts w:ascii="Arial" w:cs="Arial" w:eastAsia="Arial" w:hAnsi="Arial"/>
          <w:sz w:val="14"/>
          <w:szCs w:val="14"/>
          <w:color w:val="auto"/>
        </w:rPr>
      </w:pPr>
    </w:p>
    <w:p>
      <w:pPr>
        <w:ind w:left="2140" w:right="1559" w:hanging="273"/>
        <w:spacing w:after="0" w:line="286" w:lineRule="auto"/>
        <w:tabs>
          <w:tab w:leader="none" w:pos="21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68" w:lineRule="exact"/>
        <w:rPr>
          <w:rFonts w:ascii="Arial" w:cs="Arial" w:eastAsia="Arial" w:hAnsi="Arial"/>
          <w:sz w:val="14"/>
          <w:szCs w:val="14"/>
          <w:color w:val="auto"/>
        </w:rPr>
      </w:pPr>
    </w:p>
    <w:p>
      <w:pPr>
        <w:ind w:left="2140" w:hanging="273"/>
        <w:spacing w:after="0"/>
        <w:tabs>
          <w:tab w:leader="none" w:pos="21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12" w:lineRule="exact"/>
        <w:rPr>
          <w:rFonts w:ascii="Arial" w:cs="Arial" w:eastAsia="Arial" w:hAnsi="Arial"/>
          <w:sz w:val="14"/>
          <w:szCs w:val="14"/>
          <w:color w:val="auto"/>
        </w:rPr>
      </w:pPr>
    </w:p>
    <w:p>
      <w:pPr>
        <w:ind w:left="2140" w:hanging="273"/>
        <w:spacing w:after="0"/>
        <w:tabs>
          <w:tab w:leader="none" w:pos="21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23" w:lineRule="exact"/>
        <w:rPr>
          <w:rFonts w:ascii="Arial" w:cs="Arial" w:eastAsia="Arial" w:hAnsi="Arial"/>
          <w:sz w:val="14"/>
          <w:szCs w:val="14"/>
          <w:color w:val="auto"/>
        </w:rPr>
      </w:pPr>
    </w:p>
    <w:p>
      <w:pPr>
        <w:ind w:left="2140" w:hanging="273"/>
        <w:spacing w:after="0"/>
        <w:tabs>
          <w:tab w:leader="none" w:pos="21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23" w:lineRule="exact"/>
        <w:rPr>
          <w:rFonts w:ascii="Arial" w:cs="Arial" w:eastAsia="Arial" w:hAnsi="Arial"/>
          <w:sz w:val="14"/>
          <w:szCs w:val="14"/>
          <w:color w:val="auto"/>
        </w:rPr>
      </w:pPr>
    </w:p>
    <w:p>
      <w:pPr>
        <w:ind w:left="2140" w:right="1779" w:hanging="273"/>
        <w:spacing w:after="0" w:line="327" w:lineRule="auto"/>
        <w:tabs>
          <w:tab w:leader="none" w:pos="214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as specified in Regulation 37A of the Securities and Futures (Offers of Investments) (Securities and Securities-based Derivatives Contracts) Regulations 2018.</w:t>
      </w:r>
    </w:p>
    <w:p>
      <w:pPr>
        <w:spacing w:after="0" w:line="91"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Singapore Securities and Futures Act Product Classification</w:t>
      </w:r>
    </w:p>
    <w:p>
      <w:pPr>
        <w:spacing w:after="0" w:line="116" w:lineRule="exact"/>
        <w:rPr>
          <w:sz w:val="20"/>
          <w:szCs w:val="20"/>
          <w:color w:val="auto"/>
        </w:rPr>
      </w:pPr>
    </w:p>
    <w:p>
      <w:pPr>
        <w:ind w:left="1300" w:right="1419"/>
        <w:spacing w:after="0" w:line="258" w:lineRule="auto"/>
        <w:rPr>
          <w:sz w:val="20"/>
          <w:szCs w:val="20"/>
          <w:color w:val="auto"/>
        </w:rPr>
      </w:pPr>
      <w:r>
        <w:rPr>
          <w:rFonts w:ascii="Arial" w:cs="Arial" w:eastAsia="Arial" w:hAnsi="Arial"/>
          <w:sz w:val="14"/>
          <w:szCs w:val="14"/>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 to Prospective Investors in Switzerland</w:t>
      </w:r>
    </w:p>
    <w:p>
      <w:pPr>
        <w:spacing w:after="0" w:line="116" w:lineRule="exact"/>
        <w:rPr>
          <w:sz w:val="20"/>
          <w:szCs w:val="20"/>
          <w:color w:val="auto"/>
        </w:rPr>
      </w:pPr>
    </w:p>
    <w:p>
      <w:pPr>
        <w:ind w:left="1300" w:right="1339"/>
        <w:spacing w:after="0" w:line="256" w:lineRule="auto"/>
        <w:rPr>
          <w:sz w:val="20"/>
          <w:szCs w:val="20"/>
          <w:color w:val="auto"/>
        </w:rPr>
      </w:pPr>
      <w:r>
        <w:rPr>
          <w:rFonts w:ascii="Arial" w:cs="Arial" w:eastAsia="Arial" w:hAnsi="Arial"/>
          <w:sz w:val="14"/>
          <w:szCs w:val="14"/>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Notice to Prospective Investors in Taiwan</w:t>
      </w:r>
    </w:p>
    <w:p>
      <w:pPr>
        <w:spacing w:after="0" w:line="127" w:lineRule="exact"/>
        <w:rPr>
          <w:sz w:val="20"/>
          <w:szCs w:val="20"/>
          <w:color w:val="auto"/>
        </w:rPr>
      </w:pPr>
    </w:p>
    <w:p>
      <w:pPr>
        <w:ind w:left="1300" w:right="1359"/>
        <w:spacing w:after="0" w:line="254" w:lineRule="auto"/>
        <w:rPr>
          <w:sz w:val="20"/>
          <w:szCs w:val="20"/>
          <w:color w:val="auto"/>
        </w:rPr>
      </w:pPr>
      <w:r>
        <w:rPr>
          <w:rFonts w:ascii="Arial" w:cs="Arial" w:eastAsia="Arial" w:hAnsi="Arial"/>
          <w:sz w:val="14"/>
          <w:szCs w:val="14"/>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VALIDITY OF SECURITIES</w:t>
      </w:r>
    </w:p>
    <w:p>
      <w:pPr>
        <w:spacing w:after="0" w:line="119" w:lineRule="exact"/>
        <w:rPr>
          <w:sz w:val="20"/>
          <w:szCs w:val="20"/>
          <w:color w:val="auto"/>
        </w:rPr>
      </w:pPr>
    </w:p>
    <w:p>
      <w:pPr>
        <w:ind w:left="1300" w:right="1559"/>
        <w:spacing w:after="0" w:line="268" w:lineRule="auto"/>
        <w:rPr>
          <w:sz w:val="20"/>
          <w:szCs w:val="20"/>
          <w:color w:val="auto"/>
        </w:rPr>
      </w:pPr>
      <w:r>
        <w:rPr>
          <w:rFonts w:ascii="Arial" w:cs="Arial" w:eastAsia="Arial" w:hAnsi="Arial"/>
          <w:sz w:val="14"/>
          <w:szCs w:val="14"/>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EXPERTS</w:t>
      </w:r>
    </w:p>
    <w:p>
      <w:pPr>
        <w:spacing w:after="0" w:line="119" w:lineRule="exact"/>
        <w:rPr>
          <w:sz w:val="20"/>
          <w:szCs w:val="20"/>
          <w:color w:val="auto"/>
        </w:rPr>
      </w:pPr>
    </w:p>
    <w:p>
      <w:pPr>
        <w:ind w:left="1300" w:right="1379"/>
        <w:spacing w:after="0" w:line="258" w:lineRule="auto"/>
        <w:rPr>
          <w:sz w:val="20"/>
          <w:szCs w:val="20"/>
          <w:color w:val="auto"/>
        </w:rPr>
      </w:pPr>
      <w:r>
        <w:rPr>
          <w:rFonts w:ascii="Arial" w:cs="Arial" w:eastAsia="Arial" w:hAnsi="Arial"/>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29, 2024 have been so incorporated in reliance on the report of PricewaterhouseCoopers LLP, an independent registered public accounting firm, given on the authority of said firm as experts in auditing and accounting.</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WHERE YOU CAN FIND MORE</w:t>
      </w:r>
    </w:p>
    <w:p>
      <w:pPr>
        <w:spacing w:after="0" w:line="12"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INFORMATION</w:t>
      </w:r>
    </w:p>
    <w:p>
      <w:pPr>
        <w:spacing w:after="0" w:line="77" w:lineRule="exact"/>
        <w:rPr>
          <w:sz w:val="20"/>
          <w:szCs w:val="20"/>
          <w:color w:val="auto"/>
        </w:rPr>
      </w:pPr>
    </w:p>
    <w:p>
      <w:pPr>
        <w:ind w:left="1300" w:right="1399"/>
        <w:spacing w:after="0" w:line="259" w:lineRule="auto"/>
        <w:rPr>
          <w:sz w:val="20"/>
          <w:szCs w:val="20"/>
          <w:color w:val="auto"/>
        </w:rPr>
      </w:pPr>
      <w:r>
        <w:rPr>
          <w:rFonts w:ascii="Arial" w:cs="Arial" w:eastAsia="Arial" w:hAnsi="Arial"/>
          <w:sz w:val="14"/>
          <w:szCs w:val="14"/>
          <w:color w:val="auto"/>
        </w:rPr>
        <w:t xml:space="preserve">We file annual, quarterly and current reports, proxy statements and other information with the SEC. The SEC maintains an Internet site at </w:t>
      </w:r>
      <w:r>
        <w:rPr>
          <w:rFonts w:ascii="Arial" w:cs="Arial" w:eastAsia="Arial" w:hAnsi="Arial"/>
          <w:sz w:val="14"/>
          <w:szCs w:val="14"/>
          <w:i w:val="1"/>
          <w:iCs w:val="1"/>
          <w:color w:val="auto"/>
        </w:rPr>
        <w:t>http://www.sec.gov,</w:t>
      </w:r>
      <w:r>
        <w:rPr>
          <w:rFonts w:ascii="Arial" w:cs="Arial" w:eastAsia="Arial" w:hAnsi="Arial"/>
          <w:sz w:val="14"/>
          <w:szCs w:val="14"/>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89" w:lineRule="exact"/>
        <w:rPr>
          <w:sz w:val="20"/>
          <w:szCs w:val="20"/>
          <w:color w:val="auto"/>
        </w:rPr>
      </w:pPr>
    </w:p>
    <w:p>
      <w:pPr>
        <w:ind w:left="1300" w:right="1339"/>
        <w:spacing w:after="0" w:line="273" w:lineRule="auto"/>
        <w:rPr>
          <w:sz w:val="20"/>
          <w:szCs w:val="20"/>
          <w:color w:val="auto"/>
        </w:rPr>
      </w:pPr>
      <w:r>
        <w:rPr>
          <w:rFonts w:ascii="Arial" w:cs="Arial" w:eastAsia="Arial" w:hAnsi="Arial"/>
          <w:sz w:val="13"/>
          <w:szCs w:val="13"/>
          <w:color w:val="auto"/>
        </w:rPr>
        <w:t>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w:t>
      </w:r>
    </w:p>
    <w:p>
      <w:pPr>
        <w:spacing w:after="0" w:line="2" w:lineRule="exact"/>
        <w:rPr>
          <w:sz w:val="20"/>
          <w:szCs w:val="20"/>
          <w:color w:val="auto"/>
        </w:rPr>
      </w:pPr>
    </w:p>
    <w:p>
      <w:pPr>
        <w:ind w:left="1300" w:right="1339"/>
        <w:spacing w:after="0" w:line="255" w:lineRule="auto"/>
        <w:rPr>
          <w:sz w:val="20"/>
          <w:szCs w:val="20"/>
          <w:color w:val="auto"/>
        </w:rPr>
      </w:pPr>
      <w:r>
        <w:rPr>
          <w:rFonts w:ascii="Arial" w:cs="Arial" w:eastAsia="Arial" w:hAnsi="Arial"/>
          <w:sz w:val="14"/>
          <w:szCs w:val="14"/>
          <w:color w:val="auto"/>
        </w:rPr>
        <w:t xml:space="preserve">Section 13(a), 13(c), 14, or 15(d) of the Exchange Act prior to the termination of the offering under this prospectus supplement,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nothing contained herein shall be deemed to incorporate information furnished to, but not filed with, the SEC, including under Item 2.02 or Item 7.01 of any Current Report on Form 8-K:</w:t>
      </w:r>
    </w:p>
    <w:p>
      <w:pPr>
        <w:spacing w:after="0" w:line="59" w:lineRule="exact"/>
        <w:rPr>
          <w:sz w:val="20"/>
          <w:szCs w:val="20"/>
          <w:color w:val="auto"/>
        </w:rPr>
      </w:pPr>
    </w:p>
    <w:p>
      <w:pPr>
        <w:ind w:left="1720" w:hanging="134"/>
        <w:spacing w:after="0"/>
        <w:tabs>
          <w:tab w:leader="none" w:pos="1720" w:val="left"/>
        </w:tabs>
        <w:numPr>
          <w:ilvl w:val="0"/>
          <w:numId w:val="40"/>
        </w:numPr>
        <w:rPr>
          <w:rFonts w:ascii="Arial" w:cs="Arial" w:eastAsia="Arial" w:hAnsi="Arial"/>
          <w:sz w:val="14"/>
          <w:szCs w:val="14"/>
          <w:color w:val="0000EE"/>
        </w:rPr>
      </w:pPr>
      <w:hyperlink r:id="rId99">
        <w:r>
          <w:rPr>
            <w:rFonts w:ascii="Arial" w:cs="Arial" w:eastAsia="Arial" w:hAnsi="Arial"/>
            <w:sz w:val="14"/>
            <w:szCs w:val="14"/>
            <w:u w:val="single" w:color="auto"/>
            <w:color w:val="0000EE"/>
          </w:rPr>
          <w:t>Our Annual Report on Form 10-K for the fiscal year ended August 29, 2024</w:t>
        </w:r>
      </w:hyperlink>
      <w:r>
        <w:rPr>
          <w:rFonts w:ascii="Arial" w:cs="Arial" w:eastAsia="Arial" w:hAnsi="Arial"/>
          <w:sz w:val="14"/>
          <w:szCs w:val="14"/>
          <w:color w:val="000000"/>
        </w:rPr>
        <w:t>;</w:t>
      </w:r>
    </w:p>
    <w:p>
      <w:pPr>
        <w:spacing w:after="0" w:line="91" w:lineRule="exact"/>
        <w:rPr>
          <w:rFonts w:ascii="Arial" w:cs="Arial" w:eastAsia="Arial" w:hAnsi="Arial"/>
          <w:sz w:val="14"/>
          <w:szCs w:val="14"/>
          <w:color w:val="0000EE"/>
        </w:rPr>
      </w:pPr>
    </w:p>
    <w:p>
      <w:pPr>
        <w:ind w:left="1720" w:hanging="134"/>
        <w:spacing w:after="0"/>
        <w:tabs>
          <w:tab w:leader="none" w:pos="1720" w:val="left"/>
        </w:tabs>
        <w:numPr>
          <w:ilvl w:val="0"/>
          <w:numId w:val="40"/>
        </w:numPr>
        <w:rPr>
          <w:rFonts w:ascii="Arial" w:cs="Arial" w:eastAsia="Arial" w:hAnsi="Arial"/>
          <w:sz w:val="14"/>
          <w:szCs w:val="14"/>
          <w:color w:val="0000EE"/>
        </w:rPr>
      </w:pPr>
      <w:hyperlink r:id="rId100">
        <w:r>
          <w:rPr>
            <w:rFonts w:ascii="Arial" w:cs="Arial" w:eastAsia="Arial" w:hAnsi="Arial"/>
            <w:sz w:val="14"/>
            <w:szCs w:val="14"/>
            <w:u w:val="single" w:color="auto"/>
            <w:color w:val="0000EE"/>
          </w:rPr>
          <w:t>Our Quarterly Report on Form 10-Q for the fiscal quarter ended November 28, 2024</w:t>
        </w:r>
      </w:hyperlink>
      <w:r>
        <w:rPr>
          <w:rFonts w:ascii="Arial" w:cs="Arial" w:eastAsia="Arial" w:hAnsi="Arial"/>
          <w:sz w:val="14"/>
          <w:szCs w:val="14"/>
          <w:color w:val="000000"/>
        </w:rPr>
        <w:t>;</w:t>
      </w:r>
    </w:p>
    <w:p>
      <w:pPr>
        <w:spacing w:after="0" w:line="91" w:lineRule="exact"/>
        <w:rPr>
          <w:rFonts w:ascii="Arial" w:cs="Arial" w:eastAsia="Arial" w:hAnsi="Arial"/>
          <w:sz w:val="14"/>
          <w:szCs w:val="14"/>
          <w:color w:val="0000EE"/>
        </w:rPr>
      </w:pPr>
    </w:p>
    <w:p>
      <w:pPr>
        <w:jc w:val="both"/>
        <w:ind w:left="1720" w:right="1559" w:hanging="134"/>
        <w:spacing w:after="0" w:line="268" w:lineRule="auto"/>
        <w:tabs>
          <w:tab w:leader="none" w:pos="1720" w:val="left"/>
        </w:tabs>
        <w:numPr>
          <w:ilvl w:val="0"/>
          <w:numId w:val="40"/>
        </w:numPr>
        <w:rPr>
          <w:rFonts w:ascii="Arial" w:cs="Arial" w:eastAsia="Arial" w:hAnsi="Arial"/>
          <w:sz w:val="14"/>
          <w:szCs w:val="14"/>
          <w:color w:val="0000EE"/>
        </w:rPr>
      </w:pPr>
      <w:hyperlink r:id="rId101">
        <w:r>
          <w:rPr>
            <w:rFonts w:ascii="Arial" w:cs="Arial" w:eastAsia="Arial" w:hAnsi="Arial"/>
            <w:sz w:val="14"/>
            <w:szCs w:val="14"/>
            <w:color w:val="auto"/>
          </w:rPr>
          <w:t xml:space="preserve">Information specifically incorporated by reference into our </w:t>
        </w:r>
        <w:r>
          <w:rPr>
            <w:rFonts w:ascii="Arial" w:cs="Arial" w:eastAsia="Arial" w:hAnsi="Arial"/>
            <w:sz w:val="14"/>
            <w:szCs w:val="14"/>
            <w:u w:val="single" w:color="auto"/>
            <w:color w:val="0000EE"/>
          </w:rPr>
          <w:t>Annual Report on Form 10-K for the</w:t>
        </w:r>
      </w:hyperlink>
      <w:r>
        <w:rPr>
          <w:rFonts w:ascii="Arial" w:cs="Arial" w:eastAsia="Arial" w:hAnsi="Arial"/>
          <w:sz w:val="14"/>
          <w:szCs w:val="14"/>
          <w:color w:val="auto"/>
        </w:rPr>
        <w:t xml:space="preserve"> </w:t>
      </w:r>
      <w:hyperlink r:id="rId102">
        <w:r>
          <w:rPr>
            <w:rFonts w:ascii="Arial" w:cs="Arial" w:eastAsia="Arial" w:hAnsi="Arial"/>
            <w:sz w:val="14"/>
            <w:szCs w:val="14"/>
            <w:u w:val="single" w:color="auto"/>
            <w:color w:val="0000EE"/>
          </w:rPr>
          <w:t>fiscal year ended August 29, 2024</w:t>
        </w:r>
        <w:r>
          <w:rPr>
            <w:rFonts w:ascii="Arial" w:cs="Arial" w:eastAsia="Arial" w:hAnsi="Arial"/>
            <w:sz w:val="14"/>
            <w:szCs w:val="14"/>
            <w:color w:val="0000EE"/>
          </w:rPr>
          <w:t xml:space="preserve"> </w:t>
        </w:r>
        <w:r>
          <w:rPr>
            <w:rFonts w:ascii="Arial" w:cs="Arial" w:eastAsia="Arial" w:hAnsi="Arial"/>
            <w:sz w:val="14"/>
            <w:szCs w:val="14"/>
            <w:color w:val="000000"/>
          </w:rPr>
          <w:t>from our</w:t>
        </w:r>
        <w:r>
          <w:rPr>
            <w:rFonts w:ascii="Arial" w:cs="Arial" w:eastAsia="Arial" w:hAnsi="Arial"/>
            <w:sz w:val="14"/>
            <w:szCs w:val="14"/>
            <w:color w:val="0000EE"/>
          </w:rPr>
          <w:t xml:space="preserve"> </w:t>
        </w:r>
        <w:r>
          <w:rPr>
            <w:rFonts w:ascii="Arial" w:cs="Arial" w:eastAsia="Arial" w:hAnsi="Arial"/>
            <w:sz w:val="14"/>
            <w:szCs w:val="14"/>
            <w:u w:val="single" w:color="auto"/>
            <w:color w:val="0000EE"/>
          </w:rPr>
          <w:t>Definitive Proxy Statement on Schedule 14A, filed</w:t>
        </w:r>
      </w:hyperlink>
      <w:r>
        <w:rPr>
          <w:rFonts w:ascii="Arial" w:cs="Arial" w:eastAsia="Arial" w:hAnsi="Arial"/>
          <w:sz w:val="14"/>
          <w:szCs w:val="14"/>
          <w:color w:val="0000EE"/>
        </w:rPr>
        <w:t xml:space="preserve"> </w:t>
      </w:r>
      <w:hyperlink r:id="rId102">
        <w:r>
          <w:rPr>
            <w:rFonts w:ascii="Arial" w:cs="Arial" w:eastAsia="Arial" w:hAnsi="Arial"/>
            <w:sz w:val="14"/>
            <w:szCs w:val="14"/>
            <w:u w:val="single" w:color="auto"/>
            <w:color w:val="0000EE"/>
          </w:rPr>
          <w:t>with the SEC on November 26, 2024</w:t>
        </w:r>
        <w:r>
          <w:rPr>
            <w:rFonts w:ascii="Arial" w:cs="Arial" w:eastAsia="Arial" w:hAnsi="Arial"/>
            <w:sz w:val="14"/>
            <w:szCs w:val="14"/>
            <w:color w:val="000000"/>
          </w:rPr>
          <w:t>; and</w:t>
        </w:r>
      </w:hyperlink>
    </w:p>
    <w:p>
      <w:pPr>
        <w:spacing w:after="0" w:line="49" w:lineRule="exact"/>
        <w:rPr>
          <w:rFonts w:ascii="Arial" w:cs="Arial" w:eastAsia="Arial" w:hAnsi="Arial"/>
          <w:sz w:val="14"/>
          <w:szCs w:val="14"/>
          <w:color w:val="0000EE"/>
        </w:rPr>
      </w:pPr>
    </w:p>
    <w:p>
      <w:pPr>
        <w:ind w:left="1720" w:right="1599" w:hanging="134"/>
        <w:spacing w:after="0" w:line="286" w:lineRule="auto"/>
        <w:tabs>
          <w:tab w:leader="none" w:pos="1720" w:val="left"/>
        </w:tabs>
        <w:numPr>
          <w:ilvl w:val="0"/>
          <w:numId w:val="40"/>
        </w:numPr>
        <w:rPr>
          <w:rFonts w:ascii="Arial" w:cs="Arial" w:eastAsia="Arial" w:hAnsi="Arial"/>
          <w:sz w:val="14"/>
          <w:szCs w:val="14"/>
          <w:u w:val="single" w:color="auto"/>
          <w:color w:val="0000EE"/>
        </w:rPr>
      </w:pPr>
      <w:hyperlink r:id="rId103">
        <w:r>
          <w:rPr>
            <w:rFonts w:ascii="Arial" w:cs="Arial" w:eastAsia="Arial" w:hAnsi="Arial"/>
            <w:sz w:val="14"/>
            <w:szCs w:val="14"/>
            <w:color w:val="auto"/>
          </w:rPr>
          <w:t xml:space="preserve">Our Current Reports on Form 8-K, filed with the SEC on </w:t>
        </w:r>
        <w:r>
          <w:rPr>
            <w:rFonts w:ascii="Arial" w:cs="Arial" w:eastAsia="Arial" w:hAnsi="Arial"/>
            <w:sz w:val="14"/>
            <w:szCs w:val="14"/>
            <w:u w:val="single" w:color="auto"/>
            <w:color w:val="0000EE"/>
          </w:rPr>
          <w:t>October 30, 2024</w:t>
        </w:r>
        <w:r>
          <w:rPr>
            <w:rFonts w:ascii="Arial" w:cs="Arial" w:eastAsia="Arial" w:hAnsi="Arial"/>
            <w:sz w:val="14"/>
            <w:szCs w:val="14"/>
            <w:color w:val="auto"/>
          </w:rPr>
          <w:t xml:space="preserve"> and </w:t>
        </w:r>
        <w:r>
          <w:rPr>
            <w:rFonts w:ascii="Arial" w:cs="Arial" w:eastAsia="Arial" w:hAnsi="Arial"/>
            <w:sz w:val="14"/>
            <w:szCs w:val="14"/>
            <w:u w:val="single" w:color="auto"/>
            <w:color w:val="0000EE"/>
          </w:rPr>
          <w:t>December 10,</w:t>
        </w:r>
      </w:hyperlink>
      <w:r>
        <w:rPr>
          <w:rFonts w:ascii="Arial" w:cs="Arial" w:eastAsia="Arial" w:hAnsi="Arial"/>
          <w:sz w:val="14"/>
          <w:szCs w:val="14"/>
          <w:color w:val="auto"/>
        </w:rPr>
        <w:t xml:space="preserve"> </w:t>
      </w:r>
      <w:hyperlink r:id="rId103">
        <w:r>
          <w:rPr>
            <w:rFonts w:ascii="Arial" w:cs="Arial" w:eastAsia="Arial" w:hAnsi="Arial"/>
            <w:sz w:val="14"/>
            <w:szCs w:val="14"/>
            <w:u w:val="single" w:color="auto"/>
            <w:color w:val="0000EE"/>
          </w:rPr>
          <w:t>2024.</w:t>
        </w:r>
      </w:hyperlink>
    </w:p>
    <w:p>
      <w:pPr>
        <w:spacing w:after="0" w:line="69" w:lineRule="exact"/>
        <w:rPr>
          <w:rFonts w:ascii="Arial" w:cs="Arial" w:eastAsia="Arial" w:hAnsi="Arial"/>
          <w:sz w:val="14"/>
          <w:szCs w:val="14"/>
          <w:color w:val="auto"/>
        </w:rPr>
      </w:pPr>
    </w:p>
    <w:p>
      <w:pPr>
        <w:ind w:left="1300" w:right="1479"/>
        <w:spacing w:after="0" w:line="289" w:lineRule="auto"/>
        <w:rPr>
          <w:sz w:val="20"/>
          <w:szCs w:val="20"/>
          <w:color w:val="auto"/>
        </w:rPr>
      </w:pPr>
      <w:r>
        <w:rPr>
          <w:rFonts w:ascii="Arial" w:cs="Arial" w:eastAsia="Arial" w:hAnsi="Arial"/>
          <w:sz w:val="13"/>
          <w:szCs w:val="13"/>
          <w:color w:val="auto"/>
        </w:rPr>
        <w:t xml:space="preserve">You may request a copy of these filings at no cost by contacting our Investor Relations department by visiting our Web site at </w:t>
      </w:r>
      <w:r>
        <w:rPr>
          <w:rFonts w:ascii="Arial" w:cs="Arial" w:eastAsia="Arial" w:hAnsi="Arial"/>
          <w:sz w:val="13"/>
          <w:szCs w:val="13"/>
          <w:i w:val="1"/>
          <w:iCs w:val="1"/>
          <w:color w:val="auto"/>
        </w:rPr>
        <w:t>www.micron.com</w:t>
      </w:r>
      <w:r>
        <w:rPr>
          <w:rFonts w:ascii="Arial" w:cs="Arial" w:eastAsia="Arial" w:hAnsi="Arial"/>
          <w:sz w:val="13"/>
          <w:szCs w:val="13"/>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0" w:lineRule="exact"/>
        <w:rPr>
          <w:rFonts w:ascii="Arial" w:cs="Arial" w:eastAsia="Arial" w:hAnsi="Arial"/>
          <w:sz w:val="14"/>
          <w:szCs w:val="14"/>
          <w:color w:val="auto"/>
        </w:rPr>
      </w:pPr>
    </w:p>
    <w:p>
      <w:pPr>
        <w:jc w:val="center"/>
        <w:ind w:right="59"/>
        <w:spacing w:after="0"/>
        <w:rPr>
          <w:sz w:val="20"/>
          <w:szCs w:val="20"/>
          <w:color w:val="auto"/>
        </w:rPr>
      </w:pPr>
      <w:r>
        <w:rPr>
          <w:rFonts w:ascii="Arial" w:cs="Arial" w:eastAsia="Arial" w:hAnsi="Arial"/>
          <w:sz w:val="14"/>
          <w:szCs w:val="14"/>
          <w:color w:val="auto"/>
        </w:rPr>
        <w:t>S-46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20"/>
        <w:spacing w:after="0"/>
        <w:rPr>
          <w:sz w:val="20"/>
          <w:szCs w:val="20"/>
          <w:color w:val="auto"/>
        </w:rPr>
      </w:pPr>
      <w:r>
        <w:rPr>
          <w:rFonts w:ascii="Calibri" w:cs="Calibri" w:eastAsia="Calibri" w:hAnsi="Calibri"/>
          <w:sz w:val="11"/>
          <w:szCs w:val="11"/>
          <w:color w:val="003366"/>
        </w:rPr>
        <w:t>TABLE OF CONTENTS</w:t>
      </w:r>
    </w:p>
    <w:p>
      <w:pPr>
        <w:spacing w:after="0" w:line="385" w:lineRule="exact"/>
        <w:rPr>
          <w:sz w:val="20"/>
          <w:szCs w:val="20"/>
          <w:color w:val="auto"/>
        </w:rPr>
      </w:pPr>
    </w:p>
    <w:p>
      <w:pPr>
        <w:ind w:left="1560"/>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102870</wp:posOffset>
            </wp:positionV>
            <wp:extent cx="1329690" cy="3676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329690"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00"/>
        <w:spacing w:after="0"/>
        <w:rPr>
          <w:sz w:val="20"/>
          <w:szCs w:val="20"/>
          <w:color w:val="auto"/>
        </w:rPr>
      </w:pPr>
      <w:r>
        <w:rPr>
          <w:rFonts w:ascii="Arial" w:cs="Arial" w:eastAsia="Arial" w:hAnsi="Arial"/>
          <w:sz w:val="31"/>
          <w:szCs w:val="31"/>
          <w:b w:val="1"/>
          <w:bCs w:val="1"/>
          <w:color w:val="auto"/>
        </w:rPr>
        <w:t>MICRON TECHNOLOGY, INC.</w:t>
      </w:r>
    </w:p>
    <w:p>
      <w:pPr>
        <w:spacing w:after="0" w:line="17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Debt Securities</w:t>
      </w:r>
    </w:p>
    <w:p>
      <w:pPr>
        <w:spacing w:after="0" w:line="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Warrants</w:t>
      </w:r>
    </w:p>
    <w:p>
      <w:pPr>
        <w:spacing w:after="0" w:line="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Purchase Contracts</w:t>
      </w:r>
    </w:p>
    <w:p>
      <w:pPr>
        <w:spacing w:after="0" w:line="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80010</wp:posOffset>
            </wp:positionV>
            <wp:extent cx="9620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71" w:lineRule="exact"/>
        <w:rPr>
          <w:sz w:val="20"/>
          <w:szCs w:val="20"/>
          <w:color w:val="auto"/>
        </w:rPr>
      </w:pPr>
    </w:p>
    <w:p>
      <w:pPr>
        <w:ind w:left="1560" w:right="1379"/>
        <w:spacing w:after="0" w:line="286" w:lineRule="auto"/>
        <w:rPr>
          <w:sz w:val="20"/>
          <w:szCs w:val="20"/>
          <w:color w:val="auto"/>
        </w:rPr>
      </w:pPr>
      <w:r>
        <w:rPr>
          <w:rFonts w:ascii="Arial" w:cs="Arial" w:eastAsia="Arial" w:hAnsi="Arial"/>
          <w:sz w:val="14"/>
          <w:szCs w:val="14"/>
          <w:color w:val="auto"/>
        </w:rPr>
        <w:t>We may offer and sell the securities identified above from time to time in one or more offerings. This prospectus provides you with a general description of the securities.</w:t>
      </w:r>
    </w:p>
    <w:p>
      <w:pPr>
        <w:spacing w:after="0" w:line="69" w:lineRule="exact"/>
        <w:rPr>
          <w:sz w:val="20"/>
          <w:szCs w:val="20"/>
          <w:color w:val="auto"/>
        </w:rPr>
      </w:pPr>
    </w:p>
    <w:p>
      <w:pPr>
        <w:ind w:left="1560" w:right="1299"/>
        <w:spacing w:after="0" w:line="284" w:lineRule="auto"/>
        <w:rPr>
          <w:sz w:val="20"/>
          <w:szCs w:val="20"/>
          <w:color w:val="auto"/>
        </w:rPr>
      </w:pPr>
      <w:r>
        <w:rPr>
          <w:rFonts w:ascii="Arial" w:cs="Arial" w:eastAsia="Arial" w:hAnsi="Arial"/>
          <w:sz w:val="13"/>
          <w:szCs w:val="13"/>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73" w:lineRule="exact"/>
        <w:rPr>
          <w:sz w:val="20"/>
          <w:szCs w:val="20"/>
          <w:color w:val="auto"/>
        </w:rPr>
      </w:pPr>
    </w:p>
    <w:p>
      <w:pPr>
        <w:ind w:left="1560" w:right="1079"/>
        <w:spacing w:after="0" w:line="255" w:lineRule="auto"/>
        <w:rPr>
          <w:sz w:val="20"/>
          <w:szCs w:val="20"/>
          <w:color w:val="auto"/>
        </w:rPr>
      </w:pPr>
      <w:r>
        <w:rPr>
          <w:rFonts w:ascii="Arial" w:cs="Arial" w:eastAsia="Arial" w:hAnsi="Arial"/>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67310</wp:posOffset>
            </wp:positionV>
            <wp:extent cx="9620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50" w:lineRule="exact"/>
        <w:rPr>
          <w:sz w:val="20"/>
          <w:szCs w:val="20"/>
          <w:color w:val="auto"/>
        </w:rPr>
      </w:pPr>
    </w:p>
    <w:p>
      <w:pPr>
        <w:ind w:left="1560" w:right="1179"/>
        <w:spacing w:after="0" w:line="266" w:lineRule="auto"/>
        <w:rPr>
          <w:sz w:val="20"/>
          <w:szCs w:val="20"/>
          <w:color w:val="auto"/>
        </w:rPr>
      </w:pPr>
      <w:r>
        <w:rPr>
          <w:rFonts w:ascii="Arial" w:cs="Arial" w:eastAsia="Arial" w:hAnsi="Arial"/>
          <w:sz w:val="14"/>
          <w:szCs w:val="14"/>
          <w:b w:val="1"/>
          <w:bCs w:val="1"/>
          <w:color w:val="auto"/>
        </w:rPr>
        <w:t xml:space="preserve">INVESTING IN OUR SECURITIES INVOLVES RISKS. SEE “RISK FACTORS” ON PAGE </w:t>
      </w:r>
      <w:r>
        <w:rPr>
          <w:rFonts w:ascii="Arial" w:cs="Arial" w:eastAsia="Arial" w:hAnsi="Arial"/>
          <w:sz w:val="14"/>
          <w:szCs w:val="14"/>
          <w:b w:val="1"/>
          <w:bCs w:val="1"/>
          <w:u w:val="single" w:color="auto"/>
          <w:color w:val="0000EE"/>
        </w:rPr>
        <w:t>5</w:t>
      </w:r>
      <w:r>
        <w:rPr>
          <w:rFonts w:ascii="Arial" w:cs="Arial" w:eastAsia="Arial" w:hAnsi="Arial"/>
          <w:sz w:val="14"/>
          <w:szCs w:val="14"/>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64135</wp:posOffset>
            </wp:positionV>
            <wp:extent cx="9620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45" w:lineRule="exact"/>
        <w:rPr>
          <w:sz w:val="20"/>
          <w:szCs w:val="20"/>
          <w:color w:val="auto"/>
        </w:rPr>
      </w:pPr>
    </w:p>
    <w:p>
      <w:pPr>
        <w:ind w:left="1560" w:right="1099"/>
        <w:spacing w:after="0" w:line="327" w:lineRule="auto"/>
        <w:rPr>
          <w:sz w:val="20"/>
          <w:szCs w:val="20"/>
          <w:color w:val="auto"/>
        </w:rPr>
      </w:pPr>
      <w:r>
        <w:rPr>
          <w:rFonts w:ascii="Arial" w:cs="Arial" w:eastAsia="Arial" w:hAnsi="Arial"/>
          <w:sz w:val="13"/>
          <w:szCs w:val="13"/>
          <w:color w:val="auto"/>
        </w:rPr>
        <w:t>Our common stock is listed on The Nasdaq Global Select Market (“Nasdaq”) under the symbol “MU.” On November 1, 2023, the last reported sale price of our common stock on Nasdaq was $69.40 per share.</w:t>
      </w:r>
    </w:p>
    <w:p>
      <w:pPr>
        <w:spacing w:after="0" w:line="35" w:lineRule="exact"/>
        <w:rPr>
          <w:sz w:val="20"/>
          <w:szCs w:val="20"/>
          <w:color w:val="auto"/>
        </w:rPr>
      </w:pPr>
    </w:p>
    <w:p>
      <w:pPr>
        <w:ind w:left="1560" w:right="1239"/>
        <w:spacing w:after="0" w:line="274"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69"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The date of this prospectus is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1063625</wp:posOffset>
            </wp:positionV>
            <wp:extent cx="533082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TABLE OF CONTENTS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About</w:t>
      </w:r>
      <w:r>
        <w:rPr>
          <w:rFonts w:ascii="Arial" w:cs="Arial" w:eastAsia="Arial" w:hAnsi="Arial"/>
          <w:sz w:val="14"/>
          <w:szCs w:val="14"/>
          <w:color w:val="000000"/>
        </w:rPr>
        <w:t>​</w:t>
      </w:r>
      <w:r>
        <w:rPr>
          <w:rFonts w:ascii="Arial" w:cs="Arial" w:eastAsia="Arial" w:hAnsi="Arial"/>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4062095" cy="933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3"/>
          <w:szCs w:val="13"/>
          <w:color w:val="0000EE"/>
        </w:rPr>
        <w:t>Where</w:t>
      </w:r>
      <w:r>
        <w:rPr>
          <w:rFonts w:ascii="Arial" w:cs="Arial" w:eastAsia="Arial" w:hAnsi="Arial"/>
          <w:sz w:val="13"/>
          <w:szCs w:val="13"/>
          <w:color w:val="000000"/>
        </w:rPr>
        <w:t>​</w:t>
      </w:r>
      <w:r>
        <w:rPr>
          <w:rFonts w:ascii="Arial" w:cs="Arial" w:eastAsia="Arial" w:hAnsi="Arial"/>
          <w:sz w:val="13"/>
          <w:szCs w:val="13"/>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-1905</wp:posOffset>
            </wp:positionV>
            <wp:extent cx="4062095" cy="1536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The</w:t>
      </w:r>
      <w:r>
        <w:rPr>
          <w:rFonts w:ascii="Arial" w:cs="Arial" w:eastAsia="Arial" w:hAnsi="Arial"/>
          <w:sz w:val="14"/>
          <w:szCs w:val="14"/>
          <w:color w:val="000000"/>
        </w:rPr>
        <w:t>​</w:t>
      </w:r>
      <w:r>
        <w:rPr>
          <w:rFonts w:ascii="Arial" w:cs="Arial" w:eastAsia="Arial" w:hAnsi="Arial"/>
          <w:sz w:val="14"/>
          <w:szCs w:val="14"/>
          <w:color w:val="0000EE"/>
        </w:rPr>
        <w:t xml:space="preserve"> Company</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Risk</w:t>
      </w:r>
      <w:r>
        <w:rPr>
          <w:rFonts w:ascii="Arial" w:cs="Arial" w:eastAsia="Arial" w:hAnsi="Arial"/>
          <w:sz w:val="14"/>
          <w:szCs w:val="14"/>
          <w:color w:val="000000"/>
        </w:rPr>
        <w:t>​</w:t>
      </w:r>
      <w:r>
        <w:rPr>
          <w:rFonts w:ascii="Arial" w:cs="Arial" w:eastAsia="Arial" w:hAnsi="Arial"/>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-5715</wp:posOffset>
            </wp:positionV>
            <wp:extent cx="4062095" cy="1536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Use</w:t>
      </w:r>
      <w:r>
        <w:rPr>
          <w:rFonts w:ascii="Arial" w:cs="Arial" w:eastAsia="Arial" w:hAnsi="Arial"/>
          <w:sz w:val="14"/>
          <w:szCs w:val="14"/>
          <w:color w:val="000000"/>
        </w:rPr>
        <w:t>​</w:t>
      </w:r>
      <w:r>
        <w:rPr>
          <w:rFonts w:ascii="Arial" w:cs="Arial" w:eastAsia="Arial" w:hAnsi="Arial"/>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Description</w:t>
      </w:r>
      <w:r>
        <w:rPr>
          <w:rFonts w:ascii="Arial" w:cs="Arial" w:eastAsia="Arial" w:hAnsi="Arial"/>
          <w:sz w:val="14"/>
          <w:szCs w:val="14"/>
          <w:color w:val="000000"/>
        </w:rPr>
        <w:t>​</w:t>
      </w:r>
      <w:r>
        <w:rPr>
          <w:rFonts w:ascii="Arial" w:cs="Arial" w:eastAsia="Arial" w:hAnsi="Arial"/>
          <w:sz w:val="14"/>
          <w:szCs w:val="14"/>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-5715</wp:posOffset>
            </wp:positionV>
            <wp:extent cx="4062095" cy="153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Plan</w:t>
      </w:r>
      <w:r>
        <w:rPr>
          <w:rFonts w:ascii="Arial" w:cs="Arial" w:eastAsia="Arial" w:hAnsi="Arial"/>
          <w:sz w:val="14"/>
          <w:szCs w:val="14"/>
          <w:color w:val="000000"/>
        </w:rPr>
        <w:t>​</w:t>
      </w:r>
      <w:r>
        <w:rPr>
          <w:rFonts w:ascii="Arial" w:cs="Arial" w:eastAsia="Arial" w:hAnsi="Arial"/>
          <w:sz w:val="14"/>
          <w:szCs w:val="14"/>
          <w:color w:val="0000EE"/>
        </w:rPr>
        <w:t xml:space="preserve"> of Distribution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4"/>
          <w:szCs w:val="14"/>
          <w:color w:val="0000EE"/>
        </w:rPr>
        <w:t>Legal</w:t>
      </w:r>
      <w:r>
        <w:rPr>
          <w:rFonts w:ascii="Arial" w:cs="Arial" w:eastAsia="Arial" w:hAnsi="Arial"/>
          <w:sz w:val="14"/>
          <w:szCs w:val="14"/>
          <w:color w:val="000000"/>
        </w:rPr>
        <w:t>​</w:t>
      </w:r>
      <w:r>
        <w:rPr>
          <w:rFonts w:ascii="Arial" w:cs="Arial" w:eastAsia="Arial" w:hAnsi="Arial"/>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-5715</wp:posOffset>
            </wp:positionV>
            <wp:extent cx="4062095" cy="153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4"/>
          <w:szCs w:val="14"/>
          <w:u w:val="single" w:color="auto"/>
          <w:color w:val="0000EE"/>
        </w:rPr>
        <w:t>Experts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1</w:t>
      </w:r>
      <w:r>
        <w:rPr>
          <w:rFonts w:ascii="Arial" w:cs="Arial" w:eastAsia="Arial" w:hAnsi="Arial"/>
          <w:sz w:val="14"/>
          <w:szCs w:val="14"/>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2</w:t>
      </w:r>
      <w:r>
        <w:rPr>
          <w:rFonts w:ascii="Arial" w:cs="Arial" w:eastAsia="Arial" w:hAnsi="Arial"/>
          <w:sz w:val="14"/>
          <w:szCs w:val="14"/>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4</w:t>
      </w:r>
      <w:r>
        <w:rPr>
          <w:rFonts w:ascii="Arial" w:cs="Arial" w:eastAsia="Arial" w:hAnsi="Arial"/>
          <w:sz w:val="14"/>
          <w:szCs w:val="14"/>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5</w:t>
      </w:r>
      <w:r>
        <w:rPr>
          <w:rFonts w:ascii="Arial" w:cs="Arial" w:eastAsia="Arial" w:hAnsi="Arial"/>
          <w:sz w:val="14"/>
          <w:szCs w:val="14"/>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6</w:t>
      </w:r>
      <w:r>
        <w:rPr>
          <w:rFonts w:ascii="Arial" w:cs="Arial" w:eastAsia="Arial" w:hAnsi="Arial"/>
          <w:sz w:val="14"/>
          <w:szCs w:val="14"/>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7</w:t>
      </w:r>
      <w:r>
        <w:rPr>
          <w:rFonts w:ascii="Arial" w:cs="Arial" w:eastAsia="Arial" w:hAnsi="Arial"/>
          <w:sz w:val="14"/>
          <w:szCs w:val="14"/>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8</w:t>
      </w:r>
      <w:r>
        <w:rPr>
          <w:rFonts w:ascii="Arial" w:cs="Arial" w:eastAsia="Arial" w:hAnsi="Arial"/>
          <w:sz w:val="14"/>
          <w:szCs w:val="14"/>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9</w:t>
      </w:r>
      <w:r>
        <w:rPr>
          <w:rFonts w:ascii="Arial" w:cs="Arial" w:eastAsia="Arial" w:hAnsi="Arial"/>
          <w:sz w:val="14"/>
          <w:szCs w:val="14"/>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0000EE"/>
        </w:rPr>
        <w:t>9</w:t>
      </w:r>
      <w:r>
        <w:rPr>
          <w:rFonts w:ascii="Arial" w:cs="Arial" w:eastAsia="Arial" w:hAnsi="Arial"/>
          <w:sz w:val="14"/>
          <w:szCs w:val="14"/>
          <w:color w:val="auto"/>
        </w:rPr>
        <w:t>​</w:t>
      </w:r>
    </w:p>
    <w:p>
      <w:pPr>
        <w:sectPr>
          <w:pgSz w:w="11900" w:h="16838" w:orient="portrait"/>
          <w:cols w:equalWidth="0" w:num="2">
            <w:col w:w="6700" w:space="720"/>
            <w:col w:w="1599"/>
          </w:cols>
          <w:pgMar w:left="1440" w:top="107" w:right="1440" w:bottom="1440" w:gutter="0" w:footer="0" w:header="0"/>
        </w:sectPr>
      </w:pPr>
    </w:p>
    <w:bookmarkStart w:id="53" w:name="page54"/>
    <w:bookmarkEnd w:id="5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ABOUT THIS PROSPECTUS</w:t>
      </w:r>
    </w:p>
    <w:p>
      <w:pPr>
        <w:spacing w:after="0" w:line="119" w:lineRule="exact"/>
        <w:rPr>
          <w:sz w:val="20"/>
          <w:szCs w:val="20"/>
          <w:color w:val="auto"/>
        </w:rPr>
      </w:pPr>
    </w:p>
    <w:p>
      <w:pPr>
        <w:ind w:left="1300" w:right="1339"/>
        <w:spacing w:after="0" w:line="275" w:lineRule="auto"/>
        <w:rPr>
          <w:sz w:val="20"/>
          <w:szCs w:val="20"/>
          <w:color w:val="auto"/>
        </w:rPr>
      </w:pPr>
      <w:r>
        <w:rPr>
          <w:rFonts w:ascii="Arial" w:cs="Arial" w:eastAsia="Arial" w:hAnsi="Arial"/>
          <w:sz w:val="13"/>
          <w:szCs w:val="13"/>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77" w:lineRule="exact"/>
        <w:rPr>
          <w:sz w:val="20"/>
          <w:szCs w:val="20"/>
          <w:color w:val="auto"/>
        </w:rPr>
      </w:pPr>
    </w:p>
    <w:p>
      <w:pPr>
        <w:ind w:left="1300" w:right="1359"/>
        <w:spacing w:after="0" w:line="273" w:lineRule="auto"/>
        <w:rPr>
          <w:sz w:val="20"/>
          <w:szCs w:val="20"/>
          <w:color w:val="auto"/>
        </w:rPr>
      </w:pPr>
      <w:r>
        <w:rPr>
          <w:rFonts w:ascii="Arial" w:cs="Arial" w:eastAsia="Arial" w:hAnsi="Arial"/>
          <w:sz w:val="13"/>
          <w:szCs w:val="13"/>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240" w:lineRule="exact"/>
        <w:rPr>
          <w:sz w:val="20"/>
          <w:szCs w:val="20"/>
          <w:color w:val="auto"/>
        </w:rPr>
      </w:pPr>
    </w:p>
    <w:p>
      <w:pPr>
        <w:ind w:left="1300" w:right="1439"/>
        <w:spacing w:after="0" w:line="298" w:lineRule="auto"/>
        <w:rPr>
          <w:sz w:val="20"/>
          <w:szCs w:val="20"/>
          <w:color w:val="auto"/>
        </w:rPr>
      </w:pPr>
      <w:r>
        <w:rPr>
          <w:rFonts w:ascii="Arial" w:cs="Arial" w:eastAsia="Arial" w:hAnsi="Arial"/>
          <w:sz w:val="13"/>
          <w:szCs w:val="13"/>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WHERE YOU CAN FIND MORE</w:t>
      </w:r>
    </w:p>
    <w:p>
      <w:pPr>
        <w:ind w:left="1300"/>
        <w:spacing w:after="0" w:line="234" w:lineRule="auto"/>
        <w:rPr>
          <w:sz w:val="20"/>
          <w:szCs w:val="20"/>
          <w:color w:val="auto"/>
        </w:rPr>
      </w:pPr>
      <w:r>
        <w:rPr>
          <w:rFonts w:ascii="Arial" w:cs="Arial" w:eastAsia="Arial" w:hAnsi="Arial"/>
          <w:sz w:val="31"/>
          <w:szCs w:val="31"/>
          <w:b w:val="1"/>
          <w:bCs w:val="1"/>
          <w:color w:val="auto"/>
        </w:rPr>
        <w:t>INFORMATION;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INCORPORATION BY REFERENCE</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Available Information</w:t>
      </w:r>
    </w:p>
    <w:p>
      <w:pPr>
        <w:spacing w:after="0" w:line="127" w:lineRule="exact"/>
        <w:rPr>
          <w:sz w:val="20"/>
          <w:szCs w:val="20"/>
          <w:color w:val="auto"/>
        </w:rPr>
      </w:pPr>
    </w:p>
    <w:p>
      <w:pPr>
        <w:ind w:left="1300" w:right="1439"/>
        <w:spacing w:after="0" w:line="268" w:lineRule="auto"/>
        <w:rPr>
          <w:sz w:val="20"/>
          <w:szCs w:val="20"/>
          <w:color w:val="auto"/>
        </w:rPr>
      </w:pPr>
      <w:r>
        <w:rPr>
          <w:rFonts w:ascii="Arial" w:cs="Arial" w:eastAsia="Arial" w:hAnsi="Arial"/>
          <w:sz w:val="14"/>
          <w:szCs w:val="14"/>
          <w:color w:val="auto"/>
        </w:rPr>
        <w:t xml:space="preserve">We file reports, proxy statements, and other information with the SEC. The SEC maintains a website at </w:t>
      </w:r>
      <w:r>
        <w:rPr>
          <w:rFonts w:ascii="Arial" w:cs="Arial" w:eastAsia="Arial" w:hAnsi="Arial"/>
          <w:sz w:val="14"/>
          <w:szCs w:val="14"/>
          <w:i w:val="1"/>
          <w:iCs w:val="1"/>
          <w:color w:val="auto"/>
        </w:rPr>
        <w:t>www.sec.gov</w:t>
      </w:r>
      <w:r>
        <w:rPr>
          <w:rFonts w:ascii="Arial" w:cs="Arial" w:eastAsia="Arial" w:hAnsi="Arial"/>
          <w:sz w:val="14"/>
          <w:szCs w:val="14"/>
          <w:color w:val="auto"/>
        </w:rPr>
        <w:t>, from which interested persons can electronically access any document we file</w:t>
      </w:r>
      <w:r>
        <w:rPr>
          <w:rFonts w:ascii="Arial" w:cs="Arial" w:eastAsia="Arial" w:hAnsi="Arial"/>
          <w:sz w:val="14"/>
          <w:szCs w:val="14"/>
          <w:i w:val="1"/>
          <w:iCs w:val="1"/>
          <w:color w:val="auto"/>
        </w:rPr>
        <w:t xml:space="preserve"> </w:t>
      </w:r>
      <w:r>
        <w:rPr>
          <w:rFonts w:ascii="Arial" w:cs="Arial" w:eastAsia="Arial" w:hAnsi="Arial"/>
          <w:sz w:val="14"/>
          <w:szCs w:val="14"/>
          <w:color w:val="auto"/>
        </w:rPr>
        <w:t>electronically with the SEC.</w:t>
      </w:r>
    </w:p>
    <w:p>
      <w:pPr>
        <w:spacing w:after="0" w:line="71" w:lineRule="exact"/>
        <w:rPr>
          <w:sz w:val="20"/>
          <w:szCs w:val="20"/>
          <w:color w:val="auto"/>
        </w:rPr>
      </w:pPr>
    </w:p>
    <w:p>
      <w:pPr>
        <w:ind w:left="1300" w:right="1499"/>
        <w:spacing w:after="0" w:line="286" w:lineRule="auto"/>
        <w:rPr>
          <w:sz w:val="20"/>
          <w:szCs w:val="20"/>
          <w:color w:val="auto"/>
        </w:rPr>
      </w:pPr>
      <w:r>
        <w:rPr>
          <w:rFonts w:ascii="Arial" w:cs="Arial" w:eastAsia="Arial" w:hAnsi="Arial"/>
          <w:sz w:val="14"/>
          <w:szCs w:val="14"/>
          <w:color w:val="auto"/>
        </w:rPr>
        <w:t xml:space="preserve">Our website address is </w:t>
      </w:r>
      <w:r>
        <w:rPr>
          <w:rFonts w:ascii="Arial" w:cs="Arial" w:eastAsia="Arial" w:hAnsi="Arial"/>
          <w:sz w:val="14"/>
          <w:szCs w:val="14"/>
          <w:i w:val="1"/>
          <w:iCs w:val="1"/>
          <w:color w:val="auto"/>
        </w:rPr>
        <w:t>www.micron.com</w:t>
      </w:r>
      <w:r>
        <w:rPr>
          <w:rFonts w:ascii="Arial" w:cs="Arial" w:eastAsia="Arial" w:hAnsi="Arial"/>
          <w:sz w:val="14"/>
          <w:szCs w:val="14"/>
          <w:color w:val="auto"/>
        </w:rPr>
        <w:t>. The information on our website, however, is not, and should not be deemed to be, a part of this prospectus.</w:t>
      </w:r>
    </w:p>
    <w:p>
      <w:pPr>
        <w:spacing w:after="0" w:line="69" w:lineRule="exact"/>
        <w:rPr>
          <w:sz w:val="20"/>
          <w:szCs w:val="20"/>
          <w:color w:val="auto"/>
        </w:rPr>
      </w:pPr>
    </w:p>
    <w:p>
      <w:pPr>
        <w:ind w:left="1300" w:right="1339"/>
        <w:spacing w:after="0" w:line="255" w:lineRule="auto"/>
        <w:rPr>
          <w:sz w:val="20"/>
          <w:szCs w:val="20"/>
          <w:color w:val="auto"/>
        </w:rPr>
      </w:pPr>
      <w:r>
        <w:rPr>
          <w:rFonts w:ascii="Arial" w:cs="Arial" w:eastAsia="Arial" w:hAnsi="Arial"/>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006CB7"/>
        </w:rPr>
        <w:t>Incorporation by Reference</w:t>
      </w:r>
    </w:p>
    <w:p>
      <w:pPr>
        <w:spacing w:after="0" w:line="116" w:lineRule="exact"/>
        <w:rPr>
          <w:sz w:val="20"/>
          <w:szCs w:val="20"/>
          <w:color w:val="auto"/>
        </w:rPr>
      </w:pPr>
    </w:p>
    <w:p>
      <w:pPr>
        <w:ind w:left="1300" w:right="1459"/>
        <w:spacing w:after="0" w:line="256" w:lineRule="auto"/>
        <w:rPr>
          <w:sz w:val="20"/>
          <w:szCs w:val="20"/>
          <w:color w:val="auto"/>
        </w:rPr>
      </w:pPr>
      <w:r>
        <w:rPr>
          <w:rFonts w:ascii="Arial" w:cs="Arial" w:eastAsia="Arial" w:hAnsi="Arial"/>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92" w:lineRule="exact"/>
        <w:rPr>
          <w:sz w:val="20"/>
          <w:szCs w:val="20"/>
          <w:color w:val="auto"/>
        </w:rPr>
      </w:pPr>
    </w:p>
    <w:p>
      <w:pPr>
        <w:ind w:left="1300" w:right="1359"/>
        <w:spacing w:after="0" w:line="256" w:lineRule="auto"/>
        <w:rPr>
          <w:sz w:val="20"/>
          <w:szCs w:val="20"/>
          <w:color w:val="auto"/>
        </w:rPr>
      </w:pPr>
      <w:r>
        <w:rPr>
          <w:rFonts w:ascii="Arial" w:cs="Arial" w:eastAsia="Arial" w:hAnsi="Arial"/>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92" w:lineRule="exact"/>
        <w:rPr>
          <w:sz w:val="20"/>
          <w:szCs w:val="20"/>
          <w:color w:val="auto"/>
        </w:rPr>
      </w:pPr>
    </w:p>
    <w:p>
      <w:pPr>
        <w:ind w:left="1300" w:right="1339"/>
        <w:spacing w:after="0" w:line="286" w:lineRule="auto"/>
        <w:rPr>
          <w:sz w:val="20"/>
          <w:szCs w:val="20"/>
          <w:color w:val="auto"/>
        </w:rPr>
      </w:pPr>
      <w:r>
        <w:rPr>
          <w:rFonts w:ascii="Arial" w:cs="Arial" w:eastAsia="Arial" w:hAnsi="Arial"/>
          <w:sz w:val="14"/>
          <w:szCs w:val="14"/>
          <w:color w:val="auto"/>
        </w:rPr>
        <w:t>This prospectus and any accompanying prospectus supplement incorporate by reference the documents set forth below that have previously been filed with the SEC:</w:t>
      </w:r>
    </w:p>
    <w:p>
      <w:pPr>
        <w:spacing w:after="0" w:line="37" w:lineRule="exact"/>
        <w:rPr>
          <w:sz w:val="20"/>
          <w:szCs w:val="20"/>
          <w:color w:val="auto"/>
        </w:rPr>
      </w:pPr>
    </w:p>
    <w:p>
      <w:pPr>
        <w:ind w:left="1720" w:right="1359" w:hanging="134"/>
        <w:spacing w:after="0" w:line="286" w:lineRule="auto"/>
        <w:tabs>
          <w:tab w:leader="none" w:pos="1720" w:val="left"/>
        </w:tabs>
        <w:numPr>
          <w:ilvl w:val="0"/>
          <w:numId w:val="41"/>
        </w:numPr>
        <w:rPr>
          <w:rFonts w:ascii="Arial" w:cs="Arial" w:eastAsia="Arial" w:hAnsi="Arial"/>
          <w:sz w:val="14"/>
          <w:szCs w:val="14"/>
          <w:u w:val="single" w:color="auto"/>
          <w:color w:val="0000EE"/>
        </w:rPr>
      </w:pPr>
      <w:hyperlink r:id="rId117">
        <w:r>
          <w:rPr>
            <w:rFonts w:ascii="Arial" w:cs="Arial" w:eastAsia="Arial" w:hAnsi="Arial"/>
            <w:sz w:val="14"/>
            <w:szCs w:val="14"/>
            <w:u w:val="single" w:color="auto"/>
            <w:color w:val="0000EE"/>
          </w:rPr>
          <w:t>Our Annual Report on Form 10-K for the fiscal year ended August 31, 2023, filed with the SEC on</w:t>
        </w:r>
      </w:hyperlink>
      <w:r>
        <w:rPr>
          <w:rFonts w:ascii="Arial" w:cs="Arial" w:eastAsia="Arial" w:hAnsi="Arial"/>
          <w:sz w:val="14"/>
          <w:szCs w:val="14"/>
          <w:u w:val="single" w:color="auto"/>
          <w:color w:val="0000EE"/>
        </w:rPr>
        <w:t xml:space="preserve"> </w:t>
      </w:r>
      <w:hyperlink r:id="rId117">
        <w:r>
          <w:rPr>
            <w:rFonts w:ascii="Arial" w:cs="Arial" w:eastAsia="Arial" w:hAnsi="Arial"/>
            <w:sz w:val="14"/>
            <w:szCs w:val="14"/>
            <w:u w:val="single" w:color="auto"/>
            <w:color w:val="0000EE"/>
          </w:rPr>
          <w:t>October 6, 2023.</w:t>
        </w:r>
      </w:hyperlink>
    </w:p>
    <w:p>
      <w:pPr>
        <w:spacing w:after="0" w:line="37" w:lineRule="exact"/>
        <w:rPr>
          <w:rFonts w:ascii="Arial" w:cs="Arial" w:eastAsia="Arial" w:hAnsi="Arial"/>
          <w:sz w:val="14"/>
          <w:szCs w:val="14"/>
          <w:u w:val="single" w:color="auto"/>
          <w:color w:val="0000EE"/>
        </w:rPr>
      </w:pPr>
    </w:p>
    <w:p>
      <w:pPr>
        <w:ind w:left="1720" w:right="1399" w:hanging="134"/>
        <w:spacing w:after="0" w:line="268" w:lineRule="auto"/>
        <w:tabs>
          <w:tab w:leader="none" w:pos="1720" w:val="left"/>
        </w:tabs>
        <w:numPr>
          <w:ilvl w:val="0"/>
          <w:numId w:val="41"/>
        </w:numPr>
        <w:rPr>
          <w:rFonts w:ascii="Arial" w:cs="Arial" w:eastAsia="Arial" w:hAnsi="Arial"/>
          <w:sz w:val="14"/>
          <w:szCs w:val="14"/>
          <w:u w:val="single" w:color="auto"/>
          <w:color w:val="0000EE"/>
        </w:rPr>
      </w:pPr>
      <w:hyperlink r:id="rId118">
        <w:r>
          <w:rPr>
            <w:rFonts w:ascii="Arial" w:cs="Arial" w:eastAsia="Arial" w:hAnsi="Arial"/>
            <w:sz w:val="14"/>
            <w:szCs w:val="14"/>
            <w:color w:val="auto"/>
          </w:rPr>
          <w:t xml:space="preserve">Information specifically incorporated by reference into our </w:t>
        </w:r>
        <w:r>
          <w:rPr>
            <w:rFonts w:ascii="Arial" w:cs="Arial" w:eastAsia="Arial" w:hAnsi="Arial"/>
            <w:sz w:val="14"/>
            <w:szCs w:val="14"/>
            <w:u w:val="single" w:color="auto"/>
            <w:color w:val="0000EE"/>
          </w:rPr>
          <w:t>Annual Report on Form 10-K for the</w:t>
        </w:r>
      </w:hyperlink>
      <w:r>
        <w:rPr>
          <w:rFonts w:ascii="Arial" w:cs="Arial" w:eastAsia="Arial" w:hAnsi="Arial"/>
          <w:sz w:val="14"/>
          <w:szCs w:val="14"/>
          <w:color w:val="auto"/>
        </w:rPr>
        <w:t xml:space="preserve"> </w:t>
      </w:r>
      <w:hyperlink r:id="rId119">
        <w:r>
          <w:rPr>
            <w:rFonts w:ascii="Arial" w:cs="Arial" w:eastAsia="Arial" w:hAnsi="Arial"/>
            <w:sz w:val="14"/>
            <w:szCs w:val="14"/>
            <w:u w:val="single" w:color="auto"/>
            <w:color w:val="0000EE"/>
          </w:rPr>
          <w:t>fiscal year ended September 1, 2022</w:t>
        </w:r>
        <w:r>
          <w:rPr>
            <w:rFonts w:ascii="Arial" w:cs="Arial" w:eastAsia="Arial" w:hAnsi="Arial"/>
            <w:sz w:val="14"/>
            <w:szCs w:val="14"/>
            <w:color w:val="0000EE"/>
          </w:rPr>
          <w:t xml:space="preserve"> </w:t>
        </w:r>
        <w:r>
          <w:rPr>
            <w:rFonts w:ascii="Arial" w:cs="Arial" w:eastAsia="Arial" w:hAnsi="Arial"/>
            <w:sz w:val="14"/>
            <w:szCs w:val="14"/>
            <w:color w:val="000000"/>
          </w:rPr>
          <w:t>from our</w:t>
        </w:r>
        <w:r>
          <w:rPr>
            <w:rFonts w:ascii="Arial" w:cs="Arial" w:eastAsia="Arial" w:hAnsi="Arial"/>
            <w:sz w:val="14"/>
            <w:szCs w:val="14"/>
            <w:color w:val="0000EE"/>
          </w:rPr>
          <w:t xml:space="preserve"> </w:t>
        </w:r>
        <w:r>
          <w:rPr>
            <w:rFonts w:ascii="Arial" w:cs="Arial" w:eastAsia="Arial" w:hAnsi="Arial"/>
            <w:sz w:val="14"/>
            <w:szCs w:val="14"/>
            <w:u w:val="single" w:color="auto"/>
            <w:color w:val="0000EE"/>
          </w:rPr>
          <w:t>Definitive Proxy Statement on Schedule 14A, filed</w:t>
        </w:r>
      </w:hyperlink>
      <w:r>
        <w:rPr>
          <w:rFonts w:ascii="Arial" w:cs="Arial" w:eastAsia="Arial" w:hAnsi="Arial"/>
          <w:sz w:val="14"/>
          <w:szCs w:val="14"/>
          <w:color w:val="0000EE"/>
        </w:rPr>
        <w:t xml:space="preserve"> </w:t>
      </w:r>
      <w:hyperlink r:id="rId119">
        <w:r>
          <w:rPr>
            <w:rFonts w:ascii="Arial" w:cs="Arial" w:eastAsia="Arial" w:hAnsi="Arial"/>
            <w:sz w:val="14"/>
            <w:szCs w:val="14"/>
            <w:u w:val="single" w:color="auto"/>
            <w:color w:val="0000EE"/>
          </w:rPr>
          <w:t>with the SEC on December 2, 2022.</w:t>
        </w:r>
      </w:hyperlink>
    </w:p>
    <w:p>
      <w:pPr>
        <w:spacing w:after="0" w:line="49" w:lineRule="exact"/>
        <w:rPr>
          <w:rFonts w:ascii="Arial" w:cs="Arial" w:eastAsia="Arial" w:hAnsi="Arial"/>
          <w:sz w:val="14"/>
          <w:szCs w:val="14"/>
          <w:u w:val="single" w:color="auto"/>
          <w:color w:val="0000EE"/>
        </w:rPr>
      </w:pPr>
    </w:p>
    <w:p>
      <w:pPr>
        <w:ind w:left="1720" w:right="1539" w:hanging="134"/>
        <w:spacing w:after="0" w:line="268" w:lineRule="auto"/>
        <w:tabs>
          <w:tab w:leader="none" w:pos="17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The description of our common stock, par value $0.10 per share, contained in our registration statement on </w:t>
      </w:r>
      <w:hyperlink r:id="rId120">
        <w:r>
          <w:rPr>
            <w:rFonts w:ascii="Arial" w:cs="Arial" w:eastAsia="Arial" w:hAnsi="Arial"/>
            <w:sz w:val="14"/>
            <w:szCs w:val="14"/>
            <w:u w:val="single" w:color="auto"/>
            <w:color w:val="0000EE"/>
          </w:rPr>
          <w:t>Form 8-A, filed with the SEC on December 21, 2009</w:t>
        </w:r>
      </w:hyperlink>
      <w:r>
        <w:rPr>
          <w:rFonts w:ascii="Arial" w:cs="Arial" w:eastAsia="Arial" w:hAnsi="Arial"/>
          <w:sz w:val="14"/>
          <w:szCs w:val="14"/>
          <w:color w:val="auto"/>
        </w:rPr>
        <w:t>, including any subsequently filed amendments and reports updating such description.</w:t>
      </w:r>
    </w:p>
    <w:p>
      <w:pPr>
        <w:spacing w:after="0" w:line="81" w:lineRule="exact"/>
        <w:rPr>
          <w:rFonts w:ascii="Arial" w:cs="Arial" w:eastAsia="Arial" w:hAnsi="Arial"/>
          <w:sz w:val="14"/>
          <w:szCs w:val="14"/>
          <w:color w:val="0000EE"/>
        </w:rPr>
      </w:pPr>
    </w:p>
    <w:p>
      <w:pPr>
        <w:ind w:left="1300" w:right="1359"/>
        <w:spacing w:after="0" w:line="286" w:lineRule="auto"/>
        <w:rPr>
          <w:sz w:val="20"/>
          <w:szCs w:val="20"/>
          <w:color w:val="auto"/>
        </w:rPr>
      </w:pPr>
      <w:r>
        <w:rPr>
          <w:rFonts w:ascii="Arial" w:cs="Arial" w:eastAsia="Arial" w:hAnsi="Arial"/>
          <w:sz w:val="14"/>
          <w:szCs w:val="14"/>
          <w:color w:val="auto"/>
        </w:rPr>
        <w:t>All reports and other documents we subsequently file pursuant to Section 13(a), 13(c), 14 or 15(d) of the Exchange Act prior to the termination of this offering but excluding any information furnished to,</w:t>
      </w:r>
    </w:p>
    <w:p>
      <w:pPr>
        <w:spacing w:after="0" w:line="258" w:lineRule="exact"/>
        <w:rPr>
          <w:rFonts w:ascii="Arial" w:cs="Arial" w:eastAsia="Arial" w:hAnsi="Arial"/>
          <w:sz w:val="14"/>
          <w:szCs w:val="14"/>
          <w:color w:val="0000EE"/>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rFonts w:ascii="Arial" w:cs="Arial" w:eastAsia="Arial" w:hAnsi="Arial"/>
          <w:sz w:val="14"/>
          <w:szCs w:val="14"/>
          <w:color w:val="0000EE"/>
        </w:rPr>
      </w:pPr>
      <w:r>
        <w:rPr>
          <w:rFonts w:ascii="Arial" w:cs="Arial" w:eastAsia="Arial" w:hAnsi="Arial"/>
          <w:sz w:val="14"/>
          <w:szCs w:val="14"/>
          <w:color w:val="0000EE"/>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5" w:name="page56"/>
    <w:bookmarkEnd w:id="5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86" w:lineRule="auto"/>
        <w:rPr>
          <w:sz w:val="20"/>
          <w:szCs w:val="20"/>
          <w:color w:val="auto"/>
        </w:rPr>
      </w:pPr>
      <w:r>
        <w:rPr>
          <w:rFonts w:ascii="Arial" w:cs="Arial" w:eastAsia="Arial" w:hAnsi="Arial"/>
          <w:sz w:val="14"/>
          <w:szCs w:val="14"/>
          <w:color w:val="auto"/>
        </w:rPr>
        <w:t>rather than filed with, the SEC, will also be incorporated by reference into this prospectus and deemed to be part of this prospectus from the date of the filing of such reports and documents.</w:t>
      </w:r>
    </w:p>
    <w:p>
      <w:pPr>
        <w:spacing w:after="0" w:line="69" w:lineRule="exact"/>
        <w:rPr>
          <w:sz w:val="20"/>
          <w:szCs w:val="20"/>
          <w:color w:val="auto"/>
        </w:rPr>
      </w:pPr>
    </w:p>
    <w:p>
      <w:pPr>
        <w:ind w:left="1300" w:right="1339"/>
        <w:spacing w:after="0" w:line="268" w:lineRule="auto"/>
        <w:rPr>
          <w:sz w:val="20"/>
          <w:szCs w:val="20"/>
          <w:color w:val="auto"/>
        </w:rPr>
      </w:pPr>
      <w:r>
        <w:rPr>
          <w:rFonts w:ascii="Arial" w:cs="Arial" w:eastAsia="Arial" w:hAnsi="Arial"/>
          <w:sz w:val="14"/>
          <w:szCs w:val="14"/>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81"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Micron Technology, Inc.</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8000 South Federal Way</w:t>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Boise, Idaho 83716-9632</w:t>
      </w:r>
    </w:p>
    <w:p>
      <w:pPr>
        <w:spacing w:after="0" w:line="7"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(208) 368-4000</w:t>
      </w:r>
    </w:p>
    <w:p>
      <w:pPr>
        <w:spacing w:after="0" w:line="99" w:lineRule="exact"/>
        <w:rPr>
          <w:sz w:val="20"/>
          <w:szCs w:val="20"/>
          <w:color w:val="auto"/>
        </w:rPr>
      </w:pPr>
    </w:p>
    <w:p>
      <w:pPr>
        <w:ind w:left="1300" w:right="1379"/>
        <w:spacing w:after="0" w:line="286" w:lineRule="auto"/>
        <w:rPr>
          <w:sz w:val="20"/>
          <w:szCs w:val="20"/>
          <w:color w:val="auto"/>
        </w:rPr>
      </w:pPr>
      <w:r>
        <w:rPr>
          <w:rFonts w:ascii="Arial" w:cs="Arial" w:eastAsia="Arial" w:hAnsi="Arial"/>
          <w:sz w:val="14"/>
          <w:szCs w:val="14"/>
          <w:color w:val="auto"/>
        </w:rPr>
        <w:t>Exhibits to the filings will not be sent, however, unless those exhibits have specifically been incorporated by reference in this prospectus or any accompanying prospectus supplement.</w:t>
      </w:r>
    </w:p>
    <w:p>
      <w:pPr>
        <w:spacing w:after="0" w:line="69" w:lineRule="exact"/>
        <w:rPr>
          <w:sz w:val="20"/>
          <w:szCs w:val="20"/>
          <w:color w:val="auto"/>
        </w:rPr>
      </w:pPr>
    </w:p>
    <w:p>
      <w:pPr>
        <w:ind w:left="1300" w:right="1939"/>
        <w:spacing w:after="0" w:line="327" w:lineRule="auto"/>
        <w:rPr>
          <w:sz w:val="20"/>
          <w:szCs w:val="20"/>
          <w:color w:val="auto"/>
        </w:rPr>
      </w:pPr>
      <w:r>
        <w:rPr>
          <w:rFonts w:ascii="Arial" w:cs="Arial" w:eastAsia="Arial" w:hAnsi="Arial"/>
          <w:sz w:val="13"/>
          <w:szCs w:val="13"/>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6" w:name="page57"/>
    <w:bookmarkEnd w:id="5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THE COMPANY</w:t>
      </w:r>
    </w:p>
    <w:p>
      <w:pPr>
        <w:spacing w:after="0" w:line="119" w:lineRule="exact"/>
        <w:rPr>
          <w:sz w:val="20"/>
          <w:szCs w:val="20"/>
          <w:color w:val="auto"/>
        </w:rPr>
      </w:pPr>
    </w:p>
    <w:p>
      <w:pPr>
        <w:ind w:left="1300" w:right="1379"/>
        <w:spacing w:after="0" w:line="239" w:lineRule="auto"/>
        <w:rPr>
          <w:sz w:val="20"/>
          <w:szCs w:val="20"/>
          <w:color w:val="auto"/>
        </w:rPr>
      </w:pPr>
      <w:r>
        <w:rPr>
          <w:rFonts w:ascii="Arial" w:cs="Arial" w:eastAsia="Arial" w:hAnsi="Arial"/>
          <w:sz w:val="14"/>
          <w:szCs w:val="14"/>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Crucial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02" w:lineRule="exact"/>
        <w:rPr>
          <w:sz w:val="20"/>
          <w:szCs w:val="20"/>
          <w:color w:val="auto"/>
        </w:rPr>
      </w:pPr>
    </w:p>
    <w:p>
      <w:pPr>
        <w:ind w:left="1300" w:right="1319"/>
        <w:spacing w:after="0" w:line="253"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88" w:lineRule="exact"/>
        <w:rPr>
          <w:sz w:val="20"/>
          <w:szCs w:val="20"/>
          <w:color w:val="auto"/>
        </w:rPr>
      </w:pPr>
    </w:p>
    <w:p>
      <w:pPr>
        <w:jc w:val="both"/>
        <w:ind w:left="1300" w:right="1619"/>
        <w:spacing w:after="0" w:line="298" w:lineRule="auto"/>
        <w:rPr>
          <w:sz w:val="20"/>
          <w:szCs w:val="20"/>
          <w:color w:val="auto"/>
        </w:rPr>
      </w:pPr>
      <w:r>
        <w:rPr>
          <w:rFonts w:ascii="Arial" w:cs="Arial" w:eastAsia="Arial" w:hAnsi="Arial"/>
          <w:sz w:val="13"/>
          <w:szCs w:val="13"/>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7" w:name="page58"/>
    <w:bookmarkEnd w:id="5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RISK FACTORS</w:t>
      </w:r>
    </w:p>
    <w:p>
      <w:pPr>
        <w:spacing w:after="0" w:line="119" w:lineRule="exact"/>
        <w:rPr>
          <w:sz w:val="20"/>
          <w:szCs w:val="20"/>
          <w:color w:val="auto"/>
        </w:rPr>
      </w:pPr>
    </w:p>
    <w:p>
      <w:pPr>
        <w:ind w:left="1300" w:right="1359"/>
        <w:spacing w:after="0" w:line="255" w:lineRule="auto"/>
        <w:rPr>
          <w:sz w:val="20"/>
          <w:szCs w:val="20"/>
          <w:color w:val="auto"/>
        </w:rPr>
      </w:pPr>
      <w:r>
        <w:rPr>
          <w:rFonts w:ascii="Arial" w:cs="Arial" w:eastAsia="Arial" w:hAnsi="Arial"/>
          <w:sz w:val="14"/>
          <w:szCs w:val="14"/>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8" w:name="page59"/>
    <w:bookmarkEnd w:id="5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USE OF PROCEEDS</w:t>
      </w:r>
    </w:p>
    <w:p>
      <w:pPr>
        <w:spacing w:after="0" w:line="119" w:lineRule="exact"/>
        <w:rPr>
          <w:sz w:val="20"/>
          <w:szCs w:val="20"/>
          <w:color w:val="auto"/>
        </w:rPr>
      </w:pPr>
    </w:p>
    <w:p>
      <w:pPr>
        <w:ind w:left="1300" w:right="2019"/>
        <w:spacing w:after="0" w:line="286" w:lineRule="auto"/>
        <w:rPr>
          <w:sz w:val="20"/>
          <w:szCs w:val="20"/>
          <w:color w:val="auto"/>
        </w:rPr>
      </w:pPr>
      <w:r>
        <w:rPr>
          <w:rFonts w:ascii="Arial" w:cs="Arial" w:eastAsia="Arial" w:hAnsi="Arial"/>
          <w:sz w:val="14"/>
          <w:szCs w:val="14"/>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9" w:name="page60"/>
    <w:bookmarkEnd w:id="5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DESCRIPTION OF SECURITIES</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We may issue from time to time, in one or more offerings, the following securities:</w:t>
      </w:r>
    </w:p>
    <w:p>
      <w:pPr>
        <w:spacing w:after="0" w:line="92" w:lineRule="exact"/>
        <w:rPr>
          <w:sz w:val="20"/>
          <w:szCs w:val="20"/>
          <w:color w:val="auto"/>
        </w:rPr>
      </w:pPr>
    </w:p>
    <w:p>
      <w:pPr>
        <w:ind w:left="1720" w:hanging="134"/>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of common stock, par value $0.10 per share, of the Company;</w:t>
      </w:r>
    </w:p>
    <w:p>
      <w:pPr>
        <w:spacing w:after="0" w:line="91" w:lineRule="exact"/>
        <w:rPr>
          <w:rFonts w:ascii="Arial" w:cs="Arial" w:eastAsia="Arial" w:hAnsi="Arial"/>
          <w:sz w:val="14"/>
          <w:szCs w:val="14"/>
          <w:color w:val="auto"/>
        </w:rPr>
      </w:pPr>
    </w:p>
    <w:p>
      <w:pPr>
        <w:ind w:left="1720" w:right="1679" w:hanging="134"/>
        <w:spacing w:after="0" w:line="286" w:lineRule="auto"/>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debt securities, which may be senior or subordinated, and which may be convertible into our common stock or be non-convertible;</w:t>
      </w:r>
    </w:p>
    <w:p>
      <w:pPr>
        <w:spacing w:after="0" w:line="37" w:lineRule="exact"/>
        <w:rPr>
          <w:rFonts w:ascii="Arial" w:cs="Arial" w:eastAsia="Arial" w:hAnsi="Arial"/>
          <w:sz w:val="14"/>
          <w:szCs w:val="14"/>
          <w:color w:val="auto"/>
        </w:rPr>
      </w:pPr>
    </w:p>
    <w:p>
      <w:pPr>
        <w:ind w:left="1720" w:hanging="134"/>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warrants;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purchase contracts; and</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units.</w:t>
      </w:r>
    </w:p>
    <w:p>
      <w:pPr>
        <w:spacing w:after="0" w:line="123" w:lineRule="exact"/>
        <w:rPr>
          <w:sz w:val="20"/>
          <w:szCs w:val="20"/>
          <w:color w:val="auto"/>
        </w:rPr>
      </w:pPr>
    </w:p>
    <w:p>
      <w:pPr>
        <w:ind w:left="1300" w:right="1459"/>
        <w:spacing w:after="0" w:line="268" w:lineRule="auto"/>
        <w:rPr>
          <w:sz w:val="20"/>
          <w:szCs w:val="20"/>
          <w:color w:val="auto"/>
        </w:rPr>
      </w:pPr>
      <w:r>
        <w:rPr>
          <w:rFonts w:ascii="Arial" w:cs="Arial" w:eastAsia="Arial" w:hAnsi="Arial"/>
          <w:sz w:val="14"/>
          <w:szCs w:val="14"/>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71" w:lineRule="exact"/>
        <w:rPr>
          <w:sz w:val="20"/>
          <w:szCs w:val="20"/>
          <w:color w:val="auto"/>
        </w:rPr>
      </w:pPr>
    </w:p>
    <w:p>
      <w:pPr>
        <w:ind w:left="1300" w:right="1419"/>
        <w:spacing w:after="0" w:line="259" w:lineRule="auto"/>
        <w:rPr>
          <w:sz w:val="20"/>
          <w:szCs w:val="20"/>
          <w:color w:val="auto"/>
        </w:rPr>
      </w:pPr>
      <w:r>
        <w:rPr>
          <w:rFonts w:ascii="Arial" w:cs="Arial" w:eastAsia="Arial" w:hAnsi="Arial"/>
          <w:sz w:val="14"/>
          <w:szCs w:val="14"/>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0" w:name="page61"/>
    <w:bookmarkEnd w:id="6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PLAN OF DISTRIBUTION</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We may sell the offered securities from time to time:</w:t>
      </w:r>
    </w:p>
    <w:p>
      <w:pPr>
        <w:spacing w:after="0" w:line="92" w:lineRule="exact"/>
        <w:rPr>
          <w:sz w:val="20"/>
          <w:szCs w:val="20"/>
          <w:color w:val="auto"/>
        </w:rPr>
      </w:pPr>
    </w:p>
    <w:p>
      <w:pPr>
        <w:ind w:left="1720" w:hanging="134"/>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through underwriters or dealers;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through agents;</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directly to one or more purchasers; or</w:t>
      </w:r>
    </w:p>
    <w:p>
      <w:pPr>
        <w:spacing w:after="0" w:line="91" w:lineRule="exact"/>
        <w:rPr>
          <w:rFonts w:ascii="Arial" w:cs="Arial" w:eastAsia="Arial" w:hAnsi="Arial"/>
          <w:sz w:val="14"/>
          <w:szCs w:val="14"/>
          <w:color w:val="auto"/>
        </w:rPr>
      </w:pPr>
    </w:p>
    <w:p>
      <w:pPr>
        <w:ind w:left="1720" w:hanging="134"/>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through a combination of any of these methods of sale.</w:t>
      </w:r>
    </w:p>
    <w:p>
      <w:pPr>
        <w:spacing w:after="0" w:line="123" w:lineRule="exact"/>
        <w:rPr>
          <w:sz w:val="20"/>
          <w:szCs w:val="20"/>
          <w:color w:val="auto"/>
        </w:rPr>
      </w:pPr>
    </w:p>
    <w:p>
      <w:pPr>
        <w:ind w:left="1300" w:right="1659"/>
        <w:spacing w:after="0" w:line="286" w:lineRule="auto"/>
        <w:rPr>
          <w:sz w:val="20"/>
          <w:szCs w:val="20"/>
          <w:color w:val="auto"/>
        </w:rPr>
      </w:pPr>
      <w:r>
        <w:rPr>
          <w:rFonts w:ascii="Arial" w:cs="Arial" w:eastAsia="Arial" w:hAnsi="Arial"/>
          <w:sz w:val="14"/>
          <w:szCs w:val="14"/>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1" w:name="page62"/>
    <w:bookmarkEnd w:id="6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LEGAL MATTERS</w:t>
      </w:r>
    </w:p>
    <w:p>
      <w:pPr>
        <w:spacing w:after="0" w:line="119" w:lineRule="exact"/>
        <w:rPr>
          <w:sz w:val="20"/>
          <w:szCs w:val="20"/>
          <w:color w:val="auto"/>
        </w:rPr>
      </w:pPr>
    </w:p>
    <w:p>
      <w:pPr>
        <w:ind w:left="1300" w:right="1379"/>
        <w:spacing w:after="0" w:line="262" w:lineRule="auto"/>
        <w:rPr>
          <w:sz w:val="20"/>
          <w:szCs w:val="20"/>
          <w:color w:val="auto"/>
        </w:rPr>
      </w:pPr>
      <w:r>
        <w:rPr>
          <w:rFonts w:ascii="Arial" w:cs="Arial" w:eastAsia="Arial" w:hAnsi="Arial"/>
          <w:sz w:val="14"/>
          <w:szCs w:val="14"/>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EXPERTS</w:t>
      </w:r>
    </w:p>
    <w:p>
      <w:pPr>
        <w:spacing w:after="0" w:line="119" w:lineRule="exact"/>
        <w:rPr>
          <w:sz w:val="20"/>
          <w:szCs w:val="20"/>
          <w:color w:val="auto"/>
        </w:rPr>
      </w:pPr>
    </w:p>
    <w:p>
      <w:pPr>
        <w:ind w:left="1300" w:right="1359"/>
        <w:spacing w:after="0" w:line="258" w:lineRule="auto"/>
        <w:rPr>
          <w:sz w:val="20"/>
          <w:szCs w:val="20"/>
          <w:color w:val="auto"/>
        </w:rPr>
      </w:pPr>
      <w:r>
        <w:rPr>
          <w:rFonts w:ascii="Arial" w:cs="Arial" w:eastAsia="Arial" w:hAnsi="Arial"/>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August 31, 2023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2" w:name="page63"/>
    <w:bookmarkEnd w:id="62"/>
    <w:p>
      <w:pPr>
        <w:ind w:left="32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-3810</wp:posOffset>
            </wp:positionV>
            <wp:extent cx="4062095"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4062095" cy="1333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41910</wp:posOffset>
            </wp:positionV>
            <wp:extent cx="40620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40620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454025</wp:posOffset>
            </wp:positionV>
            <wp:extent cx="2004695" cy="421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2004695" cy="42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5.80%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325755</wp:posOffset>
            </wp:positionV>
            <wp:extent cx="9620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180975</wp:posOffset>
            </wp:positionV>
            <wp:extent cx="9620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Joint Book-Running Managers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Morgan Stanley  BNP PARIBAS  J.P. Morgan  Wells Fargo Securities</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1580" w:type="dxa"/>
            <w:vAlign w:val="bottom"/>
            <w:gridSpan w:val="2"/>
          </w:tcPr>
          <w:p>
            <w:pPr>
              <w:spacing w:after="0"/>
              <w:rPr>
                <w:sz w:val="20"/>
                <w:szCs w:val="20"/>
                <w:color w:val="auto"/>
              </w:rPr>
            </w:pPr>
            <w:r>
              <w:rPr>
                <w:rFonts w:ascii="Arial" w:cs="Arial" w:eastAsia="Arial" w:hAnsi="Arial"/>
                <w:sz w:val="20"/>
                <w:szCs w:val="20"/>
                <w:b w:val="1"/>
                <w:bCs w:val="1"/>
                <w:color w:val="auto"/>
              </w:rPr>
              <w:t>ANZ Securities</w:t>
            </w:r>
          </w:p>
        </w:tc>
        <w:tc>
          <w:tcPr>
            <w:tcW w:w="2120" w:type="dxa"/>
            <w:vAlign w:val="bottom"/>
            <w:gridSpan w:val="2"/>
          </w:tcPr>
          <w:p>
            <w:pPr>
              <w:jc w:val="center"/>
              <w:ind w:right="104"/>
              <w:spacing w:after="0"/>
              <w:rPr>
                <w:sz w:val="20"/>
                <w:szCs w:val="20"/>
                <w:color w:val="auto"/>
              </w:rPr>
            </w:pPr>
            <w:r>
              <w:rPr>
                <w:rFonts w:ascii="Arial" w:cs="Arial" w:eastAsia="Arial" w:hAnsi="Arial"/>
                <w:sz w:val="20"/>
                <w:szCs w:val="20"/>
                <w:b w:val="1"/>
                <w:bCs w:val="1"/>
                <w:color w:val="auto"/>
                <w:w w:val="98"/>
              </w:rPr>
              <w:t>BofA Securities</w:t>
            </w:r>
          </w:p>
        </w:tc>
        <w:tc>
          <w:tcPr>
            <w:tcW w:w="1780" w:type="dxa"/>
            <w:vAlign w:val="bottom"/>
            <w:gridSpan w:val="2"/>
          </w:tcPr>
          <w:p>
            <w:pPr>
              <w:ind w:left="60"/>
              <w:spacing w:after="0"/>
              <w:rPr>
                <w:sz w:val="20"/>
                <w:szCs w:val="20"/>
                <w:color w:val="auto"/>
              </w:rPr>
            </w:pPr>
            <w:r>
              <w:rPr>
                <w:rFonts w:ascii="Arial" w:cs="Arial" w:eastAsia="Arial" w:hAnsi="Arial"/>
                <w:sz w:val="20"/>
                <w:szCs w:val="20"/>
                <w:b w:val="1"/>
                <w:bCs w:val="1"/>
                <w:color w:val="auto"/>
              </w:rPr>
              <w:t>COMMERZBANK</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Mizuho</w:t>
            </w:r>
          </w:p>
        </w:tc>
      </w:tr>
      <w:tr>
        <w:trPr>
          <w:trHeight w:val="337"/>
        </w:trPr>
        <w:tc>
          <w:tcPr>
            <w:tcW w:w="660" w:type="dxa"/>
            <w:vAlign w:val="bottom"/>
          </w:tcPr>
          <w:p>
            <w:pPr>
              <w:spacing w:after="0"/>
              <w:rPr>
                <w:sz w:val="20"/>
                <w:szCs w:val="20"/>
                <w:color w:val="auto"/>
              </w:rPr>
            </w:pPr>
            <w:r>
              <w:rPr>
                <w:rFonts w:ascii="Arial" w:cs="Arial" w:eastAsia="Arial" w:hAnsi="Arial"/>
                <w:sz w:val="20"/>
                <w:szCs w:val="20"/>
                <w:b w:val="1"/>
                <w:bCs w:val="1"/>
                <w:color w:val="auto"/>
              </w:rPr>
              <w:t>​</w:t>
            </w:r>
          </w:p>
        </w:tc>
        <w:tc>
          <w:tcPr>
            <w:tcW w:w="1640" w:type="dxa"/>
            <w:vAlign w:val="bottom"/>
            <w:gridSpan w:val="2"/>
          </w:tcPr>
          <w:p>
            <w:pPr>
              <w:jc w:val="center"/>
              <w:ind w:left="83"/>
              <w:spacing w:after="0"/>
              <w:rPr>
                <w:sz w:val="20"/>
                <w:szCs w:val="20"/>
                <w:color w:val="auto"/>
              </w:rPr>
            </w:pPr>
            <w:r>
              <w:rPr>
                <w:rFonts w:ascii="Arial" w:cs="Arial" w:eastAsia="Arial" w:hAnsi="Arial"/>
                <w:sz w:val="20"/>
                <w:szCs w:val="20"/>
                <w:b w:val="1"/>
                <w:bCs w:val="1"/>
                <w:color w:val="auto"/>
                <w:w w:val="95"/>
              </w:rPr>
              <w:t>MUFG</w:t>
            </w:r>
          </w:p>
        </w:tc>
        <w:tc>
          <w:tcPr>
            <w:tcW w:w="1400" w:type="dxa"/>
            <w:vAlign w:val="bottom"/>
          </w:tcPr>
          <w:p>
            <w:pPr>
              <w:ind w:left="860"/>
              <w:spacing w:after="0"/>
              <w:rPr>
                <w:sz w:val="20"/>
                <w:szCs w:val="20"/>
                <w:color w:val="auto"/>
              </w:rPr>
            </w:pPr>
            <w:r>
              <w:rPr>
                <w:rFonts w:ascii="Arial" w:cs="Arial" w:eastAsia="Arial" w:hAnsi="Arial"/>
                <w:sz w:val="20"/>
                <w:szCs w:val="20"/>
                <w:b w:val="1"/>
                <w:bCs w:val="1"/>
                <w:color w:val="auto"/>
              </w:rPr>
              <w:t>​ ​</w:t>
            </w:r>
          </w:p>
        </w:tc>
        <w:tc>
          <w:tcPr>
            <w:tcW w:w="5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7"/>
              </w:rPr>
              <w:t>US Bancorp</w:t>
            </w:r>
          </w:p>
        </w:tc>
        <w:tc>
          <w:tcPr>
            <w:tcW w:w="980" w:type="dxa"/>
            <w:vAlign w:val="bottom"/>
          </w:tcPr>
          <w:p>
            <w:pPr>
              <w:ind w:left="920"/>
              <w:spacing w:after="0"/>
              <w:rPr>
                <w:sz w:val="20"/>
                <w:szCs w:val="20"/>
                <w:color w:val="auto"/>
              </w:rPr>
            </w:pPr>
            <w:r>
              <w:rPr>
                <w:rFonts w:ascii="Arial" w:cs="Arial" w:eastAsia="Arial" w:hAnsi="Arial"/>
                <w:sz w:val="20"/>
                <w:szCs w:val="20"/>
                <w:b w:val="1"/>
                <w:bCs w:val="1"/>
                <w:color w:val="auto"/>
              </w:rPr>
              <w:t>​</w:t>
            </w:r>
          </w:p>
        </w:tc>
      </w:tr>
      <w:tr>
        <w:trPr>
          <w:trHeight w:val="488"/>
        </w:trPr>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Arial" w:cs="Arial" w:eastAsia="Arial" w:hAnsi="Arial"/>
                <w:sz w:val="14"/>
                <w:szCs w:val="14"/>
                <w:i w:val="1"/>
                <w:iCs w:val="1"/>
                <w:color w:val="auto"/>
              </w:rPr>
              <w:t>Co-Managers</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98"/>
              </w:rPr>
              <w:t>Siebert Williams Shank</w:t>
            </w:r>
          </w:p>
        </w:tc>
        <w:tc>
          <w:tcPr>
            <w:tcW w:w="500" w:type="dxa"/>
            <w:vAlign w:val="bottom"/>
          </w:tcPr>
          <w:p>
            <w:pPr>
              <w:spacing w:after="0"/>
              <w:rPr>
                <w:sz w:val="24"/>
                <w:szCs w:val="24"/>
                <w:color w:val="auto"/>
              </w:rPr>
            </w:pPr>
          </w:p>
        </w:tc>
        <w:tc>
          <w:tcPr>
            <w:tcW w:w="226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Academy Securities</w:t>
            </w:r>
          </w:p>
        </w:tc>
      </w:tr>
      <w:tr>
        <w:trPr>
          <w:trHeight w:val="337"/>
        </w:trPr>
        <w:tc>
          <w:tcPr>
            <w:tcW w:w="660" w:type="dxa"/>
            <w:vAlign w:val="bottom"/>
          </w:tcPr>
          <w:p>
            <w:pPr>
              <w:spacing w:after="0"/>
              <w:rPr>
                <w:sz w:val="20"/>
                <w:szCs w:val="20"/>
                <w:color w:val="auto"/>
              </w:rPr>
            </w:pPr>
            <w:r>
              <w:rPr>
                <w:rFonts w:ascii="Arial" w:cs="Arial" w:eastAsia="Arial" w:hAnsi="Arial"/>
                <w:sz w:val="14"/>
                <w:szCs w:val="14"/>
                <w:b w:val="1"/>
                <w:bCs w:val="1"/>
                <w:color w:val="auto"/>
              </w:rPr>
              <w:t>Barclays</w:t>
            </w: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CIBC Capital Markets</w:t>
            </w:r>
          </w:p>
        </w:tc>
        <w:tc>
          <w:tcPr>
            <w:tcW w:w="4160" w:type="dxa"/>
            <w:vAlign w:val="bottom"/>
            <w:gridSpan w:val="4"/>
          </w:tcPr>
          <w:p>
            <w:pPr>
              <w:jc w:val="right"/>
              <w:spacing w:after="0"/>
              <w:rPr>
                <w:sz w:val="20"/>
                <w:szCs w:val="20"/>
                <w:color w:val="auto"/>
              </w:rPr>
            </w:pPr>
            <w:r>
              <w:rPr>
                <w:rFonts w:ascii="Arial" w:cs="Arial" w:eastAsia="Arial" w:hAnsi="Arial"/>
                <w:sz w:val="14"/>
                <w:szCs w:val="14"/>
                <w:b w:val="1"/>
                <w:bCs w:val="1"/>
                <w:color w:val="auto"/>
              </w:rPr>
              <w:t>Citigroup   Credit Agricole CIB  Goldman Sachs &amp; Co. LLC</w:t>
            </w:r>
          </w:p>
        </w:tc>
      </w:tr>
      <w:tr>
        <w:trPr>
          <w:trHeight w:val="337"/>
        </w:trPr>
        <w:tc>
          <w:tcPr>
            <w:tcW w:w="660" w:type="dxa"/>
            <w:vAlign w:val="bottom"/>
          </w:tcPr>
          <w:p>
            <w:pPr>
              <w:spacing w:after="0"/>
              <w:rPr>
                <w:sz w:val="20"/>
                <w:szCs w:val="20"/>
                <w:color w:val="auto"/>
              </w:rPr>
            </w:pPr>
            <w:r>
              <w:rPr>
                <w:rFonts w:ascii="Arial" w:cs="Arial" w:eastAsia="Arial" w:hAnsi="Arial"/>
                <w:sz w:val="14"/>
                <w:szCs w:val="14"/>
                <w:b w:val="1"/>
                <w:bCs w:val="1"/>
                <w:color w:val="auto"/>
              </w:rPr>
              <w:t>HSBC</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ICBC Standard Bank</w:t>
            </w:r>
          </w:p>
        </w:tc>
        <w:tc>
          <w:tcPr>
            <w:tcW w:w="1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PNC Capital Markets LLC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Scotiabank</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SMBC Nikko</w:t>
            </w:r>
          </w:p>
        </w:tc>
      </w:tr>
      <w:tr>
        <w:trPr>
          <w:trHeight w:val="305"/>
        </w:trPr>
        <w:tc>
          <w:tcPr>
            <w:tcW w:w="6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83"/>
              <w:spacing w:after="0"/>
              <w:rPr>
                <w:sz w:val="20"/>
                <w:szCs w:val="20"/>
                <w:color w:val="auto"/>
              </w:rPr>
            </w:pPr>
            <w:r>
              <w:rPr>
                <w:rFonts w:ascii="Arial" w:cs="Arial" w:eastAsia="Arial" w:hAnsi="Arial"/>
                <w:sz w:val="14"/>
                <w:szCs w:val="14"/>
                <w:b w:val="1"/>
                <w:bCs w:val="1"/>
                <w:color w:val="auto"/>
                <w:w w:val="98"/>
              </w:rPr>
              <w:t>TD Securities</w:t>
            </w:r>
          </w:p>
        </w:tc>
        <w:tc>
          <w:tcPr>
            <w:tcW w:w="1400" w:type="dxa"/>
            <w:vAlign w:val="bottom"/>
          </w:tcPr>
          <w:p>
            <w:pPr>
              <w:ind w:left="86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Truist Securities</w:t>
            </w:r>
          </w:p>
        </w:tc>
        <w:tc>
          <w:tcPr>
            <w:tcW w:w="980" w:type="dxa"/>
            <w:vAlign w:val="bottom"/>
          </w:tcPr>
          <w:p>
            <w:pPr>
              <w:ind w:left="920"/>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668655</wp:posOffset>
            </wp:positionV>
            <wp:extent cx="40620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40620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1905</wp:posOffset>
            </wp:positionV>
            <wp:extent cx="4062095"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4062095" cy="133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196850</wp:posOffset>
            </wp:positionV>
            <wp:extent cx="533082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3" w:name="page64"/>
    <w:bookmarkEnd w:id="63"/>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MICRON TECHNOLOGY INC</w:t>
      </w:r>
    </w:p>
    <w:p>
      <w:pPr>
        <w:spacing w:after="0" w:line="1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33655</wp:posOffset>
            </wp:positionV>
            <wp:extent cx="7214235" cy="3667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214235" cy="3667760"/>
                    </a:xfrm>
                    <a:prstGeom prst="rect">
                      <a:avLst/>
                    </a:prstGeom>
                    <a:noFill/>
                  </pic:spPr>
                </pic:pic>
              </a:graphicData>
            </a:graphic>
          </wp:anchor>
        </w:drawing>
      </w:r>
    </w:p>
    <w:p>
      <w:pPr>
        <w:sectPr>
          <w:pgSz w:w="11900" w:h="16838" w:orient="portrait"/>
          <w:cols w:equalWidth="0" w:num="1">
            <w:col w:w="11280"/>
          </w:cols>
          <w:pgMar w:left="340" w:top="142" w:right="279" w:bottom="1440" w:gutter="0" w:footer="0" w:header="0"/>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652"/>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right"/>
              <w:ind w:right="5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68"/>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5"/>
          </w:tcPr>
          <w:p>
            <w:pPr>
              <w:ind w:left="2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0" w:lineRule="exact"/>
              <w:rPr>
                <w:sz w:val="20"/>
                <w:szCs w:val="20"/>
                <w:color w:val="auto"/>
              </w:rPr>
            </w:pPr>
            <w:r>
              <w:rPr>
                <w:rFonts w:ascii="Arial" w:cs="Arial" w:eastAsia="Arial" w:hAnsi="Arial"/>
                <w:sz w:val="17"/>
                <w:szCs w:val="17"/>
                <w:color w:val="auto"/>
              </w:rPr>
              <w:t>5.80%</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Notes</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$ 998.95</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$ 152,939.24</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998,950,000.00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due</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2034</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Previously</w:t>
      </w:r>
    </w:p>
    <w:p>
      <w:pPr>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Carry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Forward</w:t>
      </w:r>
    </w:p>
    <w:p>
      <w:pPr>
        <w:spacing w:after="0"/>
        <w:rPr>
          <w:sz w:val="20"/>
          <w:szCs w:val="20"/>
          <w:color w:val="auto"/>
        </w:rPr>
      </w:pPr>
      <w:r>
        <w:rPr>
          <w:rFonts w:ascii="Arial" w:cs="Arial" w:eastAsia="Arial" w:hAnsi="Arial"/>
          <w:sz w:val="17"/>
          <w:szCs w:val="17"/>
          <w:color w:val="auto"/>
        </w:rPr>
        <w:t>Securities</w:t>
      </w:r>
    </w:p>
    <w:p>
      <w:pPr>
        <w:spacing w:after="0" w:line="14" w:lineRule="exact"/>
        <w:rPr>
          <w:sz w:val="20"/>
          <w:szCs w:val="20"/>
          <w:color w:val="auto"/>
        </w:rPr>
      </w:pPr>
    </w:p>
    <w:tbl>
      <w:tblPr>
        <w:tblLayout w:type="fixed"/>
        <w:tblInd w:w="2460" w:type="dxa"/>
        <w:tblCellMar>
          <w:top w:w="0" w:type="dxa"/>
          <w:left w:w="0" w:type="dxa"/>
          <w:bottom w:w="0" w:type="dxa"/>
          <w:right w:w="0" w:type="dxa"/>
        </w:tblCellMar>
      </w:tblPr>
      <w:tr>
        <w:trPr>
          <w:trHeight w:val="195"/>
        </w:trPr>
        <w:tc>
          <w:tcPr>
            <w:tcW w:w="220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06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$ 152,939.24</w:t>
            </w:r>
          </w:p>
        </w:tc>
      </w:tr>
      <w:tr>
        <w:trPr>
          <w:trHeight w:val="222"/>
        </w:trPr>
        <w:tc>
          <w:tcPr>
            <w:tcW w:w="2200" w:type="dxa"/>
            <w:vAlign w:val="bottom"/>
          </w:tcPr>
          <w:p>
            <w:pPr>
              <w:spacing w:after="0"/>
              <w:rPr>
                <w:sz w:val="19"/>
                <w:szCs w:val="19"/>
                <w:color w:val="auto"/>
              </w:rPr>
            </w:pPr>
          </w:p>
        </w:tc>
        <w:tc>
          <w:tcPr>
            <w:tcW w:w="2060" w:type="dxa"/>
            <w:vAlign w:val="bottom"/>
          </w:tcPr>
          <w:p>
            <w:pPr>
              <w:jc w:val="right"/>
              <w:ind w:right="376"/>
              <w:spacing w:after="0"/>
              <w:rPr>
                <w:sz w:val="20"/>
                <w:szCs w:val="20"/>
                <w:color w:val="auto"/>
              </w:rPr>
            </w:pPr>
            <w:r>
              <w:rPr>
                <w:rFonts w:ascii="Arial" w:cs="Arial" w:eastAsia="Arial" w:hAnsi="Arial"/>
                <w:sz w:val="17"/>
                <w:szCs w:val="17"/>
                <w:color w:val="auto"/>
              </w:rPr>
              <w:t>998,950,000.00</w:t>
            </w: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80" w:firstLine="131"/>
        <w:spacing w:after="0" w:line="188"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800" w:right="60" w:hanging="838"/>
        <w:spacing w:after="0" w:line="247" w:lineRule="auto"/>
        <w:tabs>
          <w:tab w:leader="none" w:pos="780" w:val="left"/>
        </w:tabs>
        <w:rPr>
          <w:sz w:val="20"/>
          <w:szCs w:val="20"/>
          <w:color w:val="auto"/>
        </w:rPr>
      </w:pPr>
      <w:r>
        <w:rPr>
          <w:rFonts w:ascii="Arial" w:cs="Arial" w:eastAsia="Arial" w:hAnsi="Arial"/>
          <w:sz w:val="33"/>
          <w:szCs w:val="33"/>
          <w:b w:val="1"/>
          <w:bCs w:val="1"/>
          <w:color w:val="auto"/>
          <w:vertAlign w:val="subscript"/>
        </w:rPr>
        <w:t>Date</w:t>
      </w:r>
      <w:r>
        <w:rPr>
          <w:sz w:val="20"/>
          <w:szCs w:val="20"/>
          <w:color w:val="auto"/>
        </w:rPr>
        <w:tab/>
      </w:r>
      <w:r>
        <w:rPr>
          <w:rFonts w:ascii="Arial" w:cs="Arial" w:eastAsia="Arial" w:hAnsi="Arial"/>
          <w:sz w:val="16"/>
          <w:szCs w:val="16"/>
          <w:b w:val="1"/>
          <w:bCs w:val="1"/>
          <w:color w:val="auto"/>
        </w:rPr>
        <w:t>Securities to be</w:t>
      </w:r>
    </w:p>
    <w:p>
      <w:pPr>
        <w:ind w:left="900"/>
        <w:spacing w:after="0" w:line="232"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Forward</w:t>
      </w:r>
    </w:p>
    <w:p>
      <w:pPr>
        <w:spacing w:after="0" w:line="3113" w:lineRule="exact"/>
        <w:rPr>
          <w:sz w:val="20"/>
          <w:szCs w:val="20"/>
          <w:color w:val="auto"/>
        </w:rPr>
      </w:pPr>
    </w:p>
    <w:p>
      <w:pPr>
        <w:sectPr>
          <w:pgSz w:w="11900" w:h="16838" w:orient="portrait"/>
          <w:cols w:equalWidth="0" w:num="2">
            <w:col w:w="9580" w:space="40"/>
            <w:col w:w="1660"/>
          </w:cols>
          <w:pgMar w:left="340" w:top="142" w:right="279" w:bottom="1440" w:gutter="0" w:footer="0" w:header="0"/>
          <w:type w:val="continuous"/>
        </w:sectPr>
      </w:pPr>
    </w:p>
    <w:tbl>
      <w:tblPr>
        <w:tblLayout w:type="fixed"/>
        <w:tblInd w:w="2200" w:type="dxa"/>
        <w:tblCellMar>
          <w:top w:w="0" w:type="dxa"/>
          <w:left w:w="0" w:type="dxa"/>
          <w:bottom w:w="0" w:type="dxa"/>
          <w:right w:w="0" w:type="dxa"/>
        </w:tblCellMar>
      </w:tblPr>
      <w:tr>
        <w:trPr>
          <w:trHeight w:val="222"/>
        </w:trPr>
        <w:tc>
          <w:tcPr>
            <w:tcW w:w="3500" w:type="dxa"/>
            <w:vAlign w:val="bottom"/>
          </w:tcPr>
          <w:p>
            <w:pPr>
              <w:jc w:val="right"/>
              <w:ind w:right="1396"/>
              <w:spacing w:after="0"/>
              <w:rPr>
                <w:sz w:val="20"/>
                <w:szCs w:val="20"/>
                <w:color w:val="auto"/>
              </w:rPr>
            </w:pPr>
            <w:r>
              <w:rPr>
                <w:rFonts w:ascii="Arial" w:cs="Arial" w:eastAsia="Arial" w:hAnsi="Arial"/>
                <w:sz w:val="17"/>
                <w:szCs w:val="17"/>
                <w:color w:val="auto"/>
                <w:w w:val="96"/>
              </w:rPr>
              <w:t>Total Fees Previously Paid:</w:t>
            </w:r>
          </w:p>
        </w:tc>
        <w:tc>
          <w:tcPr>
            <w:tcW w:w="244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00" w:type="dxa"/>
            <w:vAlign w:val="bottom"/>
          </w:tcPr>
          <w:p>
            <w:pPr>
              <w:jc w:val="right"/>
              <w:ind w:right="1396"/>
              <w:spacing w:after="0"/>
              <w:rPr>
                <w:sz w:val="20"/>
                <w:szCs w:val="20"/>
                <w:color w:val="auto"/>
              </w:rPr>
            </w:pPr>
            <w:r>
              <w:rPr>
                <w:rFonts w:ascii="Arial" w:cs="Arial" w:eastAsia="Arial" w:hAnsi="Arial"/>
                <w:sz w:val="17"/>
                <w:szCs w:val="17"/>
                <w:color w:val="auto"/>
              </w:rPr>
              <w:t>Total Fee Offsets:</w:t>
            </w:r>
          </w:p>
        </w:tc>
        <w:tc>
          <w:tcPr>
            <w:tcW w:w="244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00" w:type="dxa"/>
            <w:vAlign w:val="bottom"/>
          </w:tcPr>
          <w:p>
            <w:pPr>
              <w:jc w:val="right"/>
              <w:ind w:right="1396"/>
              <w:spacing w:after="0"/>
              <w:rPr>
                <w:sz w:val="20"/>
                <w:szCs w:val="20"/>
                <w:color w:val="auto"/>
              </w:rPr>
            </w:pPr>
            <w:r>
              <w:rPr>
                <w:rFonts w:ascii="Arial" w:cs="Arial" w:eastAsia="Arial" w:hAnsi="Arial"/>
                <w:sz w:val="17"/>
                <w:szCs w:val="17"/>
                <w:color w:val="auto"/>
              </w:rPr>
              <w:t>Net Fee Due:</w:t>
            </w:r>
          </w:p>
        </w:tc>
        <w:tc>
          <w:tcPr>
            <w:tcW w:w="2440" w:type="dxa"/>
            <w:vAlign w:val="bottom"/>
          </w:tcPr>
          <w:p>
            <w:pPr>
              <w:jc w:val="right"/>
              <w:spacing w:after="0"/>
              <w:rPr>
                <w:sz w:val="20"/>
                <w:szCs w:val="20"/>
                <w:color w:val="auto"/>
              </w:rPr>
            </w:pPr>
            <w:r>
              <w:rPr>
                <w:rFonts w:ascii="Arial" w:cs="Arial" w:eastAsia="Arial" w:hAnsi="Arial"/>
                <w:sz w:val="17"/>
                <w:szCs w:val="17"/>
                <w:color w:val="auto"/>
              </w:rPr>
              <w:t>$ 152,939.24</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180" w:right="360"/>
        <w:spacing w:after="0" w:line="265" w:lineRule="auto"/>
        <w:rPr>
          <w:sz w:val="20"/>
          <w:szCs w:val="20"/>
          <w:color w:val="auto"/>
        </w:rPr>
      </w:pPr>
      <w:r>
        <w:rPr>
          <w:rFonts w:ascii="Arial" w:cs="Arial" w:eastAsia="Arial" w:hAnsi="Arial"/>
          <w:sz w:val="17"/>
          <w:szCs w:val="17"/>
          <w:color w:val="auto"/>
        </w:rPr>
        <w:t>This registration fee table shall be deemed to update the "Calculation of Registration Fee" in the Company's Registration Statement on Form S-3 (File No. 333-275276) in accordance with Rules 456(b) and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46990</wp:posOffset>
            </wp:positionV>
            <wp:extent cx="7047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maximum aggregate amount of the securities to which the prospectus relates is 1,000,000. The maximum aggregate offering price of the</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securities to which the prospectus relates is $998,950,000.00. The prospectus is a final prospectus for the related offering.</w:t>
      </w:r>
    </w:p>
    <w:sectPr>
      <w:pgSz w:w="11900" w:h="16838" w:orient="portrait"/>
      <w:cols w:equalWidth="0" w:num="1">
        <w:col w:w="11280"/>
      </w:cols>
      <w:pgMar w:left="340" w:top="14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decimal"/>
      <w:start w:val="1"/>
    </w:lvl>
    <w:lvl w:ilvl="1">
      <w:lvlJc w:val="left"/>
      <w:lvlText w:val="(%2)"/>
      <w:numFmt w:val="lowerLetter"/>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decimal"/>
      <w:start w:val="2"/>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Roman"/>
      <w:start w:val="3"/>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0"/>
    </w:lvl>
  </w:abstractNum>
  <w:abstractNum w:abstractNumId="36">
    <w:nsid w:val="2D517796"/>
    <w:multiLevelType w:val="hybridMultilevel"/>
    <w:lvl w:ilvl="0">
      <w:lvlJc w:val="left"/>
      <w:lvlText w:val="(%1)"/>
      <w:numFmt w:val="decimal"/>
      <w:start w:val="8"/>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lvl w:ilvl="1">
      <w:lvlJc w:val="left"/>
      <w:lvlText w:val="(%2)"/>
      <w:numFmt w:val="lowerRoman"/>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jpe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jpe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99" Type="http://schemas.openxmlformats.org/officeDocument/2006/relationships/hyperlink" Target="https://www.sec.gov/ix?doc=/Archives/edgar/data/723125/000072312524000027/mu-20240829.htm" TargetMode="External"/><Relationship Id="rId100" Type="http://schemas.openxmlformats.org/officeDocument/2006/relationships/hyperlink" Target="http://www.sec.gov/ix?doc=/Archives/edgar/data/723125/000072312524000047/mu-20241128.htm" TargetMode="External"/><Relationship Id="rId101" Type="http://schemas.openxmlformats.org/officeDocument/2006/relationships/hyperlink" Target="http://www.sec.gov/ix?doc=/Archives/edgar/data/723125/000072312524000027/mu-20240829.htm" TargetMode="External"/><Relationship Id="rId102" Type="http://schemas.openxmlformats.org/officeDocument/2006/relationships/hyperlink" Target="http://www.sec.gov/ix?doc=/Archives/edgar/data/723125/000072312524000039/mu-20241126.htm" TargetMode="External"/><Relationship Id="rId103" Type="http://schemas.openxmlformats.org/officeDocument/2006/relationships/hyperlink" Target="http://www.sec.gov/ix?doc=/Archives/edgar/data/723125/000110465924127174/tm2430615d1_8k.htm" TargetMode="External"/><Relationship Id="rId117" Type="http://schemas.openxmlformats.org/officeDocument/2006/relationships/hyperlink" Target="http://www.sec.gov/ix?doc=/Archives/edgar/data/723125/000072312523000054/mu-20230831.htm" TargetMode="External"/><Relationship Id="rId118" Type="http://schemas.openxmlformats.org/officeDocument/2006/relationships/hyperlink" Target="http://www.sec.gov/ix?doc=/Archives/edgar/data/723125/000072312522000048/mu-20220901.htm" TargetMode="External"/><Relationship Id="rId119" Type="http://schemas.openxmlformats.org/officeDocument/2006/relationships/hyperlink" Target="http://www.sec.gov/Archives/edgar/data/723125/000072312522000063/a2022definitiveproxy.htm" TargetMode="External"/><Relationship Id="rId120"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2025-01-14T15:25:26Z</dcterms:created>
  <dcterms:modified xsi:type="dcterms:W3CDTF">2025-01-14T15:25:26Z</dcterms:modified>
</cp:coreProperties>
</file>