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February 14, 2006</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MICRON TECHNOLOGY, INC.</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80"/>
          </w:cols>
          <w:pgMar w:left="240" w:top="579" w:right="279" w:bottom="0" w:gutter="0" w:footer="0" w:header="0"/>
        </w:sectPr>
      </w:pPr>
    </w:p>
    <w:p>
      <w:pPr>
        <w:spacing w:after="0" w:line="201"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color w:val="auto"/>
        </w:rPr>
        <w:t>(State or other</w:t>
      </w:r>
    </w:p>
    <w:p>
      <w:pPr>
        <w:spacing w:after="0" w:line="9"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7"/>
          <w:szCs w:val="17"/>
          <w:color w:val="auto"/>
        </w:rPr>
        <w:t>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1-10658</w:t>
      </w:r>
    </w:p>
    <w:p>
      <w:pPr>
        <w:spacing w:after="0" w:line="3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75-1618004</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3">
            <w:col w:w="4060" w:space="720"/>
            <w:col w:w="3360" w:space="720"/>
            <w:col w:w="2520"/>
          </w:cols>
          <w:pgMar w:left="240" w:top="579" w:right="279" w:bottom="0" w:gutter="0" w:footer="0" w:header="0"/>
          <w:type w:val="continuous"/>
        </w:sectPr>
      </w:pP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8000 South Federal Way</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Boise, Idaho 83716-9632</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(208) 368-4000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380"/>
          </w:cols>
          <w:pgMar w:left="240" w:top="579" w:right="279" w:bottom="0" w:gutter="0" w:footer="0" w:header="0"/>
          <w:type w:val="continuous"/>
        </w:sectPr>
      </w:pPr>
    </w:p>
    <w:p>
      <w:pPr>
        <w:spacing w:after="0" w:line="218"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461010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229" w:lineRule="exact"/>
        <w:rPr>
          <w:sz w:val="24"/>
          <w:szCs w:val="24"/>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February 14, 2006, Micron Technology, Inc. (the “Company”) terminated its outstanding call spread options covering a total of approximately 53.7 million shares of its common stock (“Call Spread Options”). The Company originally entered into the Call Spread Options in connection with its offering in February 2003 of 2.5% Convertible Subordinated Notes due February 1, 2010 (the “Notes”). In January 2006, the Company called for redemption all of its outstanding Notes. Substantially all of the Notes were converted into common stock of the Company as a result of the call for redemption, with the balance being redeemed on February 6, 2006.</w:t>
      </w:r>
    </w:p>
    <w:p>
      <w:pPr>
        <w:spacing w:after="0" w:line="18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elected to terminate the Call Spread Options as they are no longer needed in connection with the Notes.</w:t>
      </w:r>
    </w:p>
    <w:p>
      <w:pPr>
        <w:spacing w:after="0" w:line="225" w:lineRule="exact"/>
        <w:rPr>
          <w:sz w:val="24"/>
          <w:szCs w:val="24"/>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originally entered into separate contracts with respect to the Call Spread Options with affiliates of Goldman, Sachs &amp; Co. and Lehman Brothers, Inc., the initial purchasers in the private placement of the Notes in February 2003. The Company had the option to settle the Call Spread Options in either cash or net shares of Micron common stock. The Call Spread Options were structured as capped calls with the lower calls having a strike price of $11.79 and the upper calls having a strike price of $18.19. The Call Spread Options were scheduled to expire on January 29, 2008. The proceeds to be received by the Company in connection with the termination of the Call Spread Options will be based on a formula using a volume weighted average price over an agreed upon period.</w:t>
      </w:r>
    </w:p>
    <w:p>
      <w:pPr>
        <w:spacing w:after="0" w:line="188" w:lineRule="exact"/>
        <w:rPr>
          <w:sz w:val="24"/>
          <w:szCs w:val="24"/>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initial purchasers and/or their affiliates have provided, and may in the future provide, financial advisory, commercial banking, investment banking and other services to us for which they have received, and may in the future receive, customary fees or other compensation.</w:t>
      </w:r>
    </w:p>
    <w:p>
      <w:pPr>
        <w:spacing w:after="0" w:line="172" w:lineRule="exact"/>
        <w:rPr>
          <w:sz w:val="24"/>
          <w:szCs w:val="24"/>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4"/>
          <w:szCs w:val="24"/>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January 2006, the Company called for redemption of all of the outstanding Notes. Substantially all of the Notes were converted into common stock of the Company as a result of the call for redemption of the Notes, with the balance being redeemed on February 6, 2006.</w:t>
      </w:r>
    </w:p>
    <w:p>
      <w:pPr>
        <w:spacing w:after="0" w:line="162" w:lineRule="exact"/>
        <w:rPr>
          <w:sz w:val="24"/>
          <w:szCs w:val="24"/>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issuance of the Notes, the Company entered into an interest rate swap agreement which terminated by its terms on February 6, 2006, as the closing price of the Company’s Common Stock was in excess of $14.15.</w:t>
      </w:r>
    </w:p>
    <w:p>
      <w:pPr>
        <w:sectPr>
          <w:pgSz w:w="11900" w:h="16838" w:orient="portrait"/>
          <w:cols w:equalWidth="0" w:num="1">
            <w:col w:w="11380"/>
          </w:cols>
          <w:pgMar w:left="240" w:top="579" w:right="279" w:bottom="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34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MICRON TECHNOLOGY, INC.</w:t>
            </w:r>
          </w:p>
        </w:tc>
        <w:tc>
          <w:tcPr>
            <w:tcW w:w="300" w:type="dxa"/>
            <w:vAlign w:val="bottom"/>
          </w:tcPr>
          <w:p>
            <w:pPr>
              <w:spacing w:after="0"/>
              <w:rPr>
                <w:sz w:val="20"/>
                <w:szCs w:val="20"/>
                <w:color w:val="auto"/>
              </w:rPr>
            </w:pPr>
          </w:p>
        </w:tc>
      </w:tr>
      <w:tr>
        <w:trPr>
          <w:trHeight w:val="648"/>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2006</w:t>
            </w:r>
          </w:p>
        </w:tc>
        <w:tc>
          <w:tcPr>
            <w:tcW w:w="32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 G. Stover, Jr.</w:t>
            </w:r>
          </w:p>
        </w:tc>
        <w:tc>
          <w:tcPr>
            <w:tcW w:w="300" w:type="dxa"/>
            <w:vAlign w:val="bottom"/>
          </w:tcPr>
          <w:p>
            <w:pPr>
              <w:spacing w:after="0"/>
              <w:rPr>
                <w:sz w:val="24"/>
                <w:szCs w:val="24"/>
                <w:color w:val="auto"/>
              </w:rPr>
            </w:pPr>
          </w:p>
        </w:tc>
      </w:tr>
      <w:tr>
        <w:trPr>
          <w:trHeight w:val="191"/>
        </w:trPr>
        <w:tc>
          <w:tcPr>
            <w:tcW w:w="3800" w:type="dxa"/>
            <w:vAlign w:val="bottom"/>
          </w:tcPr>
          <w:p>
            <w:pPr>
              <w:spacing w:after="0"/>
              <w:rPr>
                <w:sz w:val="16"/>
                <w:szCs w:val="16"/>
                <w:color w:val="auto"/>
              </w:rPr>
            </w:pPr>
          </w:p>
        </w:tc>
        <w:tc>
          <w:tcPr>
            <w:tcW w:w="3200" w:type="dxa"/>
            <w:vAlign w:val="bottom"/>
          </w:tcPr>
          <w:p>
            <w:pPr>
              <w:ind w:left="23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 G. Stover, Jr.</w:t>
            </w:r>
          </w:p>
        </w:tc>
        <w:tc>
          <w:tcPr>
            <w:tcW w:w="300" w:type="dxa"/>
            <w:vAlign w:val="bottom"/>
          </w:tcPr>
          <w:p>
            <w:pPr>
              <w:spacing w:after="0"/>
              <w:rPr>
                <w:sz w:val="16"/>
                <w:szCs w:val="16"/>
                <w:color w:val="auto"/>
              </w:rPr>
            </w:pPr>
          </w:p>
        </w:tc>
      </w:tr>
      <w:tr>
        <w:trPr>
          <w:trHeight w:val="216"/>
        </w:trPr>
        <w:tc>
          <w:tcPr>
            <w:tcW w:w="3800" w:type="dxa"/>
            <w:vAlign w:val="bottom"/>
          </w:tcPr>
          <w:p>
            <w:pPr>
              <w:spacing w:after="0"/>
              <w:rPr>
                <w:sz w:val="18"/>
                <w:szCs w:val="18"/>
                <w:color w:val="auto"/>
              </w:rPr>
            </w:pPr>
          </w:p>
        </w:tc>
        <w:tc>
          <w:tcPr>
            <w:tcW w:w="32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of Finance and</w:t>
            </w:r>
          </w:p>
        </w:tc>
        <w:tc>
          <w:tcPr>
            <w:tcW w:w="300" w:type="dxa"/>
            <w:vAlign w:val="bottom"/>
          </w:tcPr>
          <w:p>
            <w:pPr>
              <w:spacing w:after="0"/>
              <w:rPr>
                <w:sz w:val="18"/>
                <w:szCs w:val="18"/>
                <w:color w:val="auto"/>
              </w:rPr>
            </w:pPr>
          </w:p>
        </w:tc>
      </w:tr>
      <w:tr>
        <w:trPr>
          <w:trHeight w:val="234"/>
        </w:trPr>
        <w:tc>
          <w:tcPr>
            <w:tcW w:w="38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00" w:type="dxa"/>
            <w:vAlign w:val="bottom"/>
          </w:tcPr>
          <w:p>
            <w:pPr>
              <w:spacing w:after="0"/>
              <w:rPr>
                <w:sz w:val="20"/>
                <w:szCs w:val="20"/>
                <w:color w:val="auto"/>
              </w:rPr>
            </w:pPr>
          </w:p>
        </w:tc>
      </w:tr>
      <w:tr>
        <w:trPr>
          <w:trHeight w:val="648"/>
        </w:trPr>
        <w:tc>
          <w:tcPr>
            <w:tcW w:w="3800" w:type="dxa"/>
            <w:vAlign w:val="bottom"/>
          </w:tcPr>
          <w:p>
            <w:pPr>
              <w:spacing w:after="0"/>
              <w:rPr>
                <w:sz w:val="24"/>
                <w:szCs w:val="24"/>
                <w:color w:val="auto"/>
              </w:rPr>
            </w:pPr>
          </w:p>
        </w:tc>
        <w:tc>
          <w:tcPr>
            <w:tcW w:w="32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3</w:t>
            </w:r>
          </w:p>
        </w:tc>
        <w:tc>
          <w:tcPr>
            <w:tcW w:w="4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18"/>
        </w:trPr>
        <w:tc>
          <w:tcPr>
            <w:tcW w:w="3800" w:type="dxa"/>
            <w:vAlign w:val="bottom"/>
            <w:tcBorders>
              <w:bottom w:val="single" w:sz="8" w:color="808080"/>
            </w:tcBorders>
          </w:tcPr>
          <w:p>
            <w:pPr>
              <w:spacing w:after="0"/>
              <w:rPr>
                <w:sz w:val="10"/>
                <w:szCs w:val="10"/>
                <w:color w:val="auto"/>
              </w:rPr>
            </w:pPr>
          </w:p>
        </w:tc>
        <w:tc>
          <w:tcPr>
            <w:tcW w:w="3200" w:type="dxa"/>
            <w:vAlign w:val="bottom"/>
            <w:tcBorders>
              <w:bottom w:val="single" w:sz="8" w:color="808080"/>
            </w:tcBorders>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2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2019-12-13T13:29:18Z</dcterms:created>
  <dcterms:modified xsi:type="dcterms:W3CDTF">2019-12-13T13:29:18Z</dcterms:modified>
</cp:coreProperties>
</file>