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vested 25% on the first anniversary of the grant date, January 19, 2022, and the remaining shares will vest in 12 equal quarterly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01/23/2023</w:t>
            </w:r>
          </w:p>
        </w:tc>
      </w:tr>
      <w:tr>
        <w:trPr>
          <w:trHeight w:val="23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2023-01-23T17:51:08Z</dcterms:created>
  <dcterms:modified xsi:type="dcterms:W3CDTF">2023-01-23T17:51:08Z</dcterms:modified>
</cp:coreProperties>
</file>