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225425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8, 2009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945" w:orient="portrait"/>
          <w:cols w:equalWidth="0" w:num="1">
            <w:col w:w="11400"/>
          </w:cols>
          <w:pgMar w:left="240" w:top="541" w:right="259" w:bottom="0" w:gutter="0" w:footer="0" w:header="0"/>
        </w:sectPr>
      </w:pPr>
    </w:p>
    <w:p>
      <w:pPr>
        <w:spacing w:after="0" w:line="203"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1"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1-10658</w:t>
      </w:r>
    </w:p>
    <w:p>
      <w:pPr>
        <w:spacing w:after="0" w:line="26"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6"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(I.R.S. Employer Identification</w:t>
      </w:r>
    </w:p>
    <w:p>
      <w:pPr>
        <w:spacing w:after="0" w:line="31"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945" w:orient="portrait"/>
          <w:cols w:equalWidth="0" w:num="3">
            <w:col w:w="4000" w:space="720"/>
            <w:col w:w="3040" w:space="720"/>
            <w:col w:w="2920"/>
          </w:cols>
          <w:pgMar w:left="240" w:top="541" w:right="259" w:bottom="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945" w:orient="portrait"/>
          <w:cols w:equalWidth="0" w:num="1">
            <w:col w:w="11400"/>
          </w:cols>
          <w:pgMar w:left="240" w:top="541" w:right="259" w:bottom="0" w:gutter="0" w:footer="0" w:header="0"/>
          <w:type w:val="continuous"/>
        </w:sectPr>
      </w:pPr>
    </w:p>
    <w:p>
      <w:pPr>
        <w:spacing w:after="0" w:line="231" w:lineRule="exact"/>
        <w:rPr>
          <w:sz w:val="24"/>
          <w:szCs w:val="24"/>
          <w:color w:val="auto"/>
        </w:rPr>
      </w:pPr>
    </w:p>
    <w:p>
      <w:pPr>
        <w:ind w:right="160"/>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193040</wp:posOffset>
            </wp:positionV>
            <wp:extent cx="7247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429895</wp:posOffset>
            </wp:positionV>
            <wp:extent cx="726884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October 15, 2013</w:t>
      </w:r>
    </w:p>
    <w:p>
      <w:pPr>
        <w:spacing w:after="0" w:line="223"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On April 8, 2009, Micron Technology, Inc., a Delaware corporation (“Micron”), entered into an underwriting agreement (the “Note Underwriting Agreement”) with Morgan Stanley &amp; Co. Incorporated and Goldman, Sachs &amp; Co., as representatives (the “Representatives”) of the underwriters (collectively, the “Underwriters”) to issue and sell $200 million aggregate principal amount of 4.25% Convertible Senior Notes due October 15, 2013 (the “Notes”) in a public offering pursuant to a Registration Statement on Form S-3 (the “Registration Statement”) and a related prospectus, including the related prospectus supplement, filed with the Securities and Exchange Commission. In addition, Micron granted the Underwriters an option to purchase up to an additional $30 million aggregate principal amount of Notes solely to cover over-allotments. On April 9, 2009, the Representatives exercised this option in full. Micron estimates that the net proceeds from the offering, including the exercise of the Underwriters’ option to purchase the additional Notes, will be approximately $223.4 million, after deducting underwriting discounts and estimated offering expenses. The Note Underwriting Agreement is filed as Exhibit 1.1 to this Current Report on Form 8-K.</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The Notes will be issued pursuant to an indenture with Wells Fargo Bank, National Association, as trustee.</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4"/>
          <w:szCs w:val="24"/>
          <w:color w:val="auto"/>
        </w:rPr>
      </w:pPr>
    </w:p>
    <w:p>
      <w:pPr>
        <w:ind w:right="60"/>
        <w:spacing w:after="0" w:line="290" w:lineRule="auto"/>
        <w:rPr>
          <w:sz w:val="20"/>
          <w:szCs w:val="20"/>
          <w:color w:val="auto"/>
        </w:rPr>
      </w:pPr>
      <w:r>
        <w:rPr>
          <w:rFonts w:ascii="Arial" w:cs="Arial" w:eastAsia="Arial" w:hAnsi="Arial"/>
          <w:sz w:val="16"/>
          <w:szCs w:val="16"/>
          <w:color w:val="auto"/>
        </w:rPr>
        <w:t>On April 8, 2009, Micron also entered into an underwriting agreement (the “Common Stock Underwriting Agreement”) with the Representatives of the Underwriters to issue and sell 60,240,000 shares of common stock, par value $0.10 per share (the “Common Stock”), of the Company in a public offering pursuant to the Registration Statement and a related prospectus, including the related prospectus supplement, filed with the Securities and Exchange Commission. In addition, Micron granted the Underwriters an option to purchase up to an additional 9,036,000 shares of Common Stock solely to cover over-allotments. On April 9, 2009, the Representatives exercised this option in full. Micron estimates that the net proceeds from the offering, including the exercise of the Underwriters’ option to purchase the additional shares of Common Stock, will be approximately $275.7 million, after deducting underwriting discounts and estimated offering expenses. The Common Stock Underwriting Agreement is filed as Exhibit 1.2 to this Current Report on Form 8-K.</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23" w:lineRule="exact"/>
        <w:rPr>
          <w:sz w:val="24"/>
          <w:szCs w:val="24"/>
          <w:color w:val="auto"/>
        </w:rPr>
      </w:pPr>
    </w:p>
    <w:p>
      <w:pPr>
        <w:ind w:right="700"/>
        <w:spacing w:after="0" w:line="339" w:lineRule="auto"/>
        <w:rPr>
          <w:sz w:val="20"/>
          <w:szCs w:val="20"/>
          <w:color w:val="auto"/>
        </w:rPr>
      </w:pPr>
      <w:r>
        <w:rPr>
          <w:rFonts w:ascii="Arial" w:cs="Arial" w:eastAsia="Arial" w:hAnsi="Arial"/>
          <w:sz w:val="16"/>
          <w:szCs w:val="16"/>
          <w:color w:val="auto"/>
        </w:rPr>
        <w:t>In connection with the offering of the Notes, the Company also entered into capped call transactions with the following entities affiliated with the Underwriters: one capped call transaction with Goldman, Sachs &amp; Co. (the “Goldman Sachs Capped Call”), one capped call transaction with Morgan</w:t>
      </w:r>
    </w:p>
    <w:p>
      <w:pPr>
        <w:sectPr>
          <w:pgSz w:w="11900" w:h="16945" w:orient="portrait"/>
          <w:cols w:equalWidth="0" w:num="1">
            <w:col w:w="11400"/>
          </w:cols>
          <w:pgMar w:left="240" w:top="541" w:right="259" w:bottom="0" w:gutter="0" w:footer="0" w:header="0"/>
          <w:type w:val="continuous"/>
        </w:sectPr>
      </w:pPr>
    </w:p>
    <w:bookmarkStart w:id="1" w:name="page2"/>
    <w:bookmarkEnd w:id="1"/>
    <w:p>
      <w:pPr>
        <w:ind w:right="100"/>
        <w:spacing w:after="0" w:line="267" w:lineRule="auto"/>
        <w:rPr>
          <w:sz w:val="20"/>
          <w:szCs w:val="20"/>
          <w:color w:val="auto"/>
        </w:rPr>
      </w:pPr>
      <w:r>
        <w:rPr>
          <w:rFonts w:ascii="Arial" w:cs="Arial" w:eastAsia="Arial" w:hAnsi="Arial"/>
          <w:sz w:val="17"/>
          <w:szCs w:val="17"/>
          <w:color w:val="auto"/>
        </w:rPr>
        <w:t>Stanley &amp; Co. International plc (the “Morgan Stanley Capped Call”) and one capped call transaction with Deutsche Bank AG, London Branch (the “Deutsche Bank Capped Call” and collectively with the Goldman Sachs Capped Call and the Morgan Stanley Capped Call, the “Capped Calls”). The Capped Calls each have an initial strike price of approximately $5.08 per share, subject to certain adjustments, which matches the initial conversion price of the Notes. The Capped Calls have a cap price of $6.64 per share. The Capped Calls cover, subject to anti-dilution adjustments similar to those contained in the Notes, an approximate combined total of 45.2 million shares of Common Stock (after adjustment for the Underwriters’ exercise of their over-allotment option pursuant to the Note Underwriting Agreement), of which amount the Goldman Sachs Capped Call covers 45%, the Morgan Stanley Capped Call covers 35% and the Deutsche Bank Capped Call covers 20%. The Capped Calls are intended to reduce the potential dilution upon conversion of the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Micron paid approximately $24.7 million from the net proceeds from the issuance and sale of the Notes to purchase the Capped Calls. The Capped Calls expire in three and one-half years. The Goldman Sachs Capped Call is filed as Exhibit 10.1, the Morgan Stanley Capped Call is filed as Exhibit 10.2 and the Deutsche Bank Capped Call is filed as Exhibit 10.3 to this Current Report on Form 8-K.</w:t>
      </w:r>
    </w:p>
    <w:p>
      <w:pPr>
        <w:spacing w:after="0" w:line="183" w:lineRule="exact"/>
        <w:rPr>
          <w:sz w:val="20"/>
          <w:szCs w:val="20"/>
          <w:color w:val="auto"/>
        </w:rPr>
      </w:pPr>
    </w:p>
    <w:p>
      <w:pPr>
        <w:ind w:right="660"/>
        <w:spacing w:after="0" w:line="305" w:lineRule="auto"/>
        <w:rPr>
          <w:sz w:val="20"/>
          <w:szCs w:val="20"/>
          <w:color w:val="auto"/>
        </w:rPr>
      </w:pPr>
      <w:r>
        <w:rPr>
          <w:rFonts w:ascii="Arial" w:cs="Arial" w:eastAsia="Arial" w:hAnsi="Arial"/>
          <w:sz w:val="17"/>
          <w:szCs w:val="17"/>
          <w:color w:val="auto"/>
        </w:rPr>
        <w:t>The summary of the foregoing transactions is qualified in its entirety by reference to the text of the Note Underwriting Agreement, the Common Stock Underwriting Agreement and Capped Calls, which are included as exhibits hereto and are incorporated herein by reference.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4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2"/>
              </w:rPr>
              <w:t>Item 9.01.</w:t>
            </w:r>
          </w:p>
        </w:tc>
        <w:tc>
          <w:tcPr>
            <w:tcW w:w="10680" w:type="dxa"/>
            <w:vAlign w:val="bottom"/>
            <w:gridSpan w:val="3"/>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8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80" w:type="dxa"/>
            <w:vAlign w:val="bottom"/>
            <w:gridSpan w:val="3"/>
          </w:tcPr>
          <w:p>
            <w:pPr>
              <w:ind w:left="200"/>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0280" w:type="dxa"/>
            <w:vAlign w:val="bottom"/>
            <w:gridSpan w:val="2"/>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10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1.1</w:t>
            </w:r>
          </w:p>
        </w:tc>
        <w:tc>
          <w:tcPr>
            <w:tcW w:w="400" w:type="dxa"/>
            <w:vAlign w:val="bottom"/>
          </w:tcPr>
          <w:p>
            <w:pPr>
              <w:spacing w:after="0"/>
              <w:rPr>
                <w:sz w:val="16"/>
                <w:szCs w:val="16"/>
                <w:color w:val="auto"/>
              </w:rPr>
            </w:pPr>
          </w:p>
        </w:tc>
        <w:tc>
          <w:tcPr>
            <w:tcW w:w="102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1"/>
              </w:rPr>
              <w:t>Note Underwriting Agreement, dated as of April 8, 2009, by and among Micron Technology, Inc. and Morgan Stanley &amp; Co. Incorporated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rPr>
              <w:t>Goldman, Sachs &amp; Co., as representatives of the underwriters.</w:t>
            </w:r>
          </w:p>
        </w:tc>
        <w:tc>
          <w:tcPr>
            <w:tcW w:w="0" w:type="dxa"/>
            <w:vAlign w:val="bottom"/>
          </w:tcPr>
          <w:p>
            <w:pPr>
              <w:spacing w:after="0"/>
              <w:rPr>
                <w:sz w:val="1"/>
                <w:szCs w:val="1"/>
                <w:color w:val="auto"/>
              </w:rPr>
            </w:pPr>
          </w:p>
        </w:tc>
      </w:tr>
      <w:tr>
        <w:trPr>
          <w:trHeight w:val="215"/>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7"/>
              </w:rPr>
              <w:t>1.2</w:t>
            </w: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w w:val="96"/>
              </w:rPr>
              <w:t>Common Stock Underwriting Agreement, dated as of April 8, 2009, by and among Micron Technology, Inc. and Morgan Stanley &amp; Co.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rPr>
              <w:t>Incorporated and Goldman, Sachs &amp; Co., as representatives of the underwriters.</w:t>
            </w:r>
          </w:p>
        </w:tc>
        <w:tc>
          <w:tcPr>
            <w:tcW w:w="0" w:type="dxa"/>
            <w:vAlign w:val="bottom"/>
          </w:tcPr>
          <w:p>
            <w:pPr>
              <w:spacing w:after="0"/>
              <w:rPr>
                <w:sz w:val="1"/>
                <w:szCs w:val="1"/>
                <w:color w:val="auto"/>
              </w:rPr>
            </w:pPr>
          </w:p>
        </w:tc>
      </w:tr>
      <w:tr>
        <w:trPr>
          <w:trHeight w:val="215"/>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w w:val="97"/>
              </w:rPr>
              <w:t>Capped Call Confirmation (Reference No. SDB1630322480), dated as of April 8, 2009, by and between Micron Technology, Inc. and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rPr>
              <w:t>Goldman, Sachs &amp; Co.</w:t>
            </w:r>
          </w:p>
        </w:tc>
        <w:tc>
          <w:tcPr>
            <w:tcW w:w="0" w:type="dxa"/>
            <w:vAlign w:val="bottom"/>
          </w:tcPr>
          <w:p>
            <w:pPr>
              <w:spacing w:after="0"/>
              <w:rPr>
                <w:sz w:val="1"/>
                <w:szCs w:val="1"/>
                <w:color w:val="auto"/>
              </w:rPr>
            </w:pPr>
          </w:p>
        </w:tc>
      </w:tr>
      <w:tr>
        <w:trPr>
          <w:trHeight w:val="215"/>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w w:val="96"/>
              </w:rPr>
              <w:t>Capped Call Confirmation (Reference No. CGPWK6), dated as of April 8, 2009, by and between Micron Technology, Inc. and Morgan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rPr>
              <w:t>Stanley &amp; Co. International plc.</w:t>
            </w:r>
          </w:p>
        </w:tc>
        <w:tc>
          <w:tcPr>
            <w:tcW w:w="0" w:type="dxa"/>
            <w:vAlign w:val="bottom"/>
          </w:tcPr>
          <w:p>
            <w:pPr>
              <w:spacing w:after="0"/>
              <w:rPr>
                <w:sz w:val="1"/>
                <w:szCs w:val="1"/>
                <w:color w:val="auto"/>
              </w:rPr>
            </w:pPr>
          </w:p>
        </w:tc>
      </w:tr>
      <w:tr>
        <w:trPr>
          <w:trHeight w:val="215"/>
        </w:trPr>
        <w:tc>
          <w:tcPr>
            <w:tcW w:w="78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w w:val="92"/>
              </w:rPr>
              <w:t>Capped Call Confirmation (Reference No. 325758), dated as of April 8, 2009, by and between Micron Technology, Inc. and Deutsche Bank</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80" w:type="dxa"/>
            <w:vAlign w:val="bottom"/>
            <w:gridSpan w:val="3"/>
          </w:tcPr>
          <w:p>
            <w:pPr>
              <w:ind w:left="400"/>
              <w:spacing w:after="0"/>
              <w:rPr>
                <w:sz w:val="20"/>
                <w:szCs w:val="20"/>
                <w:color w:val="auto"/>
              </w:rPr>
            </w:pPr>
            <w:r>
              <w:rPr>
                <w:rFonts w:ascii="Arial" w:cs="Arial" w:eastAsia="Arial" w:hAnsi="Arial"/>
                <w:sz w:val="18"/>
                <w:szCs w:val="18"/>
                <w:color w:val="auto"/>
              </w:rPr>
              <w:t>AG, London Branch.</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40" w:type="dxa"/>
            <w:vAlign w:val="bottom"/>
            <w:gridSpan w:val="2"/>
          </w:tcPr>
          <w:p>
            <w:pPr>
              <w:jc w:val="right"/>
              <w:ind w:right="5579"/>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0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-3132455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-3132455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7" w:lineRule="exact"/>
        <w:rPr>
          <w:sz w:val="20"/>
          <w:szCs w:val="20"/>
          <w:color w:val="auto"/>
        </w:rPr>
      </w:pPr>
    </w:p>
    <w:p>
      <w:pPr>
        <w:ind w:right="540" w:firstLine="6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80" w:type="dxa"/>
            <w:vAlign w:val="bottom"/>
          </w:tcPr>
          <w:p>
            <w:pPr>
              <w:spacing w:after="0"/>
              <w:rPr>
                <w:sz w:val="20"/>
                <w:szCs w:val="20"/>
                <w:color w:val="auto"/>
              </w:rPr>
            </w:pPr>
          </w:p>
        </w:tc>
        <w:tc>
          <w:tcPr>
            <w:tcW w:w="7840" w:type="dxa"/>
            <w:vAlign w:val="bottom"/>
            <w:gridSpan w:val="2"/>
          </w:tcPr>
          <w:p>
            <w:pPr>
              <w:ind w:left="226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4"/>
        </w:trPr>
        <w:tc>
          <w:tcPr>
            <w:tcW w:w="3580" w:type="dxa"/>
            <w:vAlign w:val="bottom"/>
          </w:tcPr>
          <w:p>
            <w:pPr>
              <w:spacing w:after="0"/>
              <w:rPr>
                <w:sz w:val="20"/>
                <w:szCs w:val="20"/>
                <w:color w:val="auto"/>
              </w:rPr>
            </w:pPr>
            <w:r>
              <w:rPr>
                <w:rFonts w:ascii="Arial" w:cs="Arial" w:eastAsia="Arial" w:hAnsi="Arial"/>
                <w:sz w:val="18"/>
                <w:szCs w:val="18"/>
                <w:color w:val="auto"/>
              </w:rPr>
              <w:t>Date: April 14, 2009</w:t>
            </w:r>
          </w:p>
        </w:tc>
        <w:tc>
          <w:tcPr>
            <w:tcW w:w="3000" w:type="dxa"/>
            <w:vAlign w:val="bottom"/>
          </w:tcPr>
          <w:p>
            <w:pPr>
              <w:ind w:left="22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4"/>
        </w:trPr>
        <w:tc>
          <w:tcPr>
            <w:tcW w:w="3580" w:type="dxa"/>
            <w:vAlign w:val="bottom"/>
          </w:tcPr>
          <w:p>
            <w:pPr>
              <w:spacing w:after="0"/>
              <w:rPr>
                <w:sz w:val="16"/>
                <w:szCs w:val="16"/>
                <w:color w:val="auto"/>
              </w:rPr>
            </w:pPr>
          </w:p>
        </w:tc>
        <w:tc>
          <w:tcPr>
            <w:tcW w:w="3000" w:type="dxa"/>
            <w:vAlign w:val="bottom"/>
          </w:tcPr>
          <w:p>
            <w:pPr>
              <w:ind w:left="2260"/>
              <w:spacing w:after="0" w:line="194"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4"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29"/>
        </w:trPr>
        <w:tc>
          <w:tcPr>
            <w:tcW w:w="3580" w:type="dxa"/>
            <w:vAlign w:val="bottom"/>
          </w:tcPr>
          <w:p>
            <w:pPr>
              <w:spacing w:after="0"/>
              <w:rPr>
                <w:sz w:val="19"/>
                <w:szCs w:val="19"/>
                <w:color w:val="auto"/>
              </w:rPr>
            </w:pPr>
          </w:p>
        </w:tc>
        <w:tc>
          <w:tcPr>
            <w:tcW w:w="3000" w:type="dxa"/>
            <w:vAlign w:val="bottom"/>
          </w:tcPr>
          <w:p>
            <w:pPr>
              <w:ind w:left="226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40" w:type="dxa"/>
            <w:vAlign w:val="bottom"/>
          </w:tcPr>
          <w:p>
            <w:pPr>
              <w:spacing w:after="0"/>
              <w:rPr>
                <w:sz w:val="19"/>
                <w:szCs w:val="19"/>
                <w:color w:val="auto"/>
              </w:rPr>
            </w:pPr>
          </w:p>
        </w:tc>
      </w:tr>
      <w:tr>
        <w:trPr>
          <w:trHeight w:val="430"/>
        </w:trPr>
        <w:tc>
          <w:tcPr>
            <w:tcW w:w="3580" w:type="dxa"/>
            <w:vAlign w:val="bottom"/>
          </w:tcPr>
          <w:p>
            <w:pPr>
              <w:spacing w:after="0"/>
              <w:rPr>
                <w:sz w:val="24"/>
                <w:szCs w:val="24"/>
                <w:color w:val="auto"/>
              </w:rPr>
            </w:pPr>
          </w:p>
        </w:tc>
        <w:tc>
          <w:tcPr>
            <w:tcW w:w="3000" w:type="dxa"/>
            <w:vAlign w:val="bottom"/>
          </w:tcPr>
          <w:p>
            <w:pPr>
              <w:ind w:left="2080"/>
              <w:spacing w:after="0"/>
              <w:rPr>
                <w:sz w:val="20"/>
                <w:szCs w:val="20"/>
                <w:color w:val="auto"/>
              </w:rPr>
            </w:pPr>
            <w:r>
              <w:rPr>
                <w:rFonts w:ascii="Arial" w:cs="Arial" w:eastAsia="Arial" w:hAnsi="Arial"/>
                <w:sz w:val="18"/>
                <w:szCs w:val="18"/>
                <w:color w:val="auto"/>
              </w:rPr>
              <w:t>4</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358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4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APRIL 14, 2009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20" w:type="dxa"/>
            <w:vAlign w:val="bottom"/>
            <w:vMerge w:val="restart"/>
          </w:tcPr>
          <w:p>
            <w:pPr>
              <w:ind w:left="27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5"/>
        </w:trPr>
        <w:tc>
          <w:tcPr>
            <w:tcW w:w="31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ind w:left="1040" w:right="200" w:hanging="782"/>
        <w:spacing w:after="0" w:line="248" w:lineRule="auto"/>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Note Underwriting Agreement, dated as of April 8, 2009, by and among Micron Technology, Inc. and Morgan Stanley &amp; Co. Incorporated and Goldman, Sachs &amp; Co., as representatives of the underwriters.</w:t>
      </w:r>
    </w:p>
    <w:p>
      <w:pPr>
        <w:spacing w:after="0" w:line="1" w:lineRule="exact"/>
        <w:rPr>
          <w:sz w:val="20"/>
          <w:szCs w:val="20"/>
          <w:color w:val="auto"/>
        </w:rPr>
      </w:pPr>
    </w:p>
    <w:p>
      <w:pPr>
        <w:ind w:left="26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Common Stock Underwriting Agreement, dated as of April 8, 2009, by and among Micron Technology, Inc. and Morgan Stanley &amp; Co.</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Incorporated and Goldman, Sachs &amp; Co., as representatives of the underwriters.</w:t>
      </w:r>
    </w:p>
    <w:p>
      <w:pPr>
        <w:spacing w:after="0" w:line="8" w:lineRule="exact"/>
        <w:rPr>
          <w:sz w:val="20"/>
          <w:szCs w:val="20"/>
          <w:color w:val="auto"/>
        </w:rPr>
      </w:pPr>
    </w:p>
    <w:p>
      <w:pPr>
        <w:ind w:left="1040" w:right="80" w:hanging="827"/>
        <w:spacing w:after="0" w:line="249"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Capped Call Confirmation (Reference No. SDB1630322480), dated as of April 8, 2009, by and between Micron Technology, Inc. and Goldman, Sachs &amp; Co.</w:t>
      </w:r>
    </w:p>
    <w:p>
      <w:pPr>
        <w:ind w:left="1040" w:right="740" w:hanging="827"/>
        <w:spacing w:after="0" w:line="249"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Capped Call Confirmation (Reference No. CGPWK6), dated as of April 8, 2009, by and between Micron Technology, Inc. and Morgan Stanley &amp; Co. International plc.</w:t>
      </w:r>
    </w:p>
    <w:p>
      <w:pPr>
        <w:ind w:left="1040" w:right="60" w:hanging="827"/>
        <w:spacing w:after="0" w:line="258" w:lineRule="auto"/>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Capped Call Confirmation (Reference No. 325758), dated as of April 8, 2009, by and between Micron Technology, Inc. and Deutsche Bank AG, London Branch.</w:t>
      </w:r>
    </w:p>
    <w:p>
      <w:pPr>
        <w:sectPr>
          <w:pgSz w:w="11900" w:h="16838" w:orient="portrait"/>
          <w:cols w:equalWidth="0" w:num="1">
            <w:col w:w="11460"/>
          </w:cols>
          <w:pgMar w:left="240" w:top="125" w:right="199" w:bottom="0" w:gutter="0" w:footer="0" w:header="0"/>
        </w:sectPr>
      </w:pP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60"/>
          </w:cols>
          <w:pgMar w:left="240" w:top="125" w:right="19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84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 Convertible Senior Notes due October 15, 2013</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Managers named in Schedule I hereto</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Underwriters named in Schedule II hereto</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II</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managers (the “</w:t>
      </w:r>
      <w:r>
        <w:rPr>
          <w:rFonts w:ascii="Arial" w:cs="Arial" w:eastAsia="Arial" w:hAnsi="Arial"/>
          <w:sz w:val="16"/>
          <w:szCs w:val="16"/>
          <w:b w:val="1"/>
          <w:bCs w:val="1"/>
          <w:color w:val="auto"/>
        </w:rPr>
        <w:t>Managers</w:t>
      </w:r>
      <w:r>
        <w:rPr>
          <w:rFonts w:ascii="Arial" w:cs="Arial" w:eastAsia="Arial" w:hAnsi="Arial"/>
          <w:sz w:val="16"/>
          <w:szCs w:val="16"/>
          <w:color w:val="auto"/>
        </w:rPr>
        <w:t>”), and for whom each of Goldman, Sachs &amp; Co. and Morgan Stanley &amp;</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 Incorporated is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the aggregate principal amount of its 4.25% Convertible Senior Notes due October 15,</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2013 set forth in Schedule I hereto (the “</w:t>
      </w:r>
      <w:r>
        <w:rPr>
          <w:rFonts w:ascii="Arial" w:cs="Arial" w:eastAsia="Arial" w:hAnsi="Arial"/>
          <w:sz w:val="17"/>
          <w:szCs w:val="17"/>
          <w:b w:val="1"/>
          <w:bCs w:val="1"/>
          <w:color w:val="auto"/>
        </w:rPr>
        <w:t>Firm Securities</w:t>
      </w:r>
      <w:r>
        <w:rPr>
          <w:rFonts w:ascii="Arial" w:cs="Arial" w:eastAsia="Arial" w:hAnsi="Arial"/>
          <w:sz w:val="17"/>
          <w:szCs w:val="17"/>
          <w:color w:val="auto"/>
        </w:rPr>
        <w:t>”) to be issued pursuant to the provisions of an indenture to be dated as of April 15, 2009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Wells Fargo Bank, N.A.,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Company also proposes to issue and sell to the several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Underwriters not more than an additional principal amount of its 4.25% Convertible Senior Notes due October 15, 2013 set forth in Schedule I hereto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“Additional Securities”), if and to the extent that the Representatives shall have determined to exercise, on behalf of the Underwriters, the right to purchase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such amount of securities granted to the Underwriters in Section 2 hereof. The Firm Securities and the Additional Securities are hereinafter collectively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The Securities are convertible into the Company’s common stock, par value $0.10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Common Stock into which the Securities are convertible are hereinafter collectively referred to as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If the firm or firms listed 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Schedule II hereto include only the Managers listed in Schedule I hereto, then the terms “Underwriters” and “Managers” as used herein shall each be deemed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 refer to such firm or firms.</w:t>
      </w:r>
    </w:p>
    <w:p>
      <w:pPr>
        <w:spacing w:after="0" w:line="204" w:lineRule="exact"/>
        <w:rPr>
          <w:sz w:val="20"/>
          <w:szCs w:val="20"/>
          <w:color w:val="auto"/>
        </w:rPr>
      </w:pPr>
    </w:p>
    <w:p>
      <w:pPr>
        <w:ind w:right="280" w:firstLine="645"/>
        <w:spacing w:after="0" w:line="259" w:lineRule="auto"/>
        <w:rPr>
          <w:sz w:val="20"/>
          <w:szCs w:val="20"/>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an automatic shelf registration statement on Form S-3 (No. 333-158473, including the preliminary prospectus or prospectuses relating to the registration of certain securities described therein, including the Securities and the Underlying Securities to be issued by the Company (such registration statement, including the amendments thereto that relate to the Securities, the exhibits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726884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any schedules thereto, if any, and the documents incorporated by reference therein pursuant to Item 12 of Form S-3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at the time it became effective and including the Rule 430B Information (as defined below) is herein called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 prospectus in the form in which it currently appears in the Registration Statement is hereinafter called the “</w:t>
      </w:r>
      <w:r>
        <w:rPr>
          <w:rFonts w:ascii="Arial" w:cs="Arial" w:eastAsia="Arial" w:hAnsi="Arial"/>
          <w:sz w:val="16"/>
          <w:szCs w:val="16"/>
          <w:b w:val="1"/>
          <w:bCs w:val="1"/>
          <w:color w:val="auto"/>
        </w:rPr>
        <w:t>Base Prospectus</w:t>
      </w:r>
      <w:r>
        <w:rPr>
          <w:rFonts w:ascii="Arial" w:cs="Arial" w:eastAsia="Arial" w:hAnsi="Arial"/>
          <w:sz w:val="16"/>
          <w:szCs w:val="16"/>
          <w:color w:val="auto"/>
        </w:rPr>
        <w:t>,”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form of prospectus relating to the Securities, in the form first used to confirm sales of the Securities (or in the form first made available to the Underwriters by the Company to meet requests of purchasers pursuant to Rule 173 under the Securities Act) (including the Base Prospectus as so supplemented),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the Base Prospectus, as amended and supplemented by any preliminary prospectus supplement relating to the Securities filed with the Commission pursuant to Rule 424(b) under the Securities Act. Any information filed pursuant to Rule 430B and paragraph (b) of Rule 424 under the Securities Act as a supplement or supplements to the Base Prospectus included in the Registration Statement relating to the Securities and the plan of distribution for the Securities (the information included in such prospectus that was omitted from such registration statement at the time it became effective but that is deemed to be part of and included in such Registration Statement pursuant to</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Rule 430B is referred to as “</w:t>
      </w:r>
      <w:r>
        <w:rPr>
          <w:rFonts w:ascii="Arial" w:cs="Arial" w:eastAsia="Arial" w:hAnsi="Arial"/>
          <w:sz w:val="17"/>
          <w:szCs w:val="17"/>
          <w:b w:val="1"/>
          <w:bCs w:val="1"/>
          <w:color w:val="auto"/>
        </w:rPr>
        <w:t>Rule 430B Information</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preliminary prospectus, dated as of April 7, 2009, together with the free writing prospectuses, if any, each identified in Schedule 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“bona fide electronic road show” as defined in Rule 433(h)(5) under the Securities Act that has been made available without restriction to any person. As used herein, the terms “Registration Statement,” “Base Prospectus,” “preliminary prospectus,” “Time of Sale Prospectus” and “Prospectus” shall include the documents, if any, incorporated by reference therein prior to the completion of the distribution of the Securities.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Base Prospectus, the Prospectus, the Time of Sale Prospectus, any preliminary prospectus or free writing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agrees with each Underwriter as follows:</w:t>
      </w:r>
    </w:p>
    <w:p>
      <w:pPr>
        <w:spacing w:after="0" w:line="223" w:lineRule="exact"/>
        <w:rPr>
          <w:sz w:val="20"/>
          <w:szCs w:val="20"/>
          <w:color w:val="auto"/>
        </w:rPr>
      </w:pPr>
    </w:p>
    <w:p>
      <w:pPr>
        <w:ind w:left="1180" w:hanging="528"/>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223" w:lineRule="exact"/>
        <w:rPr>
          <w:sz w:val="20"/>
          <w:szCs w:val="20"/>
          <w:color w:val="auto"/>
        </w:rPr>
      </w:pPr>
    </w:p>
    <w:p>
      <w:pPr>
        <w:ind w:right="200" w:firstLine="652"/>
        <w:spacing w:after="0" w:line="339"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knowledge of the Company, threatened by the Commission. The Company is a well-known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25" w:lineRule="exact"/>
        <w:rPr>
          <w:sz w:val="20"/>
          <w:szCs w:val="20"/>
          <w:color w:val="auto"/>
        </w:rPr>
      </w:pPr>
    </w:p>
    <w:p>
      <w:pPr>
        <w:ind w:right="160" w:firstLine="652"/>
        <w:spacing w:after="0" w:line="292" w:lineRule="auto"/>
        <w:tabs>
          <w:tab w:leader="none" w:pos="1296" w:val="left"/>
        </w:tabs>
        <w:numPr>
          <w:ilvl w:val="0"/>
          <w:numId w:val="3"/>
        </w:numPr>
        <w:rPr>
          <w:rFonts w:ascii="Arial" w:cs="Arial" w:eastAsia="Arial" w:hAnsi="Arial"/>
          <w:sz w:val="16"/>
          <w:szCs w:val="16"/>
          <w:color w:val="auto"/>
        </w:rPr>
      </w:pPr>
      <w:r>
        <w:rPr>
          <w:rFonts w:ascii="Arial" w:cs="Arial" w:eastAsia="Arial" w:hAnsi="Arial"/>
          <w:sz w:val="16"/>
          <w:szCs w:val="16"/>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w:t>
      </w:r>
    </w:p>
    <w:p>
      <w:pPr>
        <w:sectPr>
          <w:pgSz w:w="11900" w:h="16842" w:orient="portrait"/>
          <w:cols w:equalWidth="0" w:num="1">
            <w:col w:w="11420"/>
          </w:cols>
          <w:pgMar w:left="240" w:top="121" w:right="239" w:bottom="0" w:gutter="0" w:footer="0" w:header="0"/>
        </w:sectPr>
      </w:pPr>
    </w:p>
    <w:bookmarkStart w:id="4" w:name="page5"/>
    <w:bookmarkEnd w:id="4"/>
    <w:p>
      <w:pPr>
        <w:ind w:right="280"/>
        <w:spacing w:after="0" w:line="286" w:lineRule="auto"/>
        <w:rPr>
          <w:sz w:val="20"/>
          <w:szCs w:val="20"/>
          <w:color w:val="auto"/>
        </w:rPr>
      </w:pPr>
      <w:r>
        <w:rPr>
          <w:rFonts w:ascii="Arial" w:cs="Arial" w:eastAsia="Arial" w:hAnsi="Arial"/>
          <w:sz w:val="16"/>
          <w:szCs w:val="16"/>
          <w:color w:val="auto"/>
        </w:rPr>
        <w:t>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and each broadly available road show, if any, when considered together with the Time of Sale Prospectus, does not contain any untrue statement of a material fact or omit to state a material fact necessary to make the statements therein, in light of the circumstances under which they were made, not misleading, and (vi)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Managers expressly for use therein.</w:t>
      </w:r>
    </w:p>
    <w:p>
      <w:pPr>
        <w:spacing w:after="0" w:line="166" w:lineRule="exact"/>
        <w:rPr>
          <w:sz w:val="20"/>
          <w:szCs w:val="20"/>
          <w:color w:val="auto"/>
        </w:rPr>
      </w:pPr>
    </w:p>
    <w:p>
      <w:pPr>
        <w:jc w:val="both"/>
        <w:ind w:right="40" w:firstLine="652"/>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Representatives before first use, the Company has not prepared, used or referred to, and will not, without your prior consent, prepare, use or refer to, any free writing prospectus.</w:t>
      </w:r>
    </w:p>
    <w:p>
      <w:pPr>
        <w:spacing w:after="0" w:line="154" w:lineRule="exact"/>
        <w:rPr>
          <w:sz w:val="20"/>
          <w:szCs w:val="20"/>
          <w:color w:val="auto"/>
        </w:rPr>
      </w:pPr>
    </w:p>
    <w:p>
      <w:pPr>
        <w:jc w:val="both"/>
        <w:ind w:right="140" w:firstLine="652"/>
        <w:spacing w:after="0" w:line="277" w:lineRule="auto"/>
        <w:tabs>
          <w:tab w:leader="none" w:pos="129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identified on Schedule III hereto in which the conduct of its business requires such qualification or is subject to material liability or disability by reason of failure to be so qualified in any such jurisdiction.</w:t>
      </w:r>
    </w:p>
    <w:p>
      <w:pPr>
        <w:spacing w:after="0" w:line="171" w:lineRule="exact"/>
        <w:rPr>
          <w:rFonts w:ascii="Arial" w:cs="Arial" w:eastAsia="Arial" w:hAnsi="Arial"/>
          <w:sz w:val="17"/>
          <w:szCs w:val="17"/>
          <w:color w:val="auto"/>
        </w:rPr>
      </w:pPr>
    </w:p>
    <w:p>
      <w:pPr>
        <w:ind w:left="1300" w:hanging="64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2" w:lineRule="exact"/>
        <w:rPr>
          <w:rFonts w:ascii="Arial" w:cs="Arial" w:eastAsia="Arial" w:hAnsi="Arial"/>
          <w:sz w:val="18"/>
          <w:szCs w:val="18"/>
          <w:color w:val="auto"/>
        </w:rPr>
      </w:pPr>
    </w:p>
    <w:p>
      <w:pPr>
        <w:ind w:firstLine="652"/>
        <w:spacing w:after="0" w:line="262"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all of the shares of Common Stock outstanding prior to the issuance of the Securities have been duly authorized and are validly issued, fully paid and non-assessable and conform in all material respects to the description thereof contained in the Time of Sale Prospectus.</w:t>
      </w:r>
    </w:p>
    <w:p>
      <w:pPr>
        <w:spacing w:after="0" w:line="181" w:lineRule="exact"/>
        <w:rPr>
          <w:rFonts w:ascii="Arial" w:cs="Arial" w:eastAsia="Arial" w:hAnsi="Arial"/>
          <w:sz w:val="18"/>
          <w:szCs w:val="18"/>
          <w:color w:val="auto"/>
        </w:rPr>
      </w:pPr>
    </w:p>
    <w:p>
      <w:pPr>
        <w:ind w:right="20" w:firstLine="652"/>
        <w:spacing w:after="0" w:line="292" w:lineRule="auto"/>
        <w:tabs>
          <w:tab w:leader="none" w:pos="129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against the Company in accordance with their terms, subject to applicable bankruptcy, insolvency, fraudulent conveyance,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and will be entitled to the benefits of the Indenture.</w:t>
      </w:r>
    </w:p>
    <w:p>
      <w:pPr>
        <w:spacing w:after="0" w:line="160" w:lineRule="exact"/>
        <w:rPr>
          <w:rFonts w:ascii="Arial" w:cs="Arial" w:eastAsia="Arial" w:hAnsi="Arial"/>
          <w:sz w:val="16"/>
          <w:szCs w:val="16"/>
          <w:color w:val="auto"/>
        </w:rPr>
      </w:pPr>
    </w:p>
    <w:p>
      <w:pPr>
        <w:ind w:right="40" w:firstLine="652"/>
        <w:spacing w:after="0" w:line="257"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Securities issuable upon conversion of the Securities have been duly authorized and reserved and, when issued upon conversion of the Securities in accordance with the terms of the Securities and the Indenture, will be validly issued, fully paid and non-assessable, the issuance of the Underlying Securities will not be subject to any preemptive or similar rights and will conform in all material respects to the description thereof contained in each of the Time of Sale Prospectus and the Prospectus.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20" w:firstLine="652"/>
        <w:spacing w:after="0" w:line="257" w:lineRule="auto"/>
        <w:tabs>
          <w:tab w:leader="none" w:pos="1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Time of Sale Prospectus and the Prospectus.</w:t>
      </w:r>
    </w:p>
    <w:p>
      <w:pPr>
        <w:spacing w:after="0" w:line="187" w:lineRule="exact"/>
        <w:rPr>
          <w:rFonts w:ascii="Arial" w:cs="Arial" w:eastAsia="Arial" w:hAnsi="Arial"/>
          <w:sz w:val="18"/>
          <w:szCs w:val="18"/>
          <w:color w:val="auto"/>
        </w:rPr>
      </w:pPr>
    </w:p>
    <w:p>
      <w:pPr>
        <w:ind w:right="20" w:firstLine="652"/>
        <w:spacing w:after="0" w:line="267" w:lineRule="auto"/>
        <w:tabs>
          <w:tab w:leader="none" w:pos="131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the Indenture and the Securities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 and the Securities, except for those that have been, or will have been prior to the Closing Date, obtained, such as may be required by the securities or Blue Sky laws of the various states in connection with the offer and sale of the Securities, and with respect to the approval of the listing of the Underlying Securities on the New York Stock Exchange, except, where the failure to obtain such consents, individually or in the aggregate, would not have a material adverse effect on the offering of the Securities.</w:t>
      </w:r>
    </w:p>
    <w:p>
      <w:pPr>
        <w:spacing w:after="0" w:line="183" w:lineRule="exact"/>
        <w:rPr>
          <w:rFonts w:ascii="Arial" w:cs="Arial" w:eastAsia="Arial" w:hAnsi="Arial"/>
          <w:sz w:val="17"/>
          <w:szCs w:val="17"/>
          <w:color w:val="auto"/>
        </w:rPr>
      </w:pPr>
    </w:p>
    <w:p>
      <w:pPr>
        <w:jc w:val="both"/>
        <w:ind w:right="120" w:firstLine="652"/>
        <w:spacing w:after="0" w:line="262" w:lineRule="auto"/>
        <w:tabs>
          <w:tab w:leader="none" w:pos="13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Prospectus.</w:t>
      </w:r>
    </w:p>
    <w:p>
      <w:pPr>
        <w:sectPr>
          <w:pgSz w:w="11900" w:h="16838" w:orient="portrait"/>
          <w:cols w:equalWidth="0" w:num="1">
            <w:col w:w="11420"/>
          </w:cols>
          <w:pgMar w:left="240" w:top="125" w:right="239" w:bottom="83" w:gutter="0" w:footer="0" w:header="0"/>
        </w:sectPr>
      </w:pPr>
    </w:p>
    <w:bookmarkStart w:id="5" w:name="page6"/>
    <w:bookmarkEnd w:id="5"/>
    <w:p>
      <w:pPr>
        <w:ind w:right="100" w:firstLine="652"/>
        <w:spacing w:after="0" w:line="255" w:lineRule="auto"/>
        <w:tabs>
          <w:tab w:leader="none" w:pos="131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than as set forth in the Time of Sale Prospectus,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firstLine="652"/>
        <w:spacing w:after="0" w:line="262" w:lineRule="auto"/>
        <w:tabs>
          <w:tab w:leader="none" w:pos="1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right="40" w:firstLine="652"/>
        <w:spacing w:after="0" w:line="339" w:lineRule="auto"/>
        <w:tabs>
          <w:tab w:leader="none" w:pos="12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24" w:lineRule="exact"/>
        <w:rPr>
          <w:rFonts w:ascii="Arial" w:cs="Arial" w:eastAsia="Arial" w:hAnsi="Arial"/>
          <w:sz w:val="16"/>
          <w:szCs w:val="16"/>
          <w:color w:val="auto"/>
        </w:rPr>
      </w:pPr>
    </w:p>
    <w:p>
      <w:pPr>
        <w:ind w:right="220" w:firstLine="652"/>
        <w:spacing w:after="0" w:line="274"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3" w:lineRule="exact"/>
        <w:rPr>
          <w:rFonts w:ascii="Arial" w:cs="Arial" w:eastAsia="Arial" w:hAnsi="Arial"/>
          <w:sz w:val="17"/>
          <w:szCs w:val="17"/>
          <w:color w:val="auto"/>
        </w:rPr>
      </w:pPr>
    </w:p>
    <w:p>
      <w:pPr>
        <w:jc w:val="both"/>
        <w:ind w:right="320" w:firstLine="652"/>
        <w:spacing w:after="0" w:line="262"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181" w:lineRule="exact"/>
        <w:rPr>
          <w:rFonts w:ascii="Arial" w:cs="Arial" w:eastAsia="Arial" w:hAnsi="Arial"/>
          <w:sz w:val="18"/>
          <w:szCs w:val="18"/>
          <w:color w:val="auto"/>
        </w:rPr>
      </w:pPr>
    </w:p>
    <w:p>
      <w:pPr>
        <w:ind w:right="20" w:firstLine="652"/>
        <w:spacing w:after="0" w:line="270" w:lineRule="auto"/>
        <w:tabs>
          <w:tab w:leader="none" w:pos="12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its subsidiaries own or possess or can acquire on commercially reasonable terms adequate licenses or other rights to use all patents, trademarks, service marks, trade names, copyrights, mask work rights, technology and know how necessary to conduct the business now or proposed to be conducted by the Company and its subsidiaries as described in the Time of Sale Prospectus, except where the failure to own, possess or acquire such rights would not reasonably be expected to have a material adverse effect, and except as disclosed in the Time of Sale Prospectus, the Company has not received any notice of infringement of or conflict with (and knows of no such infringement of or conflict with) asserted rights of others with respect to any patents, trademarks, service marks, trade names, copyrights, mask work rights or know how which would be reasonably likely to result in a Material Adverse Effect upon the Company and its subsidiaries.</w:t>
      </w:r>
    </w:p>
    <w:p>
      <w:pPr>
        <w:spacing w:after="0" w:line="179" w:lineRule="exact"/>
        <w:rPr>
          <w:rFonts w:ascii="Arial" w:cs="Arial" w:eastAsia="Arial" w:hAnsi="Arial"/>
          <w:sz w:val="17"/>
          <w:szCs w:val="17"/>
          <w:color w:val="auto"/>
        </w:rPr>
      </w:pPr>
    </w:p>
    <w:p>
      <w:pPr>
        <w:ind w:right="80" w:firstLine="652"/>
        <w:spacing w:after="0" w:line="284" w:lineRule="auto"/>
        <w:tabs>
          <w:tab w:leader="none" w:pos="130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statements set forth in each of the Time of Sale Prospectus and the Prospectus under the caption “Description of Notes,” insofar as they purport to constitute a summary of the terms of the Indenture and the Securities and under the caption “Description of Capital Stock,” insofar as they purport to constitute a summary of the terms of the Underlying Securities, fairly summarize such terms in all material respects.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40" w:firstLine="652"/>
        <w:spacing w:after="0" w:line="262" w:lineRule="auto"/>
        <w:tabs>
          <w:tab w:leader="none" w:pos="1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Act and the rules and regulations of the Commission thereunder;</w:t>
      </w:r>
    </w:p>
    <w:p>
      <w:pPr>
        <w:spacing w:after="0" w:line="181" w:lineRule="exact"/>
        <w:rPr>
          <w:rFonts w:ascii="Arial" w:cs="Arial" w:eastAsia="Arial" w:hAnsi="Arial"/>
          <w:sz w:val="18"/>
          <w:szCs w:val="18"/>
          <w:color w:val="auto"/>
        </w:rPr>
      </w:pPr>
    </w:p>
    <w:p>
      <w:pPr>
        <w:ind w:right="100" w:firstLine="652"/>
        <w:spacing w:after="0" w:line="254" w:lineRule="auto"/>
        <w:tabs>
          <w:tab w:leader="none" w:pos="1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Time of Sale Prospectus, the Company’s internal control over financial reporting was effective as of August 28, 2008 and the Company is not aware of any material weaknesses in its internal control over financial reporting;</w:t>
      </w:r>
    </w:p>
    <w:p>
      <w:pPr>
        <w:spacing w:after="0" w:line="189" w:lineRule="exact"/>
        <w:rPr>
          <w:rFonts w:ascii="Arial" w:cs="Arial" w:eastAsia="Arial" w:hAnsi="Arial"/>
          <w:sz w:val="18"/>
          <w:szCs w:val="18"/>
          <w:color w:val="auto"/>
        </w:rPr>
      </w:pPr>
    </w:p>
    <w:p>
      <w:pPr>
        <w:ind w:right="40" w:firstLine="652"/>
        <w:spacing w:after="0" w:line="262" w:lineRule="auto"/>
        <w:tabs>
          <w:tab w:leader="none" w:pos="129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disclosed in the Time of Sale Prospectus, since the date of the latest audited financial statements included or incorporated by reference in the Time of Sale Prospectus, there has been no change in the Company’s internal control over financial reporting that has materially affected, or is reasonably likely to materially affect, the Company’s internal control over financial reporting;</w:t>
      </w:r>
    </w:p>
    <w:p>
      <w:pPr>
        <w:spacing w:after="0" w:line="181" w:lineRule="exact"/>
        <w:rPr>
          <w:rFonts w:ascii="Arial" w:cs="Arial" w:eastAsia="Arial" w:hAnsi="Arial"/>
          <w:sz w:val="18"/>
          <w:szCs w:val="18"/>
          <w:color w:val="auto"/>
        </w:rPr>
      </w:pPr>
    </w:p>
    <w:p>
      <w:pPr>
        <w:ind w:right="40" w:firstLine="652"/>
        <w:spacing w:after="0" w:line="277" w:lineRule="auto"/>
        <w:tabs>
          <w:tab w:leader="none" w:pos="12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5, 2009.</w:t>
      </w:r>
    </w:p>
    <w:p>
      <w:pPr>
        <w:spacing w:after="0" w:line="172" w:lineRule="exact"/>
        <w:rPr>
          <w:sz w:val="20"/>
          <w:szCs w:val="20"/>
          <w:color w:val="auto"/>
        </w:rPr>
      </w:pPr>
    </w:p>
    <w:p>
      <w:pPr>
        <w:ind w:firstLine="652"/>
        <w:spacing w:after="0" w:line="277" w:lineRule="auto"/>
        <w:tabs>
          <w:tab w:leader="none" w:pos="1168"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Agreements to Sell and Purchase. </w:t>
      </w:r>
      <w:r>
        <w:rPr>
          <w:rFonts w:ascii="Arial" w:cs="Arial" w:eastAsia="Arial" w:hAnsi="Arial"/>
          <w:sz w:val="17"/>
          <w:szCs w:val="17"/>
          <w:color w:val="auto"/>
        </w:rPr>
        <w:t>The Company hereby agrees to sell to the several Underwriters, and each Underwriter, upon the basis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and warranties herein contained, but subject to the conditions hereinafter stated, agrees, severally and not jointly to purchase from the Company the respective principal amount of Firm Securities set forth in Schedule II hereto opposite its name at the purchase price of 97.25% of the principal amount thereof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April 15, 2009, to the Closing Date.</w:t>
      </w:r>
    </w:p>
    <w:p>
      <w:pPr>
        <w:spacing w:after="0" w:line="172" w:lineRule="exact"/>
        <w:rPr>
          <w:sz w:val="20"/>
          <w:szCs w:val="20"/>
          <w:color w:val="auto"/>
        </w:rPr>
      </w:pPr>
    </w:p>
    <w:p>
      <w:pPr>
        <w:ind w:right="60" w:firstLine="645"/>
        <w:spacing w:after="0" w:line="257" w:lineRule="auto"/>
        <w:rPr>
          <w:sz w:val="20"/>
          <w:szCs w:val="20"/>
          <w:color w:val="auto"/>
        </w:rPr>
      </w:pPr>
      <w:r>
        <w:rPr>
          <w:rFonts w:ascii="Arial" w:cs="Arial" w:eastAsia="Arial" w:hAnsi="Arial"/>
          <w:sz w:val="18"/>
          <w:szCs w:val="18"/>
          <w:color w:val="auto"/>
        </w:rPr>
        <w:t>On the basis of the representations and warranties contained in this Agreement, and subject to its terms and conditions, the Company agrees to sell to the Underwriters the Additional Securities, and the Underwriters shall have the right to purchase, severally and not jointly, up to the aggregate principal amount of Additional Securities set forth in Schedule II hereto at the Purchase Price, plus accrued interest, if any, from the Closing Date to the Option Closing Date. The</w:t>
      </w:r>
    </w:p>
    <w:p>
      <w:pPr>
        <w:sectPr>
          <w:pgSz w:w="11900" w:h="16838" w:orient="portrait"/>
          <w:cols w:equalWidth="0" w:num="1">
            <w:col w:w="11400"/>
          </w:cols>
          <w:pgMar w:left="240" w:top="125" w:right="259" w:bottom="13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84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00"/>
          </w:cols>
          <w:pgMar w:left="240" w:top="125" w:right="259" w:bottom="135" w:gutter="0" w:footer="0" w:header="0"/>
          <w:type w:val="continuous"/>
        </w:sectPr>
      </w:pPr>
    </w:p>
    <w:bookmarkStart w:id="6" w:name="page7"/>
    <w:bookmarkEnd w:id="6"/>
    <w:p>
      <w:pPr>
        <w:jc w:val="both"/>
        <w:ind w:right="40"/>
        <w:spacing w:after="0" w:line="285" w:lineRule="auto"/>
        <w:rPr>
          <w:sz w:val="20"/>
          <w:szCs w:val="20"/>
          <w:color w:val="auto"/>
        </w:rPr>
      </w:pPr>
      <w:r>
        <w:rPr>
          <w:rFonts w:ascii="Arial" w:cs="Arial" w:eastAsia="Arial" w:hAnsi="Arial"/>
          <w:sz w:val="16"/>
          <w:szCs w:val="16"/>
          <w:color w:val="auto"/>
        </w:rPr>
        <w:t>Representatives may exercise this right on behalf of the Underwriters in whole or from time to time in part by giving written notice not later than 30 days after the date of the Prospectus. Any exercise notice shall specify the aggregate principal amount of Additional Securities to be purchased by the Underwriters and the date on which such securities are to be purchased. Each purchase date must be at least two business days after the written notice is given, unless waived in writing by the Company, and may not be earlier than the closing date for the Firm Securities nor later than ten business days after the date of such notice.</w:t>
      </w:r>
    </w:p>
    <w:p>
      <w:pPr>
        <w:ind w:right="100"/>
        <w:spacing w:after="0" w:line="250" w:lineRule="auto"/>
        <w:rPr>
          <w:sz w:val="20"/>
          <w:szCs w:val="20"/>
          <w:color w:val="auto"/>
        </w:rPr>
      </w:pPr>
      <w:r>
        <w:rPr>
          <w:rFonts w:ascii="Arial" w:cs="Arial" w:eastAsia="Arial" w:hAnsi="Arial"/>
          <w:sz w:val="18"/>
          <w:szCs w:val="18"/>
          <w:color w:val="auto"/>
        </w:rPr>
        <w:t>Additional Securities may be purchased as provided in Section 4 hereof solely for the purpose of covering over-allotments made in connection with the offering of the Firm Securities. On each day, if any, that Additional Securities are to be purchased (an “</w:t>
      </w:r>
      <w:r>
        <w:rPr>
          <w:rFonts w:ascii="Arial" w:cs="Arial" w:eastAsia="Arial" w:hAnsi="Arial"/>
          <w:sz w:val="18"/>
          <w:szCs w:val="18"/>
          <w:b w:val="1"/>
          <w:bCs w:val="1"/>
          <w:color w:val="auto"/>
        </w:rPr>
        <w:t>Option Closing Date</w:t>
      </w:r>
      <w:r>
        <w:rPr>
          <w:rFonts w:ascii="Arial" w:cs="Arial" w:eastAsia="Arial" w:hAnsi="Arial"/>
          <w:sz w:val="18"/>
          <w:szCs w:val="18"/>
          <w:color w:val="auto"/>
        </w:rPr>
        <w:t>”), each Underwriter agrees, severally and not jointly, to purchase the aggregate principal amount of Additional Securities (subject to such adjustments to eliminate fractional Securities as the Representatives may determine), that bears the same proportion to the total aggregate principal amount of Additional Securities to be purchased on such Option Closing Date as the aggregate principal amount of Firm Securities set forth in Schedule II hereto opposite the name of such Underwriter bears to the total aggregate principal amount of Firm Securities.</w:t>
      </w:r>
    </w:p>
    <w:p>
      <w:pPr>
        <w:spacing w:after="0" w:line="196" w:lineRule="exact"/>
        <w:rPr>
          <w:sz w:val="20"/>
          <w:szCs w:val="20"/>
          <w:color w:val="auto"/>
        </w:rPr>
      </w:pPr>
    </w:p>
    <w:p>
      <w:pPr>
        <w:ind w:right="220" w:firstLine="652"/>
        <w:spacing w:after="0" w:line="284" w:lineRule="auto"/>
        <w:tabs>
          <w:tab w:leader="none" w:pos="1168"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Public Offering</w:t>
      </w:r>
      <w:r>
        <w:rPr>
          <w:rFonts w:ascii="Arial" w:cs="Arial" w:eastAsia="Arial" w:hAnsi="Arial"/>
          <w:sz w:val="17"/>
          <w:szCs w:val="17"/>
          <w:color w:val="auto"/>
        </w:rPr>
        <w:t>. The Company is advised by you that the Underwriters propose to make a public offering of their respective portions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as soon after the Registration Statement and this Agreement have become effective as in your judgment is advisable. The Company is further advised by you that the Securities are to be offered to the public upon the terms set forth in the Prospectus.</w:t>
      </w:r>
    </w:p>
    <w:p>
      <w:pPr>
        <w:spacing w:after="0" w:line="165" w:lineRule="exact"/>
        <w:rPr>
          <w:rFonts w:ascii="Arial" w:cs="Arial" w:eastAsia="Arial" w:hAnsi="Arial"/>
          <w:sz w:val="17"/>
          <w:szCs w:val="17"/>
          <w:color w:val="auto"/>
        </w:rPr>
      </w:pPr>
    </w:p>
    <w:p>
      <w:pPr>
        <w:ind w:right="20" w:firstLine="652"/>
        <w:spacing w:after="0" w:line="255"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the Representatives at the office of Wilson Sonsini Goodrich &amp; Rosati, Professional Corporation, 650 Page Mill Road, Palo Alto, California, at 7:00 a.m., California time, on April 15, 2009, or at such other time on the same or such other date, not later than the fifth business day thereafter, as may be mutually agreed in writing by the Representatives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9" w:lineRule="exact"/>
        <w:rPr>
          <w:sz w:val="20"/>
          <w:szCs w:val="20"/>
          <w:color w:val="auto"/>
        </w:rPr>
      </w:pPr>
    </w:p>
    <w:p>
      <w:pPr>
        <w:ind w:right="120" w:firstLine="645"/>
        <w:spacing w:after="0" w:line="284"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to the account specified by the Company to the Representatives on the date specified in the corresponding notice described in Section 2 or at such other time on the same or on such other date, in any event not later than the tenth business day thereafter, as may be designated in writing by the Representatives.</w:t>
      </w:r>
    </w:p>
    <w:p>
      <w:pPr>
        <w:spacing w:after="0" w:line="165" w:lineRule="exact"/>
        <w:rPr>
          <w:sz w:val="20"/>
          <w:szCs w:val="20"/>
          <w:color w:val="auto"/>
        </w:rPr>
      </w:pPr>
    </w:p>
    <w:p>
      <w:pPr>
        <w:ind w:right="80" w:firstLine="645"/>
        <w:spacing w:after="0" w:line="275" w:lineRule="auto"/>
        <w:rPr>
          <w:sz w:val="20"/>
          <w:szCs w:val="20"/>
          <w:color w:val="auto"/>
        </w:rPr>
      </w:pPr>
      <w:r>
        <w:rPr>
          <w:rFonts w:ascii="Arial" w:cs="Arial" w:eastAsia="Arial" w:hAnsi="Arial"/>
          <w:sz w:val="18"/>
          <w:szCs w:val="18"/>
          <w:color w:val="auto"/>
        </w:rPr>
        <w:t>The Firm Securities and the Additional Securities shall be registered in such names and in such denominations as the Representatives shall request in writing not later than one full business day prior to the Closing Date 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applicable Option Closing Date, as the case may be, for the respective accounts of the several Underwriters.</w:t>
      </w:r>
    </w:p>
    <w:p>
      <w:pPr>
        <w:spacing w:after="0" w:line="223" w:lineRule="exact"/>
        <w:rPr>
          <w:sz w:val="20"/>
          <w:szCs w:val="20"/>
          <w:color w:val="auto"/>
        </w:rPr>
      </w:pPr>
    </w:p>
    <w:p>
      <w:pPr>
        <w:ind w:left="1180" w:hanging="528"/>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several obligations of the Underwriters are subject to the following conditions:</w:t>
      </w:r>
    </w:p>
    <w:p>
      <w:pPr>
        <w:spacing w:after="0" w:line="223" w:lineRule="exact"/>
        <w:rPr>
          <w:sz w:val="20"/>
          <w:szCs w:val="20"/>
          <w:color w:val="auto"/>
        </w:rPr>
      </w:pPr>
    </w:p>
    <w:p>
      <w:pPr>
        <w:ind w:left="1300" w:hanging="648"/>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or the applicable Option Closing Date:</w:t>
      </w:r>
    </w:p>
    <w:p>
      <w:pPr>
        <w:spacing w:after="0" w:line="234" w:lineRule="exact"/>
        <w:rPr>
          <w:rFonts w:ascii="Arial" w:cs="Arial" w:eastAsia="Arial" w:hAnsi="Arial"/>
          <w:sz w:val="17"/>
          <w:szCs w:val="17"/>
          <w:color w:val="auto"/>
        </w:rPr>
      </w:pPr>
    </w:p>
    <w:p>
      <w:pPr>
        <w:ind w:left="1300" w:right="80" w:firstLine="641"/>
        <w:spacing w:after="0" w:line="257" w:lineRule="auto"/>
        <w:tabs>
          <w:tab w:leader="none" w:pos="274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for purposes of Rule 436(g)(2) under the Securities Act; and</w:t>
      </w:r>
    </w:p>
    <w:p>
      <w:pPr>
        <w:spacing w:after="0" w:line="187" w:lineRule="exact"/>
        <w:rPr>
          <w:rFonts w:ascii="Arial" w:cs="Arial" w:eastAsia="Arial" w:hAnsi="Arial"/>
          <w:sz w:val="18"/>
          <w:szCs w:val="18"/>
          <w:color w:val="auto"/>
        </w:rPr>
      </w:pPr>
    </w:p>
    <w:p>
      <w:pPr>
        <w:ind w:left="1300" w:firstLine="641"/>
        <w:spacing w:after="0" w:line="255" w:lineRule="auto"/>
        <w:tabs>
          <w:tab w:leader="none" w:pos="27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Prospectus as of the date of this Agreement that, in your judgment, is so material and adverse and that makes it, in your judgment, impracticable to market the Securities on the terms and in the manner contemplated in the Time of Sale Prospectus.</w:t>
      </w:r>
    </w:p>
    <w:p>
      <w:pPr>
        <w:spacing w:after="0" w:line="189" w:lineRule="exact"/>
        <w:rPr>
          <w:rFonts w:ascii="Arial" w:cs="Arial" w:eastAsia="Arial" w:hAnsi="Arial"/>
          <w:sz w:val="18"/>
          <w:szCs w:val="18"/>
          <w:color w:val="auto"/>
        </w:rPr>
      </w:pPr>
    </w:p>
    <w:p>
      <w:pPr>
        <w:ind w:firstLine="652"/>
        <w:spacing w:after="0" w:line="268"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and each Option Closing Date, if any, a certificate, dated the Closing Date or applicable Option Closing Date, as the case may be, and signed by the chief executive officer or the chief financial officer of the Company, to the effect set forth in Section 5(a)(i) above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applicable Option Closing Date, as the case may be, (ii) that the Company has complied in all material respects with all of the agreements and satisfied all of the conditions on its part to be performed or satisfied hereunder on or before the Closing Date or applicable Option Closing Date, as applicable, and (iii) since the date of the most recent financial statements included in the Time of Sale Prospectus, there has been no material adverse change in the financial condition, earnings, business or properties of the Company and its subsidiaries, taken as a whole, except as set forth or contemplated in the Time of Sale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3" w:lineRule="exact"/>
        <w:rPr>
          <w:sz w:val="20"/>
          <w:szCs w:val="20"/>
          <w:color w:val="auto"/>
        </w:rPr>
      </w:pPr>
    </w:p>
    <w:p>
      <w:pPr>
        <w:ind w:right="60" w:firstLine="652"/>
        <w:spacing w:after="0" w:line="26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Securities Act within the applicable time period prescribed for such filing by the rules and regulations under the Securities Act; the final term sheet substantially in the form of Schedule I hereto, and any material required to be filed by the Company pursuant to Rule 433(d) under the Securities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to the Company’s knowledge, threatened by the Commission and no notice of objection of the Commission to the use of the Registration Statement or any post-effective amendment thereto pursuant to Rule 401(g)(2) under the Securities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Representatives’ reasonable satisfaction.</w:t>
      </w:r>
    </w:p>
    <w:p>
      <w:pPr>
        <w:sectPr>
          <w:pgSz w:w="11900" w:h="16838" w:orient="portrait"/>
          <w:cols w:equalWidth="0" w:num="1">
            <w:col w:w="11400"/>
          </w:cols>
          <w:pgMar w:left="240" w:top="340" w:right="259" w:bottom="0" w:gutter="0" w:footer="0" w:header="0"/>
        </w:sectPr>
      </w:pPr>
    </w:p>
    <w:bookmarkStart w:id="7" w:name="page8"/>
    <w:bookmarkEnd w:id="7"/>
    <w:p>
      <w:pPr>
        <w:spacing w:after="0" w:line="25" w:lineRule="exact"/>
        <w:rPr>
          <w:sz w:val="20"/>
          <w:szCs w:val="20"/>
          <w:color w:val="auto"/>
        </w:rPr>
      </w:pPr>
    </w:p>
    <w:p>
      <w:pPr>
        <w:jc w:val="both"/>
        <w:ind w:right="120" w:firstLine="652"/>
        <w:spacing w:after="0" w:line="262"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Wilson Sonsini Goodrich &amp; Rosati, Professional Corporation, outside counsel for the Company, dated the Closing Date and each Option Closing Date, as the case may be, in the form attached hereto as Exhibit B;</w:t>
      </w:r>
    </w:p>
    <w:p>
      <w:pPr>
        <w:spacing w:after="0" w:line="181" w:lineRule="exact"/>
        <w:rPr>
          <w:rFonts w:ascii="Arial" w:cs="Arial" w:eastAsia="Arial" w:hAnsi="Arial"/>
          <w:sz w:val="18"/>
          <w:szCs w:val="18"/>
          <w:color w:val="auto"/>
        </w:rPr>
      </w:pPr>
    </w:p>
    <w:p>
      <w:pPr>
        <w:ind w:right="40" w:firstLine="652"/>
        <w:spacing w:after="0" w:line="26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Roderic W. Lewis, the Company’s General Counsel, dated the Closing Date and each Option Closing Date, as the case may be, in substantially the form attached hereto as Exhibit C;</w:t>
      </w:r>
    </w:p>
    <w:p>
      <w:pPr>
        <w:spacing w:after="0" w:line="181" w:lineRule="exact"/>
        <w:rPr>
          <w:rFonts w:ascii="Arial" w:cs="Arial" w:eastAsia="Arial" w:hAnsi="Arial"/>
          <w:sz w:val="18"/>
          <w:szCs w:val="18"/>
          <w:color w:val="auto"/>
        </w:rPr>
      </w:pPr>
    </w:p>
    <w:p>
      <w:pPr>
        <w:ind w:right="500" w:firstLine="652"/>
        <w:spacing w:after="0" w:line="262" w:lineRule="auto"/>
        <w:tabs>
          <w:tab w:leader="none" w:pos="1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Simpson Thacher &amp; Bartlett, LLP, counsel for the Underwriters, dated the Closing Date and each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right="40" w:firstLine="652"/>
        <w:spacing w:after="0" w:line="255"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Underwriters shall have received, on each of the date hereof, the Closing Date and each Option Closing Date, if any, a letter dated the date hereof, the Closing Date or applicable Option Closing Date, as the case may be, in form and substance satisfactory to the Underwriters,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652"/>
        <w:spacing w:after="0" w:line="262"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officers and directors of the Company named in Schedule IV hereto relating to sales and certain other dispositions of Securities, Common Stock or certain other securities shall be in full force and effect on the Closing Date.</w:t>
      </w:r>
    </w:p>
    <w:p>
      <w:pPr>
        <w:spacing w:after="0" w:line="181" w:lineRule="exact"/>
        <w:rPr>
          <w:rFonts w:ascii="Arial" w:cs="Arial" w:eastAsia="Arial" w:hAnsi="Arial"/>
          <w:sz w:val="18"/>
          <w:szCs w:val="18"/>
          <w:color w:val="auto"/>
        </w:rPr>
      </w:pPr>
    </w:p>
    <w:p>
      <w:pPr>
        <w:ind w:right="40" w:firstLine="652"/>
        <w:spacing w:after="0" w:line="257" w:lineRule="auto"/>
        <w:tabs>
          <w:tab w:leader="none" w:pos="13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88" w:lineRule="exact"/>
        <w:rPr>
          <w:sz w:val="20"/>
          <w:szCs w:val="20"/>
          <w:color w:val="auto"/>
        </w:rPr>
      </w:pPr>
    </w:p>
    <w:p>
      <w:pPr>
        <w:jc w:val="both"/>
        <w:ind w:right="220" w:firstLine="645"/>
        <w:spacing w:after="0" w:line="309" w:lineRule="auto"/>
        <w:rPr>
          <w:sz w:val="20"/>
          <w:szCs w:val="20"/>
          <w:color w:val="auto"/>
        </w:rPr>
      </w:pPr>
      <w:r>
        <w:rPr>
          <w:rFonts w:ascii="Arial" w:cs="Arial" w:eastAsia="Arial" w:hAnsi="Arial"/>
          <w:sz w:val="16"/>
          <w:szCs w:val="16"/>
          <w:color w:val="auto"/>
        </w:rPr>
        <w:t>The several obligations of the Underwriters to purchase Additional Securities hereunder are subject to the delivery to you on the applicable Option Closing Date of such documents as you may reasonably request with respect to the good standing of the Company, the due authorization and issuance of the Additional Securities to be sold on such Option Closing Date and other matters related to the issuance of such Additional Securities.</w:t>
      </w:r>
    </w:p>
    <w:p>
      <w:pPr>
        <w:spacing w:after="0" w:line="149" w:lineRule="exact"/>
        <w:rPr>
          <w:sz w:val="20"/>
          <w:szCs w:val="20"/>
          <w:color w:val="auto"/>
        </w:rPr>
      </w:pPr>
    </w:p>
    <w:p>
      <w:pPr>
        <w:ind w:left="1180" w:hanging="528"/>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3" w:lineRule="exact"/>
        <w:rPr>
          <w:sz w:val="20"/>
          <w:szCs w:val="20"/>
          <w:color w:val="auto"/>
        </w:rPr>
      </w:pPr>
    </w:p>
    <w:p>
      <w:pPr>
        <w:ind w:right="40" w:firstLine="652"/>
        <w:spacing w:after="0" w:line="25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furnish to the Representatives,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187" w:lineRule="exact"/>
        <w:rPr>
          <w:rFonts w:ascii="Arial" w:cs="Arial" w:eastAsia="Arial" w:hAnsi="Arial"/>
          <w:sz w:val="18"/>
          <w:szCs w:val="18"/>
          <w:color w:val="auto"/>
        </w:rPr>
      </w:pPr>
    </w:p>
    <w:p>
      <w:pPr>
        <w:ind w:right="80" w:firstLine="652"/>
        <w:spacing w:after="0" w:line="25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except as may be required by applicable law, and to file with the Commission within the applicable period specified in Rule 424(b) under the Securities Act any prospectus required to be filed pursuant to such Rule.</w:t>
      </w:r>
    </w:p>
    <w:p>
      <w:pPr>
        <w:spacing w:after="0" w:line="187" w:lineRule="exact"/>
        <w:rPr>
          <w:rFonts w:ascii="Arial" w:cs="Arial" w:eastAsia="Arial" w:hAnsi="Arial"/>
          <w:sz w:val="18"/>
          <w:szCs w:val="18"/>
          <w:color w:val="auto"/>
        </w:rPr>
      </w:pPr>
    </w:p>
    <w:p>
      <w:pPr>
        <w:ind w:right="100" w:firstLine="652"/>
        <w:spacing w:after="0" w:line="27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the Representatives reasonably object.</w:t>
      </w:r>
    </w:p>
    <w:p>
      <w:pPr>
        <w:spacing w:after="0" w:line="170" w:lineRule="exact"/>
        <w:rPr>
          <w:rFonts w:ascii="Arial" w:cs="Arial" w:eastAsia="Arial" w:hAnsi="Arial"/>
          <w:sz w:val="18"/>
          <w:szCs w:val="18"/>
          <w:color w:val="auto"/>
        </w:rPr>
      </w:pPr>
    </w:p>
    <w:p>
      <w:pPr>
        <w:ind w:left="1300" w:hanging="648"/>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Rule 433(d)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under the Securities Act a free writing prospectus prepared by or on behalf of the Underwriters that the Underwriters otherwise would not have been required to file thereunder.</w:t>
      </w:r>
    </w:p>
    <w:p>
      <w:pPr>
        <w:spacing w:after="0" w:line="170" w:lineRule="exact"/>
        <w:rPr>
          <w:sz w:val="20"/>
          <w:szCs w:val="20"/>
          <w:color w:val="auto"/>
        </w:rPr>
      </w:pPr>
    </w:p>
    <w:p>
      <w:pPr>
        <w:ind w:right="60" w:firstLine="652"/>
        <w:spacing w:after="0" w:line="26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3" w:lineRule="exact"/>
        <w:rPr>
          <w:rFonts w:ascii="Arial" w:cs="Arial" w:eastAsia="Arial" w:hAnsi="Arial"/>
          <w:sz w:val="17"/>
          <w:szCs w:val="17"/>
          <w:color w:val="auto"/>
        </w:rPr>
      </w:pPr>
    </w:p>
    <w:p>
      <w:pPr>
        <w:ind w:right="160" w:firstLine="652"/>
        <w:spacing w:after="0" w:line="285" w:lineRule="auto"/>
        <w:tabs>
          <w:tab w:leader="none" w:pos="13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Securities and prior to the completion of the distribution of the Securities by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w:t>
      </w:r>
    </w:p>
    <w:p>
      <w:pPr>
        <w:jc w:val="both"/>
        <w:ind w:right="480"/>
        <w:spacing w:after="0" w:line="320" w:lineRule="auto"/>
        <w:rPr>
          <w:rFonts w:ascii="Arial" w:cs="Arial" w:eastAsia="Arial" w:hAnsi="Arial"/>
          <w:sz w:val="16"/>
          <w:szCs w:val="16"/>
          <w:color w:val="auto"/>
        </w:rPr>
      </w:pPr>
      <w:r>
        <w:rPr>
          <w:rFonts w:ascii="Arial" w:cs="Arial" w:eastAsia="Arial" w:hAnsi="Arial"/>
          <w:sz w:val="16"/>
          <w:szCs w:val="16"/>
          <w:color w:val="auto"/>
        </w:rPr>
        <w:t>Rule 173(a) of the Securities Act) is delivered to a purchaser, not misleading, or if it is necessary to amend or supplement the Prospectus to comply with applicable law, forthwith to prepare, file with the Commission and furnish, at its own expense, to the Underwriters and to the dealers (whose names and</w:t>
      </w:r>
    </w:p>
    <w:p>
      <w:pPr>
        <w:sectPr>
          <w:pgSz w:w="11900" w:h="16863" w:orient="portrait"/>
          <w:cols w:equalWidth="0" w:num="1">
            <w:col w:w="11400"/>
          </w:cols>
          <w:pgMar w:left="240" w:top="125" w:right="259" w:bottom="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7"/>
          <w:szCs w:val="17"/>
          <w:color w:val="auto"/>
        </w:rPr>
        <w:t>addresses you will furnish to the Company) to which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2" w:lineRule="exact"/>
        <w:rPr>
          <w:sz w:val="20"/>
          <w:szCs w:val="20"/>
          <w:color w:val="auto"/>
        </w:rPr>
      </w:pPr>
    </w:p>
    <w:p>
      <w:pPr>
        <w:ind w:right="40" w:firstLine="652"/>
        <w:spacing w:after="0" w:line="262"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as the Representatives shall reasonably request in writing prior to the Closing Date, provided that in connection therewith the Company shall not be required to qualify as a foreign corporation or to file a general consent to service of process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any jurisdiction or subject itself to taxation in respect of doing business in any jurisdiction in which it is otherwise not so subject.</w:t>
      </w:r>
    </w:p>
    <w:p>
      <w:pPr>
        <w:spacing w:after="0" w:line="223" w:lineRule="exact"/>
        <w:rPr>
          <w:sz w:val="20"/>
          <w:szCs w:val="20"/>
          <w:color w:val="auto"/>
        </w:rPr>
      </w:pPr>
    </w:p>
    <w:p>
      <w:pPr>
        <w:ind w:right="20" w:firstLine="652"/>
        <w:spacing w:after="0" w:line="262"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81" w:lineRule="exact"/>
        <w:rPr>
          <w:rFonts w:ascii="Arial" w:cs="Arial" w:eastAsia="Arial" w:hAnsi="Arial"/>
          <w:sz w:val="18"/>
          <w:szCs w:val="18"/>
          <w:color w:val="auto"/>
        </w:rPr>
      </w:pPr>
    </w:p>
    <w:p>
      <w:pPr>
        <w:ind w:firstLine="652"/>
        <w:spacing w:after="0" w:line="283" w:lineRule="auto"/>
        <w:tabs>
          <w:tab w:leader="none" w:pos="13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 (b)(1), if applicable), all printing costs associated therewith, and the mailing and delivering of copies thereof to the Underwriters and dealers, in the quantities hereinabove specified, (ii)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Underwriters in connection with such qualification and in connection with the Blue Sky or Legal Investment memorandum, (iii) all filing fees and the reasonable fees and disbursements of counsel to the Underwriters incurred in connection with the review and qualification of the offering of the Securities by the Financial Industry Regulatory Authority, (iv) the cost of printing certificates representing the Securities, (v) the costs and charges of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the document production charges and expenses associated with printing this Agreement and (vii) all other costs and expenses incident to the performance of the obligations of the Company hereunder for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80"/>
        <w:spacing w:after="0" w:line="309" w:lineRule="auto"/>
        <w:rPr>
          <w:sz w:val="20"/>
          <w:szCs w:val="20"/>
          <w:color w:val="auto"/>
        </w:rPr>
      </w:pPr>
      <w:r>
        <w:rPr>
          <w:rFonts w:ascii="Arial" w:cs="Arial" w:eastAsia="Arial" w:hAnsi="Arial"/>
          <w:sz w:val="16"/>
          <w:szCs w:val="16"/>
          <w:color w:val="auto"/>
        </w:rPr>
        <w:t>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149" w:lineRule="exact"/>
        <w:rPr>
          <w:sz w:val="20"/>
          <w:szCs w:val="20"/>
          <w:color w:val="auto"/>
        </w:rPr>
      </w:pPr>
    </w:p>
    <w:p>
      <w:pPr>
        <w:ind w:right="200" w:firstLine="652"/>
        <w:spacing w:after="0" w:line="257" w:lineRule="auto"/>
        <w:tabs>
          <w:tab w:leader="none" w:pos="1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period beginning on the date hereof and continuing to and including the Closing Date, not to offer, sell, contract to sell or otherwise dispose of any debt securities of the Company or warrants to purchase or otherwise acquire debt securities of the Company substantially similar to the Securities (other than (i) the Securities, (ii) commercial paper issued in the ordinary course of business, or (iii) securities or warrants permitted with the prior written consent of each of the Representatives.</w:t>
      </w:r>
    </w:p>
    <w:p>
      <w:pPr>
        <w:spacing w:after="0" w:line="187" w:lineRule="exact"/>
        <w:rPr>
          <w:rFonts w:ascii="Arial" w:cs="Arial" w:eastAsia="Arial" w:hAnsi="Arial"/>
          <w:sz w:val="18"/>
          <w:szCs w:val="18"/>
          <w:color w:val="auto"/>
        </w:rPr>
      </w:pPr>
    </w:p>
    <w:p>
      <w:pPr>
        <w:ind w:right="380" w:firstLine="652"/>
        <w:spacing w:after="0" w:line="262" w:lineRule="auto"/>
        <w:tabs>
          <w:tab w:leader="none" w:pos="13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prepare a final term sheet relating to the offering of the Securities,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Securities.</w:t>
      </w:r>
    </w:p>
    <w:p>
      <w:pPr>
        <w:spacing w:after="0" w:line="181" w:lineRule="exact"/>
        <w:rPr>
          <w:rFonts w:ascii="Arial" w:cs="Arial" w:eastAsia="Arial" w:hAnsi="Arial"/>
          <w:sz w:val="18"/>
          <w:szCs w:val="18"/>
          <w:color w:val="auto"/>
        </w:rPr>
      </w:pPr>
    </w:p>
    <w:p>
      <w:pPr>
        <w:ind w:right="180" w:firstLine="652"/>
        <w:spacing w:after="0" w:line="339" w:lineRule="auto"/>
        <w:tabs>
          <w:tab w:leader="none" w:pos="131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use commercially reasonable efforts to list the Underlying Securities issuable upon conversion of the Securities on the New York Stock Exchange or another U.S. national securities exchange or established automated over-the-counter trading market in the United States of America.</w:t>
      </w:r>
    </w:p>
    <w:p>
      <w:pPr>
        <w:spacing w:after="0" w:line="124" w:lineRule="exact"/>
        <w:rPr>
          <w:rFonts w:ascii="Arial" w:cs="Arial" w:eastAsia="Arial" w:hAnsi="Arial"/>
          <w:sz w:val="16"/>
          <w:szCs w:val="16"/>
          <w:color w:val="auto"/>
        </w:rPr>
      </w:pPr>
    </w:p>
    <w:p>
      <w:pPr>
        <w:ind w:right="100" w:firstLine="652"/>
        <w:spacing w:after="0" w:line="275" w:lineRule="auto"/>
        <w:tabs>
          <w:tab w:leader="none" w:pos="1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Prospectus under the caption “Use of Proceeds.”</w:t>
      </w:r>
    </w:p>
    <w:p>
      <w:pPr>
        <w:spacing w:after="0" w:line="170" w:lineRule="exact"/>
        <w:rPr>
          <w:rFonts w:ascii="Arial" w:cs="Arial" w:eastAsia="Arial" w:hAnsi="Arial"/>
          <w:sz w:val="18"/>
          <w:szCs w:val="18"/>
          <w:color w:val="auto"/>
        </w:rPr>
      </w:pPr>
    </w:p>
    <w:p>
      <w:pPr>
        <w:ind w:right="720" w:firstLine="652"/>
        <w:spacing w:after="0" w:line="275" w:lineRule="auto"/>
        <w:tabs>
          <w:tab w:leader="none" w:pos="12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reserve and keep available at all times, free of preemptive rights, shares of Underlying Securities for the purpose of enabling the Company to satisfy any obligation to issue shares of its Underlying Securities upon conversion of the Securities.</w:t>
      </w:r>
    </w:p>
    <w:p>
      <w:pPr>
        <w:spacing w:after="0" w:line="170" w:lineRule="exact"/>
        <w:rPr>
          <w:rFonts w:ascii="Arial" w:cs="Arial" w:eastAsia="Arial" w:hAnsi="Arial"/>
          <w:sz w:val="18"/>
          <w:szCs w:val="18"/>
          <w:color w:val="auto"/>
        </w:rPr>
      </w:pPr>
    </w:p>
    <w:p>
      <w:pPr>
        <w:ind w:firstLine="652"/>
        <w:spacing w:after="0" w:line="272" w:lineRule="auto"/>
        <w:tabs>
          <w:tab w:leader="none" w:pos="12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also covenants with each Underwriter that, without the prior written consent of each of the Representatives, it will not, for the period of ninety (90) days from the date of this Agreement,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5" w:right="239" w:bottom="339" w:gutter="0" w:footer="0" w:header="0"/>
        </w:sectPr>
      </w:pPr>
    </w:p>
    <w:bookmarkStart w:id="9" w:name="page10"/>
    <w:bookmarkEnd w:id="9"/>
    <w:p>
      <w:pPr>
        <w:ind w:firstLine="7"/>
        <w:spacing w:after="0" w:line="282" w:lineRule="auto"/>
        <w:tabs>
          <w:tab w:leader="none" w:pos="2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Underwriters have been advised in writing, (c) any grants under the Company’s equity or stock plans in accordance with the terms of such plans as described in the Time of Sale Prospectus, (d)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the aggregate number of shares of Common Stock issued in or issuable upon the exercise of rights to receive shares of Common Stock granted in such transactions in the aggregate shall not exceed five percent (5%) of the Company’s outstanding Common Stock as of the Closing Date (it being understood that shares issued or issuable pursuant to clause</w:t>
      </w:r>
    </w:p>
    <w:p>
      <w:pPr>
        <w:spacing w:after="0" w:line="2" w:lineRule="exact"/>
        <w:rPr>
          <w:rFonts w:ascii="Arial" w:cs="Arial" w:eastAsia="Arial" w:hAnsi="Arial"/>
          <w:sz w:val="16"/>
          <w:szCs w:val="16"/>
          <w:color w:val="auto"/>
        </w:rPr>
      </w:pPr>
    </w:p>
    <w:p>
      <w:pPr>
        <w:ind w:right="100"/>
        <w:spacing w:after="0" w:line="280" w:lineRule="auto"/>
        <w:rPr>
          <w:rFonts w:ascii="Arial" w:cs="Arial" w:eastAsia="Arial" w:hAnsi="Arial"/>
          <w:sz w:val="16"/>
          <w:szCs w:val="16"/>
          <w:color w:val="auto"/>
        </w:rPr>
      </w:pPr>
      <w:r>
        <w:rPr>
          <w:rFonts w:ascii="Arial" w:cs="Arial" w:eastAsia="Arial" w:hAnsi="Arial"/>
          <w:sz w:val="16"/>
          <w:szCs w:val="16"/>
          <w:color w:val="auto"/>
        </w:rPr>
        <w:t>(e) below shall not count against such five percent (5%) limit), (e)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prior to or concurrently with execution of any binding agreement providing for the issuance of any such shares or rights, the entity that is issued or to be issued such Common Stock or rights to receive such Common Stock pursuant to such agreement agrees with the Company that from the date of such agreement until a date that is at least 90 days after the date of this Agreement such entity and its controlled affiliates will be subject to restrictions at least as restrictive as those set forth in the form of “lock-up” agreement attached as Exhibit A hereto solely with respect to such Common Stock received or rights to receive such Common Stock (and not with respect to other Common Stock or rights to receive Common Stock then owned or thereafter acquired by such entity or its controlled affiliates), provided, that transfers among a party to such agreements and its controlled affiliates and among controlled affiliates will be permitted and that the exceptions provided for in the agreement attached as Exhibit A shall only apply if the party relying on such exception is an individual),</w:t>
      </w:r>
    </w:p>
    <w:p>
      <w:pPr>
        <w:spacing w:after="0" w:line="1" w:lineRule="exact"/>
        <w:rPr>
          <w:rFonts w:ascii="Arial" w:cs="Arial" w:eastAsia="Arial" w:hAnsi="Arial"/>
          <w:sz w:val="16"/>
          <w:szCs w:val="16"/>
          <w:color w:val="auto"/>
        </w:rPr>
      </w:pPr>
    </w:p>
    <w:p>
      <w:pPr>
        <w:ind w:right="20"/>
        <w:spacing w:after="0" w:line="280" w:lineRule="auto"/>
        <w:rPr>
          <w:rFonts w:ascii="Arial" w:cs="Arial" w:eastAsia="Arial" w:hAnsi="Arial"/>
          <w:sz w:val="16"/>
          <w:szCs w:val="16"/>
          <w:color w:val="auto"/>
        </w:rPr>
      </w:pPr>
      <w:r>
        <w:rPr>
          <w:rFonts w:ascii="Arial" w:cs="Arial" w:eastAsia="Arial" w:hAnsi="Arial"/>
          <w:sz w:val="16"/>
          <w:szCs w:val="16"/>
          <w:color w:val="auto"/>
        </w:rPr>
        <w:t>(f) the concurrent issuance of shares of Common Stock as described in the Time of Sale Prospectus, or (g) the capped call transactions described in the Time of Sale Prospectus. The Company agrees that, prior to the date that is 90 days after the date of this Agreement, without the prior written consent of each of the Representatives, it will not waive any of the restrictions set forth in any of the lock-up agreements that qualify an issuance for the exception set forth in clause</w:t>
      </w:r>
    </w:p>
    <w:p>
      <w:pPr>
        <w:spacing w:after="0"/>
        <w:rPr>
          <w:rFonts w:ascii="Arial" w:cs="Arial" w:eastAsia="Arial" w:hAnsi="Arial"/>
          <w:sz w:val="16"/>
          <w:szCs w:val="16"/>
          <w:color w:val="auto"/>
        </w:rPr>
      </w:pPr>
      <w:r>
        <w:rPr>
          <w:rFonts w:ascii="Arial" w:cs="Arial" w:eastAsia="Arial" w:hAnsi="Arial"/>
          <w:sz w:val="18"/>
          <w:szCs w:val="18"/>
          <w:color w:val="auto"/>
        </w:rPr>
        <w:t>(e) of the preceding sentence.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652"/>
        <w:spacing w:after="0" w:line="262"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right="40" w:firstLine="652"/>
        <w:spacing w:after="0" w:line="267" w:lineRule="auto"/>
        <w:tabs>
          <w:tab w:leader="none" w:pos="116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Indemnity and Contribution. </w:t>
      </w:r>
      <w:r>
        <w:rPr>
          <w:rFonts w:ascii="Arial" w:cs="Arial" w:eastAsia="Arial" w:hAnsi="Arial"/>
          <w:sz w:val="17"/>
          <w:szCs w:val="17"/>
          <w:color w:val="auto"/>
        </w:rPr>
        <w:t>(a) The Company agrees to indemnify and hold harmless each Underwriter, the directors, officers,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(and other than with respect to the Registration Statement, in light of the circumstances in which they were made)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83" w:lineRule="exact"/>
        <w:rPr>
          <w:sz w:val="20"/>
          <w:szCs w:val="20"/>
          <w:color w:val="auto"/>
        </w:rPr>
      </w:pPr>
    </w:p>
    <w:p>
      <w:pPr>
        <w:ind w:right="20" w:firstLine="652"/>
        <w:spacing w:after="0" w:line="254" w:lineRule="auto"/>
        <w:tabs>
          <w:tab w:leader="none" w:pos="11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each of its directors, officers who sign the Registration Statement, employees and agents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or the Prospectus or any amendment or supplement thereto.</w:t>
      </w:r>
    </w:p>
    <w:p>
      <w:pPr>
        <w:spacing w:after="0" w:line="189" w:lineRule="exact"/>
        <w:rPr>
          <w:rFonts w:ascii="Arial" w:cs="Arial" w:eastAsia="Arial" w:hAnsi="Arial"/>
          <w:sz w:val="18"/>
          <w:szCs w:val="18"/>
          <w:color w:val="auto"/>
        </w:rPr>
      </w:pPr>
    </w:p>
    <w:p>
      <w:pPr>
        <w:ind w:right="40" w:firstLine="652"/>
        <w:spacing w:after="0" w:line="262" w:lineRule="auto"/>
        <w:tabs>
          <w:tab w:leader="none" w:pos="1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and the indemnifying party, upon request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prior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w:t>
      </w:r>
    </w:p>
    <w:p>
      <w:pPr>
        <w:sectPr>
          <w:pgSz w:w="11900" w:h="16838" w:orient="portrait"/>
          <w:cols w:equalWidth="0" w:num="1">
            <w:col w:w="11420"/>
          </w:cols>
          <w:pgMar w:left="240" w:top="125" w:right="239" w:bottom="0" w:gutter="0" w:footer="0" w:header="0"/>
        </w:sectPr>
      </w:pPr>
    </w:p>
    <w:bookmarkStart w:id="10" w:name="page11"/>
    <w:bookmarkEnd w:id="10"/>
    <w:p>
      <w:pPr>
        <w:ind w:right="60"/>
        <w:spacing w:after="0" w:line="339" w:lineRule="auto"/>
        <w:rPr>
          <w:sz w:val="20"/>
          <w:szCs w:val="20"/>
          <w:color w:val="auto"/>
        </w:rPr>
      </w:pPr>
      <w:r>
        <w:rPr>
          <w:rFonts w:ascii="Arial" w:cs="Arial" w:eastAsia="Arial" w:hAnsi="Arial"/>
          <w:sz w:val="16"/>
          <w:szCs w:val="16"/>
          <w:color w:val="auto"/>
        </w:rPr>
        <w:t>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25" w:lineRule="exact"/>
        <w:rPr>
          <w:sz w:val="20"/>
          <w:szCs w:val="20"/>
          <w:color w:val="auto"/>
        </w:rPr>
      </w:pPr>
    </w:p>
    <w:p>
      <w:pPr>
        <w:ind w:right="80" w:firstLine="652"/>
        <w:spacing w:after="0" w:line="272" w:lineRule="auto"/>
        <w:tabs>
          <w:tab w:leader="none" w:pos="118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bear to the aggregate public offering price of the Securities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168" w:lineRule="exact"/>
        <w:rPr>
          <w:sz w:val="20"/>
          <w:szCs w:val="20"/>
          <w:color w:val="auto"/>
        </w:rPr>
      </w:pPr>
    </w:p>
    <w:p>
      <w:pPr>
        <w:ind w:firstLine="652"/>
        <w:spacing w:after="0" w:line="282" w:lineRule="auto"/>
        <w:tabs>
          <w:tab w:leader="none" w:pos="11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allocation (even if the Underwriters were treated as one entity for such purpose) or by any other method of allocation that does not take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w:t>
      </w:r>
    </w:p>
    <w:p>
      <w:pPr>
        <w:spacing w:after="0" w:line="3"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0" w:lineRule="exact"/>
        <w:rPr>
          <w:rFonts w:ascii="Arial" w:cs="Arial" w:eastAsia="Arial" w:hAnsi="Arial"/>
          <w:sz w:val="16"/>
          <w:szCs w:val="16"/>
          <w:color w:val="auto"/>
        </w:rPr>
      </w:pPr>
    </w:p>
    <w:p>
      <w:pPr>
        <w:ind w:right="360" w:firstLine="652"/>
        <w:spacing w:after="0" w:line="257" w:lineRule="auto"/>
        <w:tabs>
          <w:tab w:leader="none" w:pos="11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director, officer, employee, agent or affiliate of any Underwriter or by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behalf of the Company, its officers, directors, employees, agents, or any person controlling the Company and (iii) acceptance of and payment for any of the Securities.</w:t>
      </w:r>
    </w:p>
    <w:p>
      <w:pPr>
        <w:spacing w:after="0" w:line="170" w:lineRule="exact"/>
        <w:rPr>
          <w:sz w:val="20"/>
          <w:szCs w:val="20"/>
          <w:color w:val="auto"/>
        </w:rPr>
      </w:pPr>
    </w:p>
    <w:p>
      <w:pPr>
        <w:ind w:right="20" w:firstLine="652"/>
        <w:spacing w:after="0" w:line="287" w:lineRule="auto"/>
        <w:tabs>
          <w:tab w:leader="none" w:pos="1168"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the Closing Date (a) trading generally shall have been suspended or materially limited on, or by, as the case may be, any of the New York Stock Exchange, the NASDAQ Global Market, the Chicago Board of Options Exchange, the Chicago Mercantile Exchange or the Chicago Board of Trade, (b) trading of any securities of the Company shall have been suspended on any exchange, (c) a material disruption in securities settlement, payment or clearance services in the United States shall have occurred, (d) any moratorium on commercial banking activities shall have been declared by Federal or New York or Idaho State authorities or (e) there shall have occurred any outbreak or escalation of hostilities, or any change in financial markets or any calamity or crisis that, in the Representatives’ judgment, is material and adverse and which, singly or together with any other event specified in this clause 9, makes it, in the Representatives’ judgment, impracticable or inadvisable to proceed with the offer, sale or delivery of the Securities on the terms and in the manner contemplated in the Time of Sale Prospectus or the Prospectus.</w:t>
      </w:r>
    </w:p>
    <w:p>
      <w:pPr>
        <w:spacing w:after="0" w:line="168" w:lineRule="exact"/>
        <w:rPr>
          <w:rFonts w:ascii="Arial" w:cs="Arial" w:eastAsia="Arial" w:hAnsi="Arial"/>
          <w:sz w:val="16"/>
          <w:szCs w:val="16"/>
          <w:color w:val="auto"/>
        </w:rPr>
      </w:pPr>
    </w:p>
    <w:p>
      <w:pPr>
        <w:ind w:left="1180" w:hanging="528"/>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 hereto.</w:t>
      </w:r>
    </w:p>
    <w:p>
      <w:pPr>
        <w:spacing w:after="0" w:line="246"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If, on the Closing Date or an Option Closing Date, as the case may be, any one or more of the Underwriters shall fail or refuse to purchase Securities that it has or they have agreed to purchase hereunder on such date, and the aggregate principal amount of Securities which such defaulting Underwriter or Underwriters agreed but failed or refused to purchase is not more than one tenth of the aggregate principal amount of the Securities to be purchased on such date, the other Underwriters shall be obligated severally in the proportions that the principal amount of Firm Securities set forth opposite their respective names in Schedule II bears to the aggregate principal amount of Firm Securities set forth opposite the names of all such non defaulting Underwriters, or in such other proportions as the Representatives may specify, to purchase the Securities which such defaulting Underwriter or Underwriters agreed but failed or refused to purchase on such date; provided that in no event shall the principal amount of Securities that any Underwriter has agreed to purchase pursuant to this Agreement be increased pursuant to this Section 10 by an amount in excess of one ninth of such principal amount of Securities without the written consent of such Underwriter. If, on the Closing Date, any Underwriter or Underwriters shall fail or refuse to purchase Firm Securities and the aggregate principal amount of Firm Securities with respect to which such default occurs is more than one tenth of the aggregate principal amount of Firm Securities to be purchased on such date, and arrangements satisfactory to the Representatives and the Company for the purchase of such Firm Securities are not made within 36 hours after such default,</w:t>
      </w:r>
    </w:p>
    <w:p>
      <w:pPr>
        <w:sectPr>
          <w:pgSz w:w="11900" w:h="16838" w:orient="portrait"/>
          <w:cols w:equalWidth="0" w:num="1">
            <w:col w:w="11380"/>
          </w:cols>
          <w:pgMar w:left="240" w:top="125" w:right="279" w:bottom="147"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26884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380"/>
          </w:cols>
          <w:pgMar w:left="240" w:top="125" w:right="279" w:bottom="147" w:gutter="0" w:footer="0" w:header="0"/>
          <w:type w:val="continuous"/>
        </w:sectPr>
      </w:pPr>
    </w:p>
    <w:bookmarkStart w:id="11" w:name="page12"/>
    <w:bookmarkEnd w:id="11"/>
    <w:p>
      <w:pPr>
        <w:ind w:right="20"/>
        <w:spacing w:after="0" w:line="268" w:lineRule="auto"/>
        <w:rPr>
          <w:sz w:val="20"/>
          <w:szCs w:val="20"/>
          <w:color w:val="auto"/>
        </w:rPr>
      </w:pPr>
      <w:r>
        <w:rPr>
          <w:rFonts w:ascii="Arial" w:cs="Arial" w:eastAsia="Arial" w:hAnsi="Arial"/>
          <w:sz w:val="17"/>
          <w:szCs w:val="17"/>
          <w:color w:val="auto"/>
        </w:rPr>
        <w:t>this Agreement shall terminate without liability on the part of any non 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Securities and the aggregate principal amount of Additional Securities with respect to which such default occurs is more than one tenth of the aggregate principal amount of Additional Securities to be purchased on such Option Closing Date, the non-defaulting Underwriters shall have the option to (i) terminate their obligation hereunder to purchase the Additional Securities to be sold on such Option Closing Date or (ii) purchase not less than the aggregate principal amount of Additional Securities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4" w:lineRule="exact"/>
        <w:rPr>
          <w:sz w:val="20"/>
          <w:szCs w:val="20"/>
          <w:color w:val="auto"/>
        </w:rPr>
      </w:pPr>
    </w:p>
    <w:p>
      <w:pPr>
        <w:ind w:right="240" w:firstLine="645"/>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9" w:lineRule="exact"/>
        <w:rPr>
          <w:sz w:val="20"/>
          <w:szCs w:val="20"/>
          <w:color w:val="auto"/>
        </w:rPr>
      </w:pPr>
    </w:p>
    <w:p>
      <w:pPr>
        <w:jc w:val="both"/>
        <w:ind w:firstLine="652"/>
        <w:spacing w:after="0" w:line="257" w:lineRule="auto"/>
        <w:tabs>
          <w:tab w:leader="none" w:pos="117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88" w:lineRule="exact"/>
        <w:rPr>
          <w:sz w:val="20"/>
          <w:szCs w:val="20"/>
          <w:color w:val="auto"/>
        </w:rPr>
      </w:pPr>
    </w:p>
    <w:p>
      <w:pPr>
        <w:ind w:right="20" w:firstLine="652"/>
        <w:spacing w:after="0" w:line="255" w:lineRule="auto"/>
        <w:tabs>
          <w:tab w:leader="none" w:pos="10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firstLine="652"/>
        <w:spacing w:after="0" w:line="275" w:lineRule="auto"/>
        <w:tabs>
          <w:tab w:leader="none" w:pos="1177"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180" w:hanging="528"/>
        <w:spacing w:after="0"/>
        <w:tabs>
          <w:tab w:leader="none" w:pos="1180"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4" w:lineRule="exact"/>
        <w:rPr>
          <w:rFonts w:ascii="Arial" w:cs="Arial" w:eastAsia="Arial" w:hAnsi="Arial"/>
          <w:sz w:val="17"/>
          <w:szCs w:val="17"/>
          <w:color w:val="auto"/>
        </w:rPr>
      </w:pPr>
    </w:p>
    <w:p>
      <w:pPr>
        <w:ind w:right="320" w:firstLine="652"/>
        <w:spacing w:after="0" w:line="275" w:lineRule="auto"/>
        <w:tabs>
          <w:tab w:leader="none" w:pos="1177"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60" w:firstLine="652"/>
        <w:spacing w:after="0" w:line="285" w:lineRule="auto"/>
        <w:tabs>
          <w:tab w:leader="none" w:pos="1177"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(a) if to the Underwriters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each of the Representatives, Morgan Stanley &amp; Co. Incorporated, 1585 Broadway, New York, New York, 10036, Attention: Registration Department; and Goldman, Sachs &amp; Co., 85 Broad Street, New York, New York, 10044, Attention: Registration Department, with a copy to Simpson Thacher &amp; Bartlett LLP, 2550 Hanover Street, Palo Alto, California 94304, Attention: William H. Hinman, Jr. and Louis Lehot, Fax: (650) 251-5002; and</w:t>
      </w:r>
    </w:p>
    <w:p>
      <w:pPr>
        <w:ind w:right="20" w:firstLine="7"/>
        <w:spacing w:after="0" w:line="253"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John A. Fore, Fax: (650) 493-6811.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38" w:lineRule="exact"/>
        <w:rPr>
          <w:sz w:val="20"/>
          <w:szCs w:val="20"/>
          <w:color w:val="auto"/>
        </w:rPr>
      </w:pPr>
    </w:p>
    <w:p>
      <w:pPr>
        <w:ind w:left="598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Ronald Foster</w:t>
      </w:r>
    </w:p>
    <w:p>
      <w:pPr>
        <w:spacing w:after="0" w:line="22" w:lineRule="exact"/>
        <w:rPr>
          <w:sz w:val="20"/>
          <w:szCs w:val="20"/>
          <w:color w:val="auto"/>
        </w:rPr>
      </w:pPr>
    </w:p>
    <w:tbl>
      <w:tblPr>
        <w:tblLayout w:type="fixed"/>
        <w:tblInd w:w="6480" w:type="dxa"/>
        <w:tblCellMar>
          <w:top w:w="0" w:type="dxa"/>
          <w:left w:w="0" w:type="dxa"/>
          <w:bottom w:w="0" w:type="dxa"/>
          <w:right w:w="0" w:type="dxa"/>
        </w:tblCellMar>
      </w:tblPr>
      <w:tr>
        <w:trPr>
          <w:trHeight w:val="194"/>
        </w:trPr>
        <w:tc>
          <w:tcPr>
            <w:tcW w:w="6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40"/>
              <w:spacing w:after="0" w:line="194" w:lineRule="exact"/>
              <w:rPr>
                <w:sz w:val="20"/>
                <w:szCs w:val="20"/>
                <w:color w:val="auto"/>
              </w:rPr>
            </w:pPr>
            <w:r>
              <w:rPr>
                <w:rFonts w:ascii="Arial" w:cs="Arial" w:eastAsia="Arial" w:hAnsi="Arial"/>
                <w:sz w:val="18"/>
                <w:szCs w:val="18"/>
                <w:color w:val="auto"/>
              </w:rPr>
              <w:t>Ronald Foster</w:t>
            </w: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w w:val="99"/>
              </w:rPr>
              <w:t>Vice President of Finance and Chief Financial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Underwriters named in Schedule II hereto</w:t>
      </w: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MORGAN STANLEY &amp; CO. INCORPORATED</w:t>
      </w:r>
    </w:p>
    <w:p>
      <w:pPr>
        <w:spacing w:after="0" w:line="200" w:lineRule="exact"/>
        <w:rPr>
          <w:sz w:val="20"/>
          <w:szCs w:val="20"/>
          <w:color w:val="auto"/>
        </w:rPr>
      </w:pP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Tyree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13970</wp:posOffset>
            </wp:positionV>
            <wp:extent cx="31635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Name:</w:t>
        <w:tab/>
        <w:t>John Tyree</w:t>
      </w:r>
    </w:p>
    <w:p>
      <w:pPr>
        <w:spacing w:after="0" w:line="21"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1420"/>
          </w:cols>
          <w:pgMar w:left="240" w:top="340" w:right="239" w:bottom="0" w:gutter="0" w:footer="0" w:header="0"/>
        </w:sectPr>
      </w:pPr>
    </w:p>
    <w:bookmarkStart w:id="12" w:name="page13"/>
    <w:bookmarkEnd w:id="12"/>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13970</wp:posOffset>
            </wp:positionV>
            <wp:extent cx="31635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26884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SCHEDULE I</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Final Term Sheet</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$200,000,000</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aggregate principal amount of its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4.25% Convertible Senior Notes due October 15, 2013</w:t>
      </w:r>
    </w:p>
    <w:p>
      <w:pPr>
        <w:spacing w:after="0" w:line="2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This term sheet to the preliminary prospectus supplement dated April 7, 2009 should be read together with the preliminary prospectus supplement before making a decision in connection with an investment in the securities. The information in this term sheet supersedes the information contained in the preliminary prospectus supplement to the extent that it is inconsistent therewith. Terms used but not defined herein have the meaning ascribed to them in the preliminary prospectus supplement.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6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600" w:type="dxa"/>
            <w:vAlign w:val="bottom"/>
          </w:tcPr>
          <w:p>
            <w:pPr>
              <w:ind w:left="220"/>
              <w:spacing w:after="0"/>
              <w:rPr>
                <w:sz w:val="20"/>
                <w:szCs w:val="20"/>
                <w:color w:val="auto"/>
              </w:rPr>
            </w:pPr>
            <w:r>
              <w:rPr>
                <w:rFonts w:ascii="Arial" w:cs="Arial" w:eastAsia="Arial" w:hAnsi="Arial"/>
                <w:sz w:val="18"/>
                <w:szCs w:val="18"/>
                <w:color w:val="auto"/>
              </w:rPr>
              <w:t>Micron Technology, Inc. (NYSE: MU)</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Issue:</w:t>
            </w:r>
          </w:p>
        </w:tc>
        <w:tc>
          <w:tcPr>
            <w:tcW w:w="7600" w:type="dxa"/>
            <w:vAlign w:val="bottom"/>
          </w:tcPr>
          <w:p>
            <w:pPr>
              <w:ind w:left="220"/>
              <w:spacing w:after="0"/>
              <w:rPr>
                <w:sz w:val="20"/>
                <w:szCs w:val="20"/>
                <w:color w:val="auto"/>
              </w:rPr>
            </w:pPr>
            <w:r>
              <w:rPr>
                <w:rFonts w:ascii="Arial" w:cs="Arial" w:eastAsia="Arial" w:hAnsi="Arial"/>
                <w:sz w:val="18"/>
                <w:szCs w:val="18"/>
                <w:color w:val="auto"/>
              </w:rPr>
              <w:t>4.25% Convertible Senior Notes due October 15, 2013</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7600" w:type="dxa"/>
            <w:vAlign w:val="bottom"/>
          </w:tcPr>
          <w:p>
            <w:pPr>
              <w:ind w:left="220"/>
              <w:spacing w:after="0"/>
              <w:rPr>
                <w:sz w:val="20"/>
                <w:szCs w:val="20"/>
                <w:color w:val="auto"/>
              </w:rPr>
            </w:pPr>
            <w:r>
              <w:rPr>
                <w:rFonts w:ascii="Arial" w:cs="Arial" w:eastAsia="Arial" w:hAnsi="Arial"/>
                <w:sz w:val="18"/>
                <w:szCs w:val="18"/>
                <w:color w:val="auto"/>
              </w:rPr>
              <w:t>October 15, 2013, unless earlier converted, repurchased or redeemed</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7600" w:type="dxa"/>
            <w:vAlign w:val="bottom"/>
          </w:tcPr>
          <w:p>
            <w:pPr>
              <w:ind w:left="220"/>
              <w:spacing w:after="0"/>
              <w:rPr>
                <w:sz w:val="20"/>
                <w:szCs w:val="20"/>
                <w:color w:val="auto"/>
              </w:rPr>
            </w:pPr>
            <w:r>
              <w:rPr>
                <w:rFonts w:ascii="Arial" w:cs="Arial" w:eastAsia="Arial" w:hAnsi="Arial"/>
                <w:sz w:val="18"/>
                <w:szCs w:val="18"/>
                <w:color w:val="auto"/>
              </w:rPr>
              <w:t>4.25% per annum</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600" w:type="dxa"/>
            <w:vAlign w:val="bottom"/>
          </w:tcPr>
          <w:p>
            <w:pPr>
              <w:ind w:left="220"/>
              <w:spacing w:after="0"/>
              <w:rPr>
                <w:sz w:val="20"/>
                <w:szCs w:val="20"/>
                <w:color w:val="auto"/>
              </w:rPr>
            </w:pPr>
            <w:r>
              <w:rPr>
                <w:rFonts w:ascii="Arial" w:cs="Arial" w:eastAsia="Arial" w:hAnsi="Arial"/>
                <w:sz w:val="18"/>
                <w:szCs w:val="18"/>
                <w:color w:val="auto"/>
              </w:rPr>
              <w:t>April 15 and October 15 of each year, beginning on October 15, 2009</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Aggregate principal amount offered:</w:t>
            </w:r>
          </w:p>
        </w:tc>
        <w:tc>
          <w:tcPr>
            <w:tcW w:w="7600" w:type="dxa"/>
            <w:vAlign w:val="bottom"/>
          </w:tcPr>
          <w:p>
            <w:pPr>
              <w:ind w:left="220"/>
              <w:spacing w:after="0"/>
              <w:rPr>
                <w:sz w:val="20"/>
                <w:szCs w:val="20"/>
                <w:color w:val="auto"/>
              </w:rPr>
            </w:pPr>
            <w:r>
              <w:rPr>
                <w:rFonts w:ascii="Arial" w:cs="Arial" w:eastAsia="Arial" w:hAnsi="Arial"/>
                <w:sz w:val="18"/>
                <w:szCs w:val="18"/>
                <w:color w:val="auto"/>
              </w:rPr>
              <w:t>$200 million</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7600" w:type="dxa"/>
            <w:vAlign w:val="bottom"/>
          </w:tcPr>
          <w:p>
            <w:pPr>
              <w:ind w:left="220"/>
              <w:spacing w:after="0"/>
              <w:rPr>
                <w:sz w:val="20"/>
                <w:szCs w:val="20"/>
                <w:color w:val="auto"/>
              </w:rPr>
            </w:pPr>
            <w:r>
              <w:rPr>
                <w:rFonts w:ascii="Arial" w:cs="Arial" w:eastAsia="Arial" w:hAnsi="Arial"/>
                <w:sz w:val="18"/>
                <w:szCs w:val="18"/>
                <w:color w:val="auto"/>
              </w:rPr>
              <w:t>$30 million</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7600" w:type="dxa"/>
            <w:vAlign w:val="bottom"/>
          </w:tcPr>
          <w:p>
            <w:pPr>
              <w:ind w:left="220"/>
              <w:spacing w:after="0"/>
              <w:rPr>
                <w:sz w:val="20"/>
                <w:szCs w:val="20"/>
                <w:color w:val="auto"/>
              </w:rPr>
            </w:pPr>
            <w:r>
              <w:rPr>
                <w:rFonts w:ascii="Arial" w:cs="Arial" w:eastAsia="Arial" w:hAnsi="Arial"/>
                <w:sz w:val="18"/>
                <w:szCs w:val="18"/>
                <w:color w:val="auto"/>
              </w:rPr>
              <w:t>2.75%</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Issue price:</w:t>
            </w:r>
          </w:p>
        </w:tc>
        <w:tc>
          <w:tcPr>
            <w:tcW w:w="7600" w:type="dxa"/>
            <w:vAlign w:val="bottom"/>
          </w:tcPr>
          <w:p>
            <w:pPr>
              <w:ind w:left="220"/>
              <w:spacing w:after="0"/>
              <w:rPr>
                <w:sz w:val="20"/>
                <w:szCs w:val="20"/>
                <w:color w:val="auto"/>
              </w:rPr>
            </w:pPr>
            <w:r>
              <w:rPr>
                <w:rFonts w:ascii="Arial" w:cs="Arial" w:eastAsia="Arial" w:hAnsi="Arial"/>
                <w:sz w:val="18"/>
                <w:szCs w:val="18"/>
                <w:color w:val="auto"/>
                <w:w w:val="98"/>
              </w:rPr>
              <w:t>100% of the principal amount of the notes, plus accrued interest, if any, from the Closing Date</w:t>
            </w:r>
          </w:p>
        </w:tc>
      </w:tr>
      <w:tr>
        <w:trPr>
          <w:trHeight w:val="411"/>
        </w:trPr>
        <w:tc>
          <w:tcPr>
            <w:tcW w:w="3860" w:type="dxa"/>
            <w:vAlign w:val="bottom"/>
          </w:tcPr>
          <w:p>
            <w:pPr>
              <w:spacing w:after="0"/>
              <w:rPr>
                <w:sz w:val="20"/>
                <w:szCs w:val="20"/>
                <w:color w:val="auto"/>
              </w:rPr>
            </w:pPr>
            <w:r>
              <w:rPr>
                <w:rFonts w:ascii="Arial" w:cs="Arial" w:eastAsia="Arial" w:hAnsi="Arial"/>
                <w:sz w:val="18"/>
                <w:szCs w:val="18"/>
                <w:b w:val="1"/>
                <w:bCs w:val="1"/>
                <w:color w:val="auto"/>
                <w:w w:val="99"/>
              </w:rPr>
              <w:t>Public Offering Price in Concurrent Common</w:t>
            </w:r>
          </w:p>
        </w:tc>
        <w:tc>
          <w:tcPr>
            <w:tcW w:w="7600" w:type="dxa"/>
            <w:vAlign w:val="bottom"/>
          </w:tcPr>
          <w:p>
            <w:pPr>
              <w:ind w:left="220"/>
              <w:spacing w:after="0"/>
              <w:rPr>
                <w:sz w:val="20"/>
                <w:szCs w:val="20"/>
                <w:color w:val="auto"/>
              </w:rPr>
            </w:pPr>
            <w:r>
              <w:rPr>
                <w:rFonts w:ascii="Arial" w:cs="Arial" w:eastAsia="Arial" w:hAnsi="Arial"/>
                <w:sz w:val="18"/>
                <w:szCs w:val="18"/>
                <w:color w:val="auto"/>
              </w:rPr>
              <w:t>$4.15</w:t>
            </w:r>
          </w:p>
        </w:tc>
      </w:tr>
      <w:tr>
        <w:trPr>
          <w:trHeight w:val="233"/>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Stock Offering</w:t>
            </w:r>
          </w:p>
        </w:tc>
        <w:tc>
          <w:tcPr>
            <w:tcW w:w="7600" w:type="dxa"/>
            <w:vAlign w:val="bottom"/>
          </w:tcPr>
          <w:p>
            <w:pPr>
              <w:spacing w:after="0"/>
              <w:rPr>
                <w:sz w:val="20"/>
                <w:szCs w:val="20"/>
                <w:color w:val="auto"/>
              </w:rPr>
            </w:pPr>
          </w:p>
        </w:tc>
      </w:tr>
      <w:tr>
        <w:trPr>
          <w:trHeight w:val="411"/>
        </w:trPr>
        <w:tc>
          <w:tcPr>
            <w:tcW w:w="3860" w:type="dxa"/>
            <w:vAlign w:val="bottom"/>
          </w:tcPr>
          <w:p>
            <w:pPr>
              <w:spacing w:after="0"/>
              <w:rPr>
                <w:sz w:val="20"/>
                <w:szCs w:val="20"/>
                <w:color w:val="auto"/>
              </w:rPr>
            </w:pPr>
            <w:r>
              <w:rPr>
                <w:rFonts w:ascii="Arial" w:cs="Arial" w:eastAsia="Arial" w:hAnsi="Arial"/>
                <w:sz w:val="18"/>
                <w:szCs w:val="18"/>
                <w:b w:val="1"/>
                <w:bCs w:val="1"/>
                <w:color w:val="auto"/>
                <w:w w:val="93"/>
              </w:rPr>
              <w:t>Last reported sale price of the Issuer’s common</w:t>
            </w:r>
          </w:p>
        </w:tc>
        <w:tc>
          <w:tcPr>
            <w:tcW w:w="7600" w:type="dxa"/>
            <w:vAlign w:val="bottom"/>
          </w:tcPr>
          <w:p>
            <w:pPr>
              <w:ind w:left="220"/>
              <w:spacing w:after="0"/>
              <w:rPr>
                <w:sz w:val="20"/>
                <w:szCs w:val="20"/>
                <w:color w:val="auto"/>
              </w:rPr>
            </w:pPr>
            <w:r>
              <w:rPr>
                <w:rFonts w:ascii="Arial" w:cs="Arial" w:eastAsia="Arial" w:hAnsi="Arial"/>
                <w:sz w:val="18"/>
                <w:szCs w:val="18"/>
                <w:color w:val="auto"/>
              </w:rPr>
              <w:t>$4.28 (April 8, 2009)</w:t>
            </w:r>
          </w:p>
        </w:tc>
      </w:tr>
      <w:tr>
        <w:trPr>
          <w:trHeight w:val="233"/>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stock on the NYSE:</w:t>
            </w:r>
          </w:p>
        </w:tc>
        <w:tc>
          <w:tcPr>
            <w:tcW w:w="7600" w:type="dxa"/>
            <w:vAlign w:val="bottom"/>
          </w:tcPr>
          <w:p>
            <w:pPr>
              <w:spacing w:after="0"/>
              <w:rPr>
                <w:sz w:val="20"/>
                <w:szCs w:val="20"/>
                <w:color w:val="auto"/>
              </w:rPr>
            </w:pP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Conversion premium:</w:t>
            </w: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Approximately 22.50% above the Public Offering Price in the Concurrent Common Stock Offering</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Initial conversion price:</w:t>
            </w:r>
          </w:p>
        </w:tc>
        <w:tc>
          <w:tcPr>
            <w:tcW w:w="7600" w:type="dxa"/>
            <w:vAlign w:val="bottom"/>
          </w:tcPr>
          <w:p>
            <w:pPr>
              <w:ind w:left="220"/>
              <w:spacing w:after="0"/>
              <w:rPr>
                <w:sz w:val="20"/>
                <w:szCs w:val="20"/>
                <w:color w:val="auto"/>
              </w:rPr>
            </w:pPr>
            <w:r>
              <w:rPr>
                <w:rFonts w:ascii="Arial" w:cs="Arial" w:eastAsia="Arial" w:hAnsi="Arial"/>
                <w:sz w:val="18"/>
                <w:szCs w:val="18"/>
                <w:color w:val="auto"/>
              </w:rPr>
              <w:t>Approximately $5.08 per share of common stock (subject to</w:t>
            </w:r>
          </w:p>
        </w:tc>
      </w:tr>
      <w:tr>
        <w:trPr>
          <w:trHeight w:val="430"/>
        </w:trPr>
        <w:tc>
          <w:tcPr>
            <w:tcW w:w="3860" w:type="dxa"/>
            <w:vAlign w:val="bottom"/>
          </w:tcPr>
          <w:p>
            <w:pPr>
              <w:spacing w:after="0"/>
              <w:rPr>
                <w:sz w:val="24"/>
                <w:szCs w:val="24"/>
                <w:color w:val="auto"/>
              </w:rPr>
            </w:pPr>
          </w:p>
        </w:tc>
        <w:tc>
          <w:tcPr>
            <w:tcW w:w="7600" w:type="dxa"/>
            <w:vAlign w:val="bottom"/>
          </w:tcPr>
          <w:p>
            <w:pPr>
              <w:ind w:left="1740"/>
              <w:spacing w:after="0"/>
              <w:rPr>
                <w:sz w:val="20"/>
                <w:szCs w:val="20"/>
                <w:color w:val="auto"/>
              </w:rPr>
            </w:pPr>
            <w:r>
              <w:rPr>
                <w:rFonts w:ascii="Arial" w:cs="Arial" w:eastAsia="Arial" w:hAnsi="Arial"/>
                <w:sz w:val="18"/>
                <w:szCs w:val="18"/>
                <w:color w:val="auto"/>
              </w:rPr>
              <w:t>I-1</w:t>
            </w:r>
          </w:p>
        </w:tc>
      </w:tr>
      <w:tr>
        <w:trPr>
          <w:trHeight w:val="131"/>
        </w:trPr>
        <w:tc>
          <w:tcPr>
            <w:tcW w:w="3860" w:type="dxa"/>
            <w:vAlign w:val="bottom"/>
            <w:tcBorders>
              <w:bottom w:val="single" w:sz="8" w:color="010101"/>
            </w:tcBorders>
          </w:tcPr>
          <w:p>
            <w:pPr>
              <w:spacing w:after="0"/>
              <w:rPr>
                <w:sz w:val="11"/>
                <w:szCs w:val="11"/>
                <w:color w:val="auto"/>
              </w:rPr>
            </w:pPr>
          </w:p>
        </w:tc>
        <w:tc>
          <w:tcPr>
            <w:tcW w:w="7600" w:type="dxa"/>
            <w:vAlign w:val="bottom"/>
            <w:tcBorders>
              <w:bottom w:val="single" w:sz="8" w:color="010101"/>
            </w:tcBorders>
          </w:tcPr>
          <w:p>
            <w:pPr>
              <w:spacing w:after="0"/>
              <w:rPr>
                <w:sz w:val="11"/>
                <w:szCs w:val="11"/>
                <w:color w:val="auto"/>
              </w:rPr>
            </w:pPr>
          </w:p>
        </w:tc>
      </w:tr>
      <w:tr>
        <w:trPr>
          <w:trHeight w:val="776"/>
        </w:trPr>
        <w:tc>
          <w:tcPr>
            <w:tcW w:w="3860" w:type="dxa"/>
            <w:vAlign w:val="bottom"/>
          </w:tcPr>
          <w:p>
            <w:pPr>
              <w:spacing w:after="0"/>
              <w:rPr>
                <w:sz w:val="24"/>
                <w:szCs w:val="24"/>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adjustment)</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Conversion rate:</w:t>
            </w:r>
          </w:p>
        </w:tc>
        <w:tc>
          <w:tcPr>
            <w:tcW w:w="7600" w:type="dxa"/>
            <w:vAlign w:val="bottom"/>
          </w:tcPr>
          <w:p>
            <w:pPr>
              <w:ind w:left="220"/>
              <w:spacing w:after="0"/>
              <w:rPr>
                <w:sz w:val="20"/>
                <w:szCs w:val="20"/>
                <w:color w:val="auto"/>
              </w:rPr>
            </w:pPr>
            <w:r>
              <w:rPr>
                <w:rFonts w:ascii="Arial" w:cs="Arial" w:eastAsia="Arial" w:hAnsi="Arial"/>
                <w:sz w:val="18"/>
                <w:szCs w:val="18"/>
                <w:color w:val="auto"/>
                <w:w w:val="96"/>
              </w:rPr>
              <w:t>196.7052 shares of common stock per $1,000 principal amount of notes (subject to adjustment)</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Pricing Date/Closing Date:</w:t>
            </w:r>
          </w:p>
        </w:tc>
        <w:tc>
          <w:tcPr>
            <w:tcW w:w="7600" w:type="dxa"/>
            <w:vAlign w:val="bottom"/>
          </w:tcPr>
          <w:p>
            <w:pPr>
              <w:ind w:left="220"/>
              <w:spacing w:after="0"/>
              <w:rPr>
                <w:sz w:val="20"/>
                <w:szCs w:val="20"/>
                <w:color w:val="auto"/>
              </w:rPr>
            </w:pPr>
            <w:r>
              <w:rPr>
                <w:rFonts w:ascii="Arial" w:cs="Arial" w:eastAsia="Arial" w:hAnsi="Arial"/>
                <w:sz w:val="18"/>
                <w:szCs w:val="18"/>
                <w:color w:val="auto"/>
              </w:rPr>
              <w:t>April 8, 2009/April 15, 2009</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CUSIP/ISIN/ISSUE DESCRIPTION:</w:t>
            </w:r>
          </w:p>
        </w:tc>
        <w:tc>
          <w:tcPr>
            <w:tcW w:w="7600" w:type="dxa"/>
            <w:vAlign w:val="bottom"/>
          </w:tcPr>
          <w:p>
            <w:pPr>
              <w:ind w:left="220"/>
              <w:spacing w:after="0"/>
              <w:rPr>
                <w:sz w:val="20"/>
                <w:szCs w:val="20"/>
                <w:color w:val="auto"/>
              </w:rPr>
            </w:pPr>
            <w:r>
              <w:rPr>
                <w:rFonts w:ascii="Arial" w:cs="Arial" w:eastAsia="Arial" w:hAnsi="Arial"/>
                <w:sz w:val="18"/>
                <w:szCs w:val="18"/>
                <w:color w:val="auto"/>
              </w:rPr>
              <w:t>595112 AJ2/US595112AJ29/SR NT CONV</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Ranking:</w:t>
            </w:r>
          </w:p>
        </w:tc>
        <w:tc>
          <w:tcPr>
            <w:tcW w:w="7600" w:type="dxa"/>
            <w:vAlign w:val="bottom"/>
          </w:tcPr>
          <w:p>
            <w:pPr>
              <w:ind w:left="220"/>
              <w:spacing w:after="0"/>
              <w:rPr>
                <w:sz w:val="20"/>
                <w:szCs w:val="20"/>
                <w:color w:val="auto"/>
              </w:rPr>
            </w:pPr>
            <w:r>
              <w:rPr>
                <w:rFonts w:ascii="Arial" w:cs="Arial" w:eastAsia="Arial" w:hAnsi="Arial"/>
                <w:sz w:val="18"/>
                <w:szCs w:val="18"/>
                <w:color w:val="auto"/>
              </w:rPr>
              <w:t>Senior unsecured; structurally subordinated to subsidiary debt</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7600" w:type="dxa"/>
            <w:vAlign w:val="bottom"/>
          </w:tcPr>
          <w:p>
            <w:pPr>
              <w:ind w:left="220"/>
              <w:spacing w:after="0"/>
              <w:rPr>
                <w:sz w:val="20"/>
                <w:szCs w:val="20"/>
                <w:color w:val="auto"/>
              </w:rPr>
            </w:pPr>
            <w:r>
              <w:rPr>
                <w:rFonts w:ascii="Arial" w:cs="Arial" w:eastAsia="Arial" w:hAnsi="Arial"/>
                <w:sz w:val="18"/>
                <w:szCs w:val="18"/>
                <w:color w:val="auto"/>
              </w:rPr>
              <w:t>None</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7600" w:type="dxa"/>
            <w:vAlign w:val="bottom"/>
          </w:tcPr>
          <w:p>
            <w:pPr>
              <w:ind w:left="220"/>
              <w:spacing w:after="0"/>
              <w:rPr>
                <w:sz w:val="20"/>
                <w:szCs w:val="20"/>
                <w:color w:val="auto"/>
              </w:rPr>
            </w:pPr>
            <w:r>
              <w:rPr>
                <w:rFonts w:ascii="Arial" w:cs="Arial" w:eastAsia="Arial" w:hAnsi="Arial"/>
                <w:sz w:val="18"/>
                <w:szCs w:val="18"/>
                <w:color w:val="auto"/>
              </w:rPr>
              <w:t>Morgan Stanley &amp; Co. Incorporated and Goldman, Sachs &amp; Co.</w:t>
            </w:r>
          </w:p>
        </w:tc>
      </w:tr>
      <w:tr>
        <w:trPr>
          <w:trHeight w:val="430"/>
        </w:trPr>
        <w:tc>
          <w:tcPr>
            <w:tcW w:w="3860" w:type="dxa"/>
            <w:vAlign w:val="bottom"/>
          </w:tcPr>
          <w:p>
            <w:pPr>
              <w:spacing w:after="0"/>
              <w:rPr>
                <w:sz w:val="20"/>
                <w:szCs w:val="20"/>
                <w:color w:val="auto"/>
              </w:rPr>
            </w:pPr>
            <w:r>
              <w:rPr>
                <w:rFonts w:ascii="Arial" w:cs="Arial" w:eastAsia="Arial" w:hAnsi="Arial"/>
                <w:sz w:val="18"/>
                <w:szCs w:val="18"/>
                <w:b w:val="1"/>
                <w:bCs w:val="1"/>
                <w:color w:val="auto"/>
              </w:rPr>
              <w:t>Co-manager:</w:t>
            </w:r>
          </w:p>
        </w:tc>
        <w:tc>
          <w:tcPr>
            <w:tcW w:w="7600" w:type="dxa"/>
            <w:vAlign w:val="bottom"/>
          </w:tcPr>
          <w:p>
            <w:pPr>
              <w:ind w:left="220"/>
              <w:spacing w:after="0"/>
              <w:rPr>
                <w:sz w:val="20"/>
                <w:szCs w:val="20"/>
                <w:color w:val="auto"/>
              </w:rPr>
            </w:pPr>
            <w:r>
              <w:rPr>
                <w:rFonts w:ascii="Arial" w:cs="Arial" w:eastAsia="Arial" w:hAnsi="Arial"/>
                <w:sz w:val="18"/>
                <w:szCs w:val="18"/>
                <w:color w:val="auto"/>
              </w:rPr>
              <w:t>Deutsche Bank Securities Inc.</w:t>
            </w:r>
          </w:p>
        </w:tc>
      </w:tr>
      <w:tr>
        <w:trPr>
          <w:trHeight w:val="415"/>
        </w:trPr>
        <w:tc>
          <w:tcPr>
            <w:tcW w:w="386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600" w:type="dxa"/>
            <w:vAlign w:val="bottom"/>
          </w:tcPr>
          <w:p>
            <w:pPr>
              <w:ind w:left="220"/>
              <w:spacing w:after="0"/>
              <w:rPr>
                <w:sz w:val="20"/>
                <w:szCs w:val="20"/>
                <w:color w:val="auto"/>
              </w:rPr>
            </w:pPr>
            <w:r>
              <w:rPr>
                <w:rFonts w:ascii="Arial" w:cs="Arial" w:eastAsia="Arial" w:hAnsi="Arial"/>
                <w:sz w:val="18"/>
                <w:szCs w:val="18"/>
                <w:color w:val="auto"/>
                <w:w w:val="91"/>
              </w:rPr>
              <w:t>The net proceeds from the offering, after deducting the underwriters’ discounts and estimated offering</w:t>
            </w:r>
          </w:p>
        </w:tc>
      </w:tr>
      <w:tr>
        <w:trPr>
          <w:trHeight w:val="215"/>
        </w:trPr>
        <w:tc>
          <w:tcPr>
            <w:tcW w:w="386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4"/>
              </w:rPr>
              <w:t>expenses payable by the Issuer of approximately $5.8 million, will be approximately $194.2 million</w:t>
            </w:r>
          </w:p>
        </w:tc>
      </w:tr>
      <w:tr>
        <w:trPr>
          <w:trHeight w:val="229"/>
        </w:trPr>
        <w:tc>
          <w:tcPr>
            <w:tcW w:w="386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8"/>
              </w:rPr>
              <w:t>(or approximately $223.4 million if the underwriters exercise their over-allotment option in full).</w:t>
            </w:r>
          </w:p>
        </w:tc>
      </w:tr>
      <w:tr>
        <w:trPr>
          <w:trHeight w:val="415"/>
        </w:trPr>
        <w:tc>
          <w:tcPr>
            <w:tcW w:w="3860" w:type="dxa"/>
            <w:vAlign w:val="bottom"/>
          </w:tcPr>
          <w:p>
            <w:pPr>
              <w:spacing w:after="0"/>
              <w:rPr>
                <w:sz w:val="24"/>
                <w:szCs w:val="24"/>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4"/>
              </w:rPr>
              <w:t>The Issuer intends to use a portion of the net proceeds of this offering to pay approximately $21.5</w:t>
            </w:r>
          </w:p>
        </w:tc>
      </w:tr>
      <w:tr>
        <w:trPr>
          <w:trHeight w:val="229"/>
        </w:trPr>
        <w:tc>
          <w:tcPr>
            <w:tcW w:w="3860" w:type="dxa"/>
            <w:vAlign w:val="bottom"/>
          </w:tcPr>
          <w:p>
            <w:pPr>
              <w:spacing w:after="0"/>
              <w:rPr>
                <w:sz w:val="19"/>
                <w:szCs w:val="19"/>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w w:val="95"/>
              </w:rPr>
              <w:t>million for the cost of capped call transactions that the Issuer entered into with the counterparties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-3386455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-3386455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5" w:right="199" w:bottom="0" w:gutter="0" w:footer="0" w:header="0"/>
        </w:sectPr>
      </w:pPr>
    </w:p>
    <w:bookmarkStart w:id="13" w:name="page14"/>
    <w:bookmarkEnd w:id="13"/>
    <w:p>
      <w:pPr>
        <w:spacing w:after="0" w:line="44" w:lineRule="exact"/>
        <w:rPr>
          <w:sz w:val="20"/>
          <w:szCs w:val="20"/>
          <w:color w:val="auto"/>
        </w:rPr>
      </w:pPr>
    </w:p>
    <w:p>
      <w:pPr>
        <w:ind w:left="4080" w:right="80"/>
        <w:spacing w:after="0" w:line="253" w:lineRule="auto"/>
        <w:rPr>
          <w:sz w:val="20"/>
          <w:szCs w:val="20"/>
          <w:color w:val="auto"/>
        </w:rPr>
      </w:pPr>
      <w:r>
        <w:rPr>
          <w:rFonts w:ascii="Arial" w:cs="Arial" w:eastAsia="Arial" w:hAnsi="Arial"/>
          <w:sz w:val="18"/>
          <w:szCs w:val="18"/>
          <w:color w:val="auto"/>
        </w:rPr>
        <w:t>thereto in respect of an aggregate of approximately 39.3 million shares of the Issuer’s common stock. The capped call transactions were entered into with cap prices of 60% higher than the public offering price of the Issuer’s common stock in the concurrent public offering of common stock. If the underwriters exercise their option to purchase additional notes to cover over-allotments, the Issuer intends to use approximately $3.2 million of the net proceeds from the sale of the additional notes to enter into additional capped call transactions with respect to 5.9 million additional shares of the Issuer’s common stock.</w:t>
      </w:r>
    </w:p>
    <w:p>
      <w:pPr>
        <w:spacing w:after="0" w:line="19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The remaining net proceeds from this offering of approximately $172.7 million (or approximately</w:t>
      </w:r>
    </w:p>
    <w:p>
      <w:pPr>
        <w:spacing w:after="0" w:line="34" w:lineRule="exact"/>
        <w:rPr>
          <w:sz w:val="20"/>
          <w:szCs w:val="20"/>
          <w:color w:val="auto"/>
        </w:rPr>
      </w:pPr>
    </w:p>
    <w:p>
      <w:pPr>
        <w:ind w:left="4080" w:right="60"/>
        <w:spacing w:after="0" w:line="251" w:lineRule="auto"/>
        <w:rPr>
          <w:sz w:val="20"/>
          <w:szCs w:val="20"/>
          <w:color w:val="auto"/>
        </w:rPr>
      </w:pPr>
      <w:r>
        <w:rPr>
          <w:rFonts w:ascii="Arial" w:cs="Arial" w:eastAsia="Arial" w:hAnsi="Arial"/>
          <w:sz w:val="18"/>
          <w:szCs w:val="18"/>
          <w:color w:val="auto"/>
        </w:rPr>
        <w:t>$198.7 million if the underwriters exercise their over-allotment option in full) will be used for general corporate purposes, including working capital, capital expenditures, potential acquisitions and strategic transactions. From time to time, the Issuer evaluates potential acquisitions and strategic transactions of businesses, technologies or products. Currently, however, the Issuer does not have any agreements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82"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hanging="178"/>
        <w:spacing w:after="0" w:line="279" w:lineRule="auto"/>
        <w:rPr>
          <w:sz w:val="20"/>
          <w:szCs w:val="20"/>
          <w:color w:val="auto"/>
        </w:rPr>
      </w:pPr>
      <w:r>
        <w:rPr>
          <w:rFonts w:ascii="Arial" w:cs="Arial" w:eastAsia="Arial" w:hAnsi="Arial"/>
          <w:sz w:val="18"/>
          <w:szCs w:val="18"/>
          <w:b w:val="1"/>
          <w:bCs w:val="1"/>
          <w:color w:val="auto"/>
        </w:rPr>
        <w:t>Adjustment to conversion rate upon a make-whole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any material acquisitions or strategic transactions.</w:t>
      </w:r>
    </w:p>
    <w:p>
      <w:pPr>
        <w:spacing w:after="0" w:line="2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Holders who convert their notes in connection with a make-whole change in control will be, under certain circumstances, entitled to a make-whole premium in the form of an increase in the conversion rate for notes surrendered for conversion in connection with such make-whole change in control. The following table sets forth the stock price, effective date and number of make-whole shares to be added to the conversion rate per $1,000 principal amount of the notes.</w:t>
      </w:r>
    </w:p>
    <w:p>
      <w:pPr>
        <w:spacing w:after="0" w:line="169" w:lineRule="exact"/>
        <w:rPr>
          <w:sz w:val="20"/>
          <w:szCs w:val="20"/>
          <w:color w:val="auto"/>
        </w:rPr>
      </w:pPr>
    </w:p>
    <w:p>
      <w:pPr>
        <w:sectPr>
          <w:pgSz w:w="11900" w:h="16882" w:orient="portrait"/>
          <w:cols w:equalWidth="0" w:num="2">
            <w:col w:w="3420" w:space="660"/>
            <w:col w:w="734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Stock Price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Effective</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2"/>
        </w:trPr>
        <w:tc>
          <w:tcPr>
            <w:tcW w:w="140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rPr>
              <w:t>$ 4.15</w:t>
            </w:r>
          </w:p>
        </w:tc>
        <w:tc>
          <w:tcPr>
            <w:tcW w:w="12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rPr>
              <w:t>$ 4.25</w:t>
            </w:r>
          </w:p>
        </w:tc>
        <w:tc>
          <w:tcPr>
            <w:tcW w:w="120" w:type="dxa"/>
            <w:vAlign w:val="bottom"/>
          </w:tcPr>
          <w:p>
            <w:pPr>
              <w:spacing w:after="0"/>
              <w:rPr>
                <w:sz w:val="13"/>
                <w:szCs w:val="13"/>
                <w:color w:val="auto"/>
              </w:rPr>
            </w:pPr>
          </w:p>
        </w:tc>
        <w:tc>
          <w:tcPr>
            <w:tcW w:w="520" w:type="dxa"/>
            <w:vAlign w:val="bottom"/>
          </w:tcPr>
          <w:p>
            <w:pPr>
              <w:ind w:left="100"/>
              <w:spacing w:after="0"/>
              <w:rPr>
                <w:sz w:val="20"/>
                <w:szCs w:val="20"/>
                <w:color w:val="auto"/>
              </w:rPr>
            </w:pPr>
            <w:r>
              <w:rPr>
                <w:rFonts w:ascii="Arial" w:cs="Arial" w:eastAsia="Arial" w:hAnsi="Arial"/>
                <w:sz w:val="13"/>
                <w:szCs w:val="13"/>
                <w:b w:val="1"/>
                <w:bCs w:val="1"/>
                <w:color w:val="auto"/>
              </w:rPr>
              <w:t>$ 4.50</w:t>
            </w:r>
          </w:p>
        </w:tc>
        <w:tc>
          <w:tcPr>
            <w:tcW w:w="12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$ 5.00</w:t>
            </w:r>
          </w:p>
        </w:tc>
        <w:tc>
          <w:tcPr>
            <w:tcW w:w="120" w:type="dxa"/>
            <w:vAlign w:val="bottom"/>
          </w:tcPr>
          <w:p>
            <w:pPr>
              <w:spacing w:after="0"/>
              <w:rPr>
                <w:sz w:val="13"/>
                <w:szCs w:val="1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b w:val="1"/>
                <w:bCs w:val="1"/>
                <w:color w:val="auto"/>
              </w:rPr>
              <w:t>$ 6.00</w:t>
            </w:r>
          </w:p>
        </w:tc>
        <w:tc>
          <w:tcPr>
            <w:tcW w:w="12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$ 8.00</w:t>
            </w: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$ 10.00</w:t>
            </w: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$ 12.50</w:t>
            </w:r>
          </w:p>
        </w:tc>
        <w:tc>
          <w:tcPr>
            <w:tcW w:w="10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w w:val="96"/>
              </w:rPr>
              <w:t>$ 15.00</w:t>
            </w:r>
          </w:p>
        </w:tc>
        <w:tc>
          <w:tcPr>
            <w:tcW w:w="1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b w:val="1"/>
                <w:bCs w:val="1"/>
                <w:color w:val="auto"/>
                <w:w w:val="96"/>
              </w:rPr>
              <w:t>$ 17.50</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$ 20.00</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$ 25.00</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$ 30.00</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$ 35.00</w:t>
            </w: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$ 40.00</w:t>
            </w:r>
          </w:p>
        </w:tc>
        <w:tc>
          <w:tcPr>
            <w:tcW w:w="10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w w:val="96"/>
              </w:rPr>
              <w:t>$ 50.00</w:t>
            </w:r>
          </w:p>
        </w:tc>
        <w:tc>
          <w:tcPr>
            <w:tcW w:w="100" w:type="dxa"/>
            <w:vAlign w:val="bottom"/>
          </w:tcPr>
          <w:p>
            <w:pPr>
              <w:spacing w:after="0"/>
              <w:rPr>
                <w:sz w:val="13"/>
                <w:szCs w:val="13"/>
                <w:color w:val="auto"/>
              </w:rPr>
            </w:pPr>
          </w:p>
        </w:tc>
      </w:tr>
      <w:tr>
        <w:trPr>
          <w:trHeight w:val="128"/>
        </w:trPr>
        <w:tc>
          <w:tcPr>
            <w:tcW w:w="12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b w:val="1"/>
                <w:bCs w:val="1"/>
                <w:color w:val="auto"/>
              </w:rPr>
              <w:t>04/15/2009</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00"/>
              <w:spacing w:after="0" w:line="128" w:lineRule="exact"/>
              <w:rPr>
                <w:sz w:val="20"/>
                <w:szCs w:val="20"/>
                <w:color w:val="auto"/>
              </w:rPr>
            </w:pPr>
            <w:r>
              <w:rPr>
                <w:rFonts w:ascii="Arial" w:cs="Arial" w:eastAsia="Arial" w:hAnsi="Arial"/>
                <w:sz w:val="13"/>
                <w:szCs w:val="13"/>
                <w:color w:val="auto"/>
                <w:w w:val="85"/>
              </w:rPr>
              <w:t>44.2587</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20"/>
              <w:spacing w:after="0" w:line="128" w:lineRule="exact"/>
              <w:rPr>
                <w:sz w:val="20"/>
                <w:szCs w:val="20"/>
                <w:color w:val="auto"/>
              </w:rPr>
            </w:pPr>
            <w:r>
              <w:rPr>
                <w:rFonts w:ascii="Arial" w:cs="Arial" w:eastAsia="Arial" w:hAnsi="Arial"/>
                <w:sz w:val="13"/>
                <w:szCs w:val="13"/>
                <w:color w:val="auto"/>
                <w:w w:val="80"/>
              </w:rPr>
              <w:t>42.6889</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20"/>
              <w:spacing w:after="0" w:line="128" w:lineRule="exact"/>
              <w:rPr>
                <w:sz w:val="20"/>
                <w:szCs w:val="20"/>
                <w:color w:val="auto"/>
              </w:rPr>
            </w:pPr>
            <w:r>
              <w:rPr>
                <w:rFonts w:ascii="Arial" w:cs="Arial" w:eastAsia="Arial" w:hAnsi="Arial"/>
                <w:sz w:val="13"/>
                <w:szCs w:val="13"/>
                <w:color w:val="auto"/>
                <w:w w:val="80"/>
              </w:rPr>
              <w:t>38.9362</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32.8178</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24.6846</w:t>
            </w: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16.1268</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11.7457</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8.6265</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180"/>
              <w:spacing w:after="0" w:line="128" w:lineRule="exact"/>
              <w:rPr>
                <w:sz w:val="20"/>
                <w:szCs w:val="20"/>
                <w:color w:val="auto"/>
              </w:rPr>
            </w:pPr>
            <w:r>
              <w:rPr>
                <w:rFonts w:ascii="Arial" w:cs="Arial" w:eastAsia="Arial" w:hAnsi="Arial"/>
                <w:sz w:val="13"/>
                <w:szCs w:val="13"/>
                <w:color w:val="auto"/>
                <w:w w:val="75"/>
              </w:rPr>
              <w:t>6.7115</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160"/>
              <w:spacing w:after="0" w:line="128" w:lineRule="exact"/>
              <w:rPr>
                <w:sz w:val="20"/>
                <w:szCs w:val="20"/>
                <w:color w:val="auto"/>
              </w:rPr>
            </w:pPr>
            <w:r>
              <w:rPr>
                <w:rFonts w:ascii="Arial" w:cs="Arial" w:eastAsia="Arial" w:hAnsi="Arial"/>
                <w:sz w:val="13"/>
                <w:szCs w:val="13"/>
                <w:color w:val="auto"/>
                <w:w w:val="80"/>
              </w:rPr>
              <w:t>5.4057</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4.4591</w:t>
            </w:r>
          </w:p>
        </w:tc>
        <w:tc>
          <w:tcPr>
            <w:tcW w:w="1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3.1751</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2.3486</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1.7768</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1.3621</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3"/>
                <w:szCs w:val="13"/>
                <w:color w:val="auto"/>
              </w:rPr>
              <w:t>0.8121</w:t>
            </w:r>
          </w:p>
        </w:tc>
        <w:tc>
          <w:tcPr>
            <w:tcW w:w="100" w:type="dxa"/>
            <w:vAlign w:val="bottom"/>
            <w:tcBorders>
              <w:top w:val="single" w:sz="8" w:color="CCEEFF"/>
            </w:tcBorders>
            <w:shd w:val="clear" w:color="auto" w:fill="CCEEFF"/>
          </w:tcPr>
          <w:p>
            <w:pPr>
              <w:spacing w:after="0"/>
              <w:rPr>
                <w:sz w:val="11"/>
                <w:szCs w:val="11"/>
                <w:color w:val="auto"/>
              </w:rPr>
            </w:pPr>
          </w:p>
        </w:tc>
      </w:tr>
      <w:tr>
        <w:trPr>
          <w:trHeight w:val="134"/>
        </w:trPr>
        <w:tc>
          <w:tcPr>
            <w:tcW w:w="140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rPr>
              <w:t>10/15/2009</w:t>
            </w:r>
          </w:p>
        </w:tc>
        <w:tc>
          <w:tcPr>
            <w:tcW w:w="6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44.2587</w:t>
            </w:r>
          </w:p>
        </w:tc>
        <w:tc>
          <w:tcPr>
            <w:tcW w:w="64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41.8557</w:t>
            </w:r>
          </w:p>
        </w:tc>
        <w:tc>
          <w:tcPr>
            <w:tcW w:w="64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37.8988</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31.6282</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23.4394</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15.0080</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10.8406</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7.9357</w:t>
            </w:r>
          </w:p>
        </w:tc>
        <w:tc>
          <w:tcPr>
            <w:tcW w:w="62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6.1619</w:t>
            </w:r>
          </w:p>
        </w:tc>
        <w:tc>
          <w:tcPr>
            <w:tcW w:w="62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4.9641</w:t>
            </w:r>
          </w:p>
        </w:tc>
        <w:tc>
          <w:tcPr>
            <w:tcW w:w="6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4.0937</w:t>
            </w:r>
          </w:p>
        </w:tc>
        <w:tc>
          <w:tcPr>
            <w:tcW w:w="6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2.9110</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2.1464</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1.6149</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1.2282</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0.7148</w:t>
            </w:r>
          </w:p>
        </w:tc>
      </w:tr>
      <w:tr>
        <w:trPr>
          <w:trHeight w:val="134"/>
        </w:trPr>
        <w:tc>
          <w:tcPr>
            <w:tcW w:w="14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b w:val="1"/>
                <w:bCs w:val="1"/>
                <w:color w:val="auto"/>
              </w:rPr>
              <w:t>10/15/2010</w:t>
            </w:r>
          </w:p>
        </w:tc>
        <w:tc>
          <w:tcPr>
            <w:tcW w:w="64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44.2587</w:t>
            </w:r>
          </w:p>
        </w:tc>
        <w:tc>
          <w:tcPr>
            <w:tcW w:w="64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40.0773</w:t>
            </w:r>
          </w:p>
        </w:tc>
        <w:tc>
          <w:tcPr>
            <w:tcW w:w="64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35.7428</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28.9663</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20.4353</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12.4327</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8.7957</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6.3987</w:t>
            </w:r>
          </w:p>
        </w:tc>
        <w:tc>
          <w:tcPr>
            <w:tcW w:w="620" w:type="dxa"/>
            <w:vAlign w:val="bottom"/>
            <w:gridSpan w:val="2"/>
            <w:shd w:val="clear" w:color="auto" w:fill="CCEEFF"/>
          </w:tcPr>
          <w:p>
            <w:pPr>
              <w:ind w:left="160"/>
              <w:spacing w:after="0" w:line="134" w:lineRule="exact"/>
              <w:rPr>
                <w:sz w:val="20"/>
                <w:szCs w:val="20"/>
                <w:color w:val="auto"/>
              </w:rPr>
            </w:pPr>
            <w:r>
              <w:rPr>
                <w:rFonts w:ascii="Arial" w:cs="Arial" w:eastAsia="Arial" w:hAnsi="Arial"/>
                <w:sz w:val="13"/>
                <w:szCs w:val="13"/>
                <w:color w:val="auto"/>
              </w:rPr>
              <w:t>4.9787</w:t>
            </w:r>
          </w:p>
        </w:tc>
        <w:tc>
          <w:tcPr>
            <w:tcW w:w="620" w:type="dxa"/>
            <w:vAlign w:val="bottom"/>
            <w:gridSpan w:val="2"/>
            <w:shd w:val="clear" w:color="auto" w:fill="CCEEFF"/>
          </w:tcPr>
          <w:p>
            <w:pPr>
              <w:ind w:left="160"/>
              <w:spacing w:after="0" w:line="134" w:lineRule="exact"/>
              <w:rPr>
                <w:sz w:val="20"/>
                <w:szCs w:val="20"/>
                <w:color w:val="auto"/>
              </w:rPr>
            </w:pPr>
            <w:r>
              <w:rPr>
                <w:rFonts w:ascii="Arial" w:cs="Arial" w:eastAsia="Arial" w:hAnsi="Arial"/>
                <w:sz w:val="13"/>
                <w:szCs w:val="13"/>
                <w:color w:val="auto"/>
              </w:rPr>
              <w:t>4.0226</w:t>
            </w:r>
          </w:p>
        </w:tc>
        <w:tc>
          <w:tcPr>
            <w:tcW w:w="6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3.3268</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2.3757</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1.7550</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1.3203</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1.0020</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0.5756</w:t>
            </w:r>
          </w:p>
        </w:tc>
      </w:tr>
      <w:tr>
        <w:trPr>
          <w:trHeight w:val="134"/>
        </w:trPr>
        <w:tc>
          <w:tcPr>
            <w:tcW w:w="140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rPr>
              <w:t>10/15/2011</w:t>
            </w:r>
          </w:p>
        </w:tc>
        <w:tc>
          <w:tcPr>
            <w:tcW w:w="64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44.2587</w:t>
            </w:r>
          </w:p>
        </w:tc>
        <w:tc>
          <w:tcPr>
            <w:tcW w:w="64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39.5301</w:t>
            </w:r>
          </w:p>
        </w:tc>
        <w:tc>
          <w:tcPr>
            <w:tcW w:w="64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33.3703</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25.6053</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16.3823</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9.0456</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6.2629</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4.5730</w:t>
            </w:r>
          </w:p>
        </w:tc>
        <w:tc>
          <w:tcPr>
            <w:tcW w:w="62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3.5868</w:t>
            </w:r>
          </w:p>
        </w:tc>
        <w:tc>
          <w:tcPr>
            <w:tcW w:w="62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2.9163</w:t>
            </w:r>
          </w:p>
        </w:tc>
        <w:tc>
          <w:tcPr>
            <w:tcW w:w="6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2.4230</w:t>
            </w:r>
          </w:p>
        </w:tc>
        <w:tc>
          <w:tcPr>
            <w:tcW w:w="6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1.7403</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1.2889</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0.9693</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0.7327</w:t>
            </w:r>
          </w:p>
        </w:tc>
        <w:tc>
          <w:tcPr>
            <w:tcW w:w="6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0.4111</w:t>
            </w:r>
          </w:p>
        </w:tc>
      </w:tr>
      <w:tr>
        <w:trPr>
          <w:trHeight w:val="134"/>
        </w:trPr>
        <w:tc>
          <w:tcPr>
            <w:tcW w:w="140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b w:val="1"/>
                <w:bCs w:val="1"/>
                <w:color w:val="auto"/>
              </w:rPr>
              <w:t>10/15/2012</w:t>
            </w:r>
          </w:p>
        </w:tc>
        <w:tc>
          <w:tcPr>
            <w:tcW w:w="64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44.2587</w:t>
            </w:r>
          </w:p>
        </w:tc>
        <w:tc>
          <w:tcPr>
            <w:tcW w:w="64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39.0595</w:t>
            </w:r>
          </w:p>
        </w:tc>
        <w:tc>
          <w:tcPr>
            <w:tcW w:w="64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rPr>
              <w:t>30.9434</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21.3292</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10.6819</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4.5652</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3.2731</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2.4423</w:t>
            </w:r>
          </w:p>
        </w:tc>
        <w:tc>
          <w:tcPr>
            <w:tcW w:w="620" w:type="dxa"/>
            <w:vAlign w:val="bottom"/>
            <w:gridSpan w:val="2"/>
            <w:shd w:val="clear" w:color="auto" w:fill="CCEEFF"/>
          </w:tcPr>
          <w:p>
            <w:pPr>
              <w:ind w:left="160"/>
              <w:spacing w:after="0" w:line="134" w:lineRule="exact"/>
              <w:rPr>
                <w:sz w:val="20"/>
                <w:szCs w:val="20"/>
                <w:color w:val="auto"/>
              </w:rPr>
            </w:pPr>
            <w:r>
              <w:rPr>
                <w:rFonts w:ascii="Arial" w:cs="Arial" w:eastAsia="Arial" w:hAnsi="Arial"/>
                <w:sz w:val="13"/>
                <w:szCs w:val="13"/>
                <w:color w:val="auto"/>
              </w:rPr>
              <w:t>1.9343</w:t>
            </w:r>
          </w:p>
        </w:tc>
        <w:tc>
          <w:tcPr>
            <w:tcW w:w="620" w:type="dxa"/>
            <w:vAlign w:val="bottom"/>
            <w:gridSpan w:val="2"/>
            <w:shd w:val="clear" w:color="auto" w:fill="CCEEFF"/>
          </w:tcPr>
          <w:p>
            <w:pPr>
              <w:ind w:left="160"/>
              <w:spacing w:after="0" w:line="134" w:lineRule="exact"/>
              <w:rPr>
                <w:sz w:val="20"/>
                <w:szCs w:val="20"/>
                <w:color w:val="auto"/>
              </w:rPr>
            </w:pPr>
            <w:r>
              <w:rPr>
                <w:rFonts w:ascii="Arial" w:cs="Arial" w:eastAsia="Arial" w:hAnsi="Arial"/>
                <w:sz w:val="13"/>
                <w:szCs w:val="13"/>
                <w:color w:val="auto"/>
              </w:rPr>
              <w:t>1.5790</w:t>
            </w:r>
          </w:p>
        </w:tc>
        <w:tc>
          <w:tcPr>
            <w:tcW w:w="62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1.3140</w:t>
            </w:r>
          </w:p>
        </w:tc>
        <w:tc>
          <w:tcPr>
            <w:tcW w:w="6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0.9435</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0.6967</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0.5205</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0.3886</w:t>
            </w:r>
          </w:p>
        </w:tc>
        <w:tc>
          <w:tcPr>
            <w:tcW w:w="6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0.2061</w:t>
            </w:r>
          </w:p>
        </w:tc>
      </w:tr>
      <w:tr>
        <w:trPr>
          <w:trHeight w:val="162"/>
        </w:trPr>
        <w:tc>
          <w:tcPr>
            <w:tcW w:w="14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10/15/2013</w:t>
            </w:r>
          </w:p>
        </w:tc>
        <w:tc>
          <w:tcPr>
            <w:tcW w:w="640" w:type="dxa"/>
            <w:vAlign w:val="bottom"/>
            <w:gridSpan w:val="2"/>
          </w:tcPr>
          <w:p>
            <w:pPr>
              <w:ind w:left="100"/>
              <w:spacing w:after="0"/>
              <w:rPr>
                <w:sz w:val="20"/>
                <w:szCs w:val="20"/>
                <w:color w:val="auto"/>
              </w:rPr>
            </w:pPr>
            <w:r>
              <w:rPr>
                <w:rFonts w:ascii="Arial" w:cs="Arial" w:eastAsia="Arial" w:hAnsi="Arial"/>
                <w:sz w:val="13"/>
                <w:szCs w:val="13"/>
                <w:color w:val="auto"/>
              </w:rPr>
              <w:t>44.2587</w:t>
            </w:r>
          </w:p>
        </w:tc>
        <w:tc>
          <w:tcPr>
            <w:tcW w:w="640" w:type="dxa"/>
            <w:vAlign w:val="bottom"/>
            <w:gridSpan w:val="2"/>
          </w:tcPr>
          <w:p>
            <w:pPr>
              <w:ind w:left="120"/>
              <w:spacing w:after="0"/>
              <w:rPr>
                <w:sz w:val="20"/>
                <w:szCs w:val="20"/>
                <w:color w:val="auto"/>
              </w:rPr>
            </w:pPr>
            <w:r>
              <w:rPr>
                <w:rFonts w:ascii="Arial" w:cs="Arial" w:eastAsia="Arial" w:hAnsi="Arial"/>
                <w:sz w:val="13"/>
                <w:szCs w:val="13"/>
                <w:color w:val="auto"/>
              </w:rPr>
              <w:t>38.5889</w:t>
            </w:r>
          </w:p>
        </w:tc>
        <w:tc>
          <w:tcPr>
            <w:tcW w:w="640" w:type="dxa"/>
            <w:vAlign w:val="bottom"/>
            <w:gridSpan w:val="2"/>
          </w:tcPr>
          <w:p>
            <w:pPr>
              <w:ind w:left="120"/>
              <w:spacing w:after="0"/>
              <w:rPr>
                <w:sz w:val="20"/>
                <w:szCs w:val="20"/>
                <w:color w:val="auto"/>
              </w:rPr>
            </w:pPr>
            <w:r>
              <w:rPr>
                <w:rFonts w:ascii="Arial" w:cs="Arial" w:eastAsia="Arial" w:hAnsi="Arial"/>
                <w:sz w:val="13"/>
                <w:szCs w:val="13"/>
                <w:color w:val="auto"/>
              </w:rPr>
              <w:t>25.5170</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3.2948</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0.0000</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0.0000</w:t>
            </w:r>
          </w:p>
        </w:tc>
      </w:tr>
    </w:tbl>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exact stock prices and effective dates may not be set forth in the above table, in which case:</w:t>
      </w:r>
    </w:p>
    <w:p>
      <w:pPr>
        <w:spacing w:after="0" w:line="223" w:lineRule="exact"/>
        <w:rPr>
          <w:sz w:val="20"/>
          <w:szCs w:val="20"/>
          <w:color w:val="auto"/>
        </w:rPr>
      </w:pPr>
    </w:p>
    <w:p>
      <w:pPr>
        <w:ind w:left="980" w:right="80" w:hanging="328"/>
        <w:spacing w:after="0" w:line="309" w:lineRule="auto"/>
        <w:tabs>
          <w:tab w:leader="none" w:pos="9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is between two effective dates in the table above, the make-whole shares issued upon conversion of the notes will be determined by straight-line interpolation between the number of make-whole shares set forth for the higher and lower stock prices and/or the earlier and later effective dates, as applicable, based on a 365-day year;</w:t>
      </w:r>
    </w:p>
    <w:p>
      <w:pPr>
        <w:spacing w:after="0" w:line="148" w:lineRule="exact"/>
        <w:rPr>
          <w:rFonts w:ascii="Arial" w:cs="Arial" w:eastAsia="Arial" w:hAnsi="Arial"/>
          <w:sz w:val="16"/>
          <w:szCs w:val="16"/>
          <w:color w:val="auto"/>
        </w:rPr>
      </w:pPr>
    </w:p>
    <w:p>
      <w:pPr>
        <w:ind w:left="980" w:right="200" w:hanging="328"/>
        <w:spacing w:after="0" w:line="275"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stock price is in excess of $50.00 per share of common stock (subject to adjustment in the same manner as the stock prices set forth in the table above), no make-whole shares will be issued upon conversion of the notes; and</w:t>
      </w:r>
    </w:p>
    <w:p>
      <w:pPr>
        <w:spacing w:after="0" w:line="170" w:lineRule="exact"/>
        <w:rPr>
          <w:rFonts w:ascii="Arial" w:cs="Arial" w:eastAsia="Arial" w:hAnsi="Arial"/>
          <w:sz w:val="18"/>
          <w:szCs w:val="18"/>
          <w:color w:val="auto"/>
        </w:rPr>
      </w:pPr>
    </w:p>
    <w:p>
      <w:pPr>
        <w:ind w:left="980" w:right="120" w:hanging="328"/>
        <w:spacing w:after="0" w:line="275" w:lineRule="auto"/>
        <w:tabs>
          <w:tab w:leader="none" w:pos="9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stock price is less than $4.15 per share of common stock (subject to adjustment in the same manner as the stock prices set forth in the table above), no make-whole shares will be issued upon conversion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40" w:firstLine="322"/>
        <w:spacing w:after="0" w:line="262" w:lineRule="auto"/>
        <w:rPr>
          <w:sz w:val="20"/>
          <w:szCs w:val="20"/>
          <w:color w:val="auto"/>
        </w:rPr>
      </w:pPr>
      <w:r>
        <w:rPr>
          <w:rFonts w:ascii="Arial" w:cs="Arial" w:eastAsia="Arial" w:hAnsi="Arial"/>
          <w:sz w:val="18"/>
          <w:szCs w:val="18"/>
          <w:color w:val="auto"/>
        </w:rPr>
        <w:t>Notwithstanding the foregoing, the conversion rate of the notes shall not exceed 240.9638 per $1,000 principal amount of notes, subject to adjustment in the same manner as described in the preliminary prospectus supplement dated April 7, 2009 under “Description of Notes—Adjustment to Conversion Rate— General.”</w:t>
      </w:r>
    </w:p>
    <w:p>
      <w:pPr>
        <w:spacing w:after="0" w:line="181" w:lineRule="exact"/>
        <w:rPr>
          <w:sz w:val="20"/>
          <w:szCs w:val="20"/>
          <w:color w:val="auto"/>
        </w:rPr>
      </w:pPr>
    </w:p>
    <w:p>
      <w:pPr>
        <w:ind w:right="40" w:firstLine="322"/>
        <w:spacing w:after="0" w:line="275" w:lineRule="auto"/>
        <w:rPr>
          <w:sz w:val="20"/>
          <w:szCs w:val="20"/>
          <w:color w:val="auto"/>
        </w:rPr>
      </w:pPr>
      <w:r>
        <w:rPr>
          <w:rFonts w:ascii="Arial" w:cs="Arial" w:eastAsia="Arial" w:hAnsi="Arial"/>
          <w:sz w:val="18"/>
          <w:szCs w:val="18"/>
          <w:color w:val="auto"/>
        </w:rPr>
        <w:t>The Issuer’s obligation to deliver the make-whole shares could be considered a penalty, in which case the enforceability of our obligation to deliver make-whole shares would be subject to general principles of reasonableness of economic remedies.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Offering of Common Stock</w:t>
      </w:r>
    </w:p>
    <w:p>
      <w:pPr>
        <w:spacing w:after="0" w:line="223" w:lineRule="exact"/>
        <w:rPr>
          <w:sz w:val="20"/>
          <w:szCs w:val="20"/>
          <w:color w:val="auto"/>
        </w:rPr>
      </w:pPr>
    </w:p>
    <w:p>
      <w:pPr>
        <w:ind w:right="20" w:firstLine="322"/>
        <w:spacing w:after="0" w:line="295" w:lineRule="auto"/>
        <w:rPr>
          <w:sz w:val="20"/>
          <w:szCs w:val="20"/>
          <w:color w:val="auto"/>
        </w:rPr>
      </w:pPr>
      <w:r>
        <w:rPr>
          <w:rFonts w:ascii="Arial" w:cs="Arial" w:eastAsia="Arial" w:hAnsi="Arial"/>
          <w:sz w:val="16"/>
          <w:szCs w:val="16"/>
          <w:color w:val="auto"/>
        </w:rPr>
        <w:t>Concurrently with this offering, pursuant to a separate prospectus supplement, the Issuer priced an underwritten public offering of 60,240,000 shares (69,276,000 shares if the underwriters exercise their over-allotment option with respect to that offering in full) of the Issuer’s common stock (the “Common Stock Offering”). Neither the completion of the Common Stock Offering nor the completion of this offering is contingent on the completion of the other. Assuming no exercise of the underwriters’ over-allotment option with respect to the Common Stock Offering, the net proceeds of the Common Stock Offering, after deducting the underwriting discount and estimated expenses, will be approximately $239.7 million, based on a public offering price of $4.15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the Preliminary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1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5, 2009</w:t>
      </w:r>
    </w:p>
    <w:p>
      <w:pPr>
        <w:spacing w:after="0" w:line="9" w:lineRule="exact"/>
        <w:rPr>
          <w:sz w:val="20"/>
          <w:szCs w:val="20"/>
          <w:color w:val="auto"/>
        </w:rPr>
      </w:pPr>
    </w:p>
    <w:tbl>
      <w:tblPr>
        <w:tblLayout w:type="fixed"/>
        <w:tblInd w:w="6980" w:type="dxa"/>
        <w:tblCellMar>
          <w:top w:w="0" w:type="dxa"/>
          <w:left w:w="0" w:type="dxa"/>
          <w:bottom w:w="0" w:type="dxa"/>
          <w:right w:w="0" w:type="dxa"/>
        </w:tblCellMar>
      </w:tblPr>
      <w:tr>
        <w:trPr>
          <w:trHeight w:val="118"/>
        </w:trPr>
        <w:tc>
          <w:tcPr>
            <w:tcW w:w="13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left="69"/>
              <w:spacing w:after="0" w:line="119" w:lineRule="exact"/>
              <w:rPr>
                <w:sz w:val="20"/>
                <w:szCs w:val="20"/>
                <w:color w:val="auto"/>
              </w:rPr>
            </w:pPr>
            <w:r>
              <w:rPr>
                <w:rFonts w:ascii="Arial" w:cs="Arial" w:eastAsia="Arial" w:hAnsi="Arial"/>
                <w:sz w:val="13"/>
                <w:szCs w:val="13"/>
                <w:b w:val="1"/>
                <w:bCs w:val="1"/>
                <w:color w:val="auto"/>
                <w:w w:val="97"/>
              </w:rPr>
              <w:t>As Adjusted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6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0"/>
              </w:rPr>
              <w:t>As Adjusted</w:t>
            </w:r>
          </w:p>
        </w:tc>
        <w:tc>
          <w:tcPr>
            <w:tcW w:w="1400" w:type="dxa"/>
            <w:vAlign w:val="bottom"/>
          </w:tcPr>
          <w:p>
            <w:pPr>
              <w:jc w:val="center"/>
              <w:ind w:left="89"/>
              <w:spacing w:after="0" w:line="148" w:lineRule="exact"/>
              <w:rPr>
                <w:sz w:val="20"/>
                <w:szCs w:val="20"/>
                <w:color w:val="auto"/>
              </w:rPr>
            </w:pPr>
            <w:r>
              <w:rPr>
                <w:rFonts w:ascii="Arial" w:cs="Arial" w:eastAsia="Arial" w:hAnsi="Arial"/>
                <w:sz w:val="14"/>
                <w:szCs w:val="14"/>
                <w:b w:val="1"/>
                <w:bCs w:val="1"/>
                <w:color w:val="auto"/>
                <w:w w:val="92"/>
              </w:rPr>
              <w:t>for this</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400" w:type="dxa"/>
            <w:vAlign w:val="bottom"/>
          </w:tcPr>
          <w:p>
            <w:pPr>
              <w:jc w:val="center"/>
              <w:ind w:left="89"/>
              <w:spacing w:after="0" w:line="148" w:lineRule="exact"/>
              <w:rPr>
                <w:sz w:val="20"/>
                <w:szCs w:val="20"/>
                <w:color w:val="auto"/>
              </w:rPr>
            </w:pPr>
            <w:r>
              <w:rPr>
                <w:rFonts w:ascii="Arial" w:cs="Arial" w:eastAsia="Arial" w:hAnsi="Arial"/>
                <w:sz w:val="14"/>
                <w:szCs w:val="14"/>
                <w:b w:val="1"/>
                <w:bCs w:val="1"/>
                <w:color w:val="auto"/>
                <w:w w:val="96"/>
              </w:rPr>
              <w:t>Offering and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620" w:type="dxa"/>
            <w:vAlign w:val="bottom"/>
          </w:tcPr>
          <w:p>
            <w:pPr>
              <w:jc w:val="center"/>
              <w:ind w:left="68"/>
              <w:spacing w:after="0" w:line="148" w:lineRule="exact"/>
              <w:rPr>
                <w:sz w:val="20"/>
                <w:szCs w:val="20"/>
                <w:color w:val="auto"/>
              </w:rPr>
            </w:pPr>
            <w:r>
              <w:rPr>
                <w:rFonts w:ascii="Arial" w:cs="Arial" w:eastAsia="Arial" w:hAnsi="Arial"/>
                <w:sz w:val="14"/>
                <w:szCs w:val="14"/>
                <w:b w:val="1"/>
                <w:bCs w:val="1"/>
                <w:color w:val="auto"/>
                <w:w w:val="92"/>
              </w:rPr>
              <w:t>for this</w:t>
            </w:r>
          </w:p>
        </w:tc>
        <w:tc>
          <w:tcPr>
            <w:tcW w:w="1400" w:type="dxa"/>
            <w:vAlign w:val="bottom"/>
          </w:tcPr>
          <w:p>
            <w:pPr>
              <w:jc w:val="center"/>
              <w:ind w:left="89"/>
              <w:spacing w:after="0" w:line="148"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620" w:type="dxa"/>
            <w:vAlign w:val="bottom"/>
          </w:tcPr>
          <w:p>
            <w:pPr>
              <w:jc w:val="center"/>
              <w:ind w:left="48"/>
              <w:spacing w:after="0" w:line="148" w:lineRule="exact"/>
              <w:rPr>
                <w:sz w:val="20"/>
                <w:szCs w:val="20"/>
                <w:color w:val="auto"/>
              </w:rPr>
            </w:pPr>
            <w:r>
              <w:rPr>
                <w:rFonts w:ascii="Arial" w:cs="Arial" w:eastAsia="Arial" w:hAnsi="Arial"/>
                <w:sz w:val="14"/>
                <w:szCs w:val="14"/>
                <w:b w:val="1"/>
                <w:bCs w:val="1"/>
                <w:color w:val="auto"/>
                <w:w w:val="93"/>
              </w:rPr>
              <w:t>Offering and</w:t>
            </w:r>
          </w:p>
        </w:tc>
        <w:tc>
          <w:tcPr>
            <w:tcW w:w="1400" w:type="dxa"/>
            <w:vAlign w:val="bottom"/>
          </w:tcPr>
          <w:p>
            <w:pPr>
              <w:jc w:val="center"/>
              <w:ind w:left="89"/>
              <w:spacing w:after="0" w:line="148" w:lineRule="exact"/>
              <w:rPr>
                <w:sz w:val="20"/>
                <w:szCs w:val="20"/>
                <w:color w:val="auto"/>
              </w:rPr>
            </w:pPr>
            <w:r>
              <w:rPr>
                <w:rFonts w:ascii="Arial" w:cs="Arial" w:eastAsia="Arial" w:hAnsi="Arial"/>
                <w:sz w:val="14"/>
                <w:szCs w:val="14"/>
                <w:b w:val="1"/>
                <w:bCs w:val="1"/>
                <w:color w:val="auto"/>
                <w:w w:val="95"/>
              </w:rPr>
              <w:t>Concurrent</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620" w:type="dxa"/>
            <w:vAlign w:val="bottom"/>
          </w:tcPr>
          <w:p>
            <w:pPr>
              <w:jc w:val="center"/>
              <w:ind w:left="48"/>
              <w:spacing w:after="0" w:line="148" w:lineRule="exact"/>
              <w:rPr>
                <w:sz w:val="20"/>
                <w:szCs w:val="20"/>
                <w:color w:val="auto"/>
              </w:rPr>
            </w:pPr>
            <w:r>
              <w:rPr>
                <w:rFonts w:ascii="Arial" w:cs="Arial" w:eastAsia="Arial" w:hAnsi="Arial"/>
                <w:sz w:val="14"/>
                <w:szCs w:val="14"/>
                <w:b w:val="1"/>
                <w:bCs w:val="1"/>
                <w:color w:val="auto"/>
                <w:w w:val="91"/>
              </w:rPr>
              <w:t>the Capped</w:t>
            </w:r>
          </w:p>
        </w:tc>
        <w:tc>
          <w:tcPr>
            <w:tcW w:w="1400" w:type="dxa"/>
            <w:vAlign w:val="bottom"/>
          </w:tcPr>
          <w:p>
            <w:pPr>
              <w:jc w:val="center"/>
              <w:ind w:left="89"/>
              <w:spacing w:after="0" w:line="148" w:lineRule="exact"/>
              <w:rPr>
                <w:sz w:val="20"/>
                <w:szCs w:val="20"/>
                <w:color w:val="auto"/>
              </w:rPr>
            </w:pPr>
            <w:r>
              <w:rPr>
                <w:rFonts w:ascii="Arial" w:cs="Arial" w:eastAsia="Arial" w:hAnsi="Arial"/>
                <w:sz w:val="14"/>
                <w:szCs w:val="14"/>
                <w:b w:val="1"/>
                <w:bCs w:val="1"/>
                <w:color w:val="auto"/>
                <w:w w:val="94"/>
              </w:rPr>
              <w:t>Offering of</w:t>
            </w:r>
          </w:p>
        </w:tc>
        <w:tc>
          <w:tcPr>
            <w:tcW w:w="0" w:type="dxa"/>
            <w:vAlign w:val="bottom"/>
          </w:tcPr>
          <w:p>
            <w:pPr>
              <w:spacing w:after="0"/>
              <w:rPr>
                <w:sz w:val="1"/>
                <w:szCs w:val="1"/>
                <w:color w:val="auto"/>
              </w:rPr>
            </w:pPr>
          </w:p>
        </w:tc>
      </w:tr>
      <w:tr>
        <w:trPr>
          <w:trHeight w:val="148"/>
        </w:trPr>
        <w:tc>
          <w:tcPr>
            <w:tcW w:w="13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Actual</w:t>
            </w:r>
          </w:p>
        </w:tc>
        <w:tc>
          <w:tcPr>
            <w:tcW w:w="1620" w:type="dxa"/>
            <w:vAlign w:val="bottom"/>
          </w:tcPr>
          <w:p>
            <w:pPr>
              <w:jc w:val="center"/>
              <w:ind w:left="48"/>
              <w:spacing w:after="0" w:line="148" w:lineRule="exact"/>
              <w:rPr>
                <w:sz w:val="20"/>
                <w:szCs w:val="20"/>
                <w:color w:val="auto"/>
              </w:rPr>
            </w:pPr>
            <w:r>
              <w:rPr>
                <w:rFonts w:ascii="Arial" w:cs="Arial" w:eastAsia="Arial" w:hAnsi="Arial"/>
                <w:sz w:val="14"/>
                <w:szCs w:val="14"/>
                <w:b w:val="1"/>
                <w:bCs w:val="1"/>
                <w:color w:val="auto"/>
              </w:rPr>
              <w:t>Call</w:t>
            </w:r>
          </w:p>
        </w:tc>
        <w:tc>
          <w:tcPr>
            <w:tcW w:w="1400" w:type="dxa"/>
            <w:vAlign w:val="bottom"/>
          </w:tcPr>
          <w:p>
            <w:pPr>
              <w:jc w:val="center"/>
              <w:ind w:left="69"/>
              <w:spacing w:after="0" w:line="148" w:lineRule="exact"/>
              <w:rPr>
                <w:sz w:val="20"/>
                <w:szCs w:val="20"/>
                <w:color w:val="auto"/>
              </w:rPr>
            </w:pPr>
            <w:r>
              <w:rPr>
                <w:rFonts w:ascii="Arial" w:cs="Arial" w:eastAsia="Arial" w:hAnsi="Arial"/>
                <w:sz w:val="14"/>
                <w:szCs w:val="14"/>
                <w:b w:val="1"/>
                <w:bCs w:val="1"/>
                <w:color w:val="auto"/>
                <w:w w:val="94"/>
              </w:rPr>
              <w:t>our Common</w:t>
            </w:r>
          </w:p>
        </w:tc>
        <w:tc>
          <w:tcPr>
            <w:tcW w:w="0" w:type="dxa"/>
            <w:vAlign w:val="bottom"/>
          </w:tcPr>
          <w:p>
            <w:pPr>
              <w:spacing w:after="0"/>
              <w:rPr>
                <w:sz w:val="1"/>
                <w:szCs w:val="1"/>
                <w:color w:val="auto"/>
              </w:rPr>
            </w:pPr>
          </w:p>
        </w:tc>
      </w:tr>
      <w:tr>
        <w:trPr>
          <w:trHeight w:val="170"/>
        </w:trPr>
        <w:tc>
          <w:tcPr>
            <w:tcW w:w="132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Transactions</w:t>
            </w:r>
          </w:p>
        </w:tc>
        <w:tc>
          <w:tcPr>
            <w:tcW w:w="140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bl>
    <w:p>
      <w:pPr>
        <w:sectPr>
          <w:pgSz w:w="11900" w:h="16882" w:orient="portrait"/>
          <w:cols w:equalWidth="0" w:num="1">
            <w:col w:w="11420"/>
          </w:cols>
          <w:pgMar w:left="240" w:top="125" w:right="239"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1,105</w:t>
            </w:r>
          </w:p>
        </w:tc>
        <w:tc>
          <w:tcPr>
            <w:tcW w:w="5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Current portion of long-term debt and capital lease obligations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jc w:val="right"/>
              <w:ind w:right="271"/>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353</w:t>
            </w:r>
          </w:p>
        </w:tc>
        <w:tc>
          <w:tcPr>
            <w:tcW w:w="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4.25% convertible senior notes due October 15, 2013</w:t>
            </w:r>
          </w:p>
        </w:tc>
        <w:tc>
          <w:tcPr>
            <w:tcW w:w="4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 excluding current portion</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ind w:left="180"/>
              <w:spacing w:after="0"/>
              <w:rPr>
                <w:sz w:val="20"/>
                <w:szCs w:val="20"/>
                <w:color w:val="auto"/>
              </w:rPr>
            </w:pPr>
            <w:r>
              <w:rPr>
                <w:rFonts w:ascii="Arial" w:cs="Arial" w:eastAsia="Arial" w:hAnsi="Arial"/>
                <w:sz w:val="18"/>
                <w:szCs w:val="18"/>
                <w:color w:val="auto"/>
              </w:rPr>
              <w:t>Total long-term debt and capital leases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par value $0.10 per share, 3,000 million shares authorized; 777.5 million</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outstanding(1)</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Additional capital</w:t>
            </w:r>
          </w:p>
        </w:tc>
        <w:tc>
          <w:tcPr>
            <w:tcW w:w="4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6,584</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9,981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10,160</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5600"/>
              <w:spacing w:after="0"/>
              <w:rPr>
                <w:sz w:val="20"/>
                <w:szCs w:val="20"/>
                <w:color w:val="auto"/>
              </w:rPr>
            </w:pPr>
            <w:r>
              <w:rPr>
                <w:rFonts w:ascii="Arial" w:cs="Arial" w:eastAsia="Arial" w:hAnsi="Arial"/>
                <w:sz w:val="18"/>
                <w:szCs w:val="18"/>
                <w:color w:val="auto"/>
              </w:rPr>
              <w:t>I-4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9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9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424180</wp:posOffset>
            </wp:positionV>
            <wp:extent cx="18332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right="80" w:hanging="313"/>
        <w:spacing w:after="0" w:line="300" w:lineRule="auto"/>
        <w:tabs>
          <w:tab w:leader="none" w:pos="341"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Indebtedness</w:t>
      </w:r>
    </w:p>
    <w:p>
      <w:pPr>
        <w:spacing w:after="0" w:line="227" w:lineRule="exact"/>
        <w:rPr>
          <w:sz w:val="20"/>
          <w:szCs w:val="20"/>
          <w:color w:val="auto"/>
        </w:rPr>
      </w:pPr>
    </w:p>
    <w:p>
      <w:pPr>
        <w:jc w:val="both"/>
        <w:ind w:right="580"/>
        <w:spacing w:after="0" w:line="262" w:lineRule="auto"/>
        <w:rPr>
          <w:sz w:val="20"/>
          <w:szCs w:val="20"/>
          <w:color w:val="auto"/>
        </w:rPr>
      </w:pPr>
      <w:r>
        <w:rPr>
          <w:rFonts w:ascii="Arial" w:cs="Arial" w:eastAsia="Arial" w:hAnsi="Arial"/>
          <w:sz w:val="18"/>
          <w:szCs w:val="18"/>
          <w:color w:val="auto"/>
        </w:rPr>
        <w:t>On pages S-4, S-21 and S-32 of the preliminary prospectus supplement, the disclosure has been revised to clarify that as of March 5, 2009, the Issuer’s subsidiaries had unsecured liabilities (including trade and other payables but excluding intercompany indebtedness) outstanding in an amount of $1,274 million.</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related preliminary prospectus supplement) with the U.S. Securities and Exchange Commission (SEC) for the offering to which this communication relates. Before you invest, you should read the preliminary prospectus supplement, the accompanying prospectus in the registration statement and the other documents the Issuer has filed with the SEC for more complete information about the Issuer and the offering. You may get these documents for free by visiting IDEA on the SEC’s web 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Alternatively, either preliminary prospectus supplement may be obtained from Morgan Stanley &amp; Co. Incorporated, Attn: Prospectus Department, 180 Varick Street 2/F, New York, NY 10014, call toll-free 1-866-718-1649, or email prospectus@morganstanley.com; from Goldman, Sachs &amp; Co., Attn: Prospectus Department, 85 Broad Street, New York, NY 10004, call toll-free 1-866-471-2526, or fax 212-902-9316, or email prospectus-ny@ny.email.gs.com; or from Deutsche Bank Securities Inc., Attn: Prospectus Department, 100 Plaza One, Jersey City, New Jersey 07311, telephone: (800) 503-4611, email: prospectusrequest@list.db.com.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3"/>
          </w:tcPr>
          <w:p>
            <w:pPr>
              <w:ind w:left="88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 of</w:t>
            </w:r>
          </w:p>
        </w:tc>
        <w:tc>
          <w:tcPr>
            <w:tcW w:w="2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Firm Securities to be</w:t>
            </w:r>
          </w:p>
        </w:tc>
        <w:tc>
          <w:tcPr>
            <w:tcW w:w="208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92"/>
              </w:rPr>
              <w:t>Additional Securities to</w:t>
            </w:r>
          </w:p>
        </w:tc>
        <w:tc>
          <w:tcPr>
            <w:tcW w:w="0" w:type="dxa"/>
            <w:vAlign w:val="bottom"/>
          </w:tcPr>
          <w:p>
            <w:pPr>
              <w:spacing w:after="0"/>
              <w:rPr>
                <w:sz w:val="1"/>
                <w:szCs w:val="1"/>
                <w:color w:val="auto"/>
              </w:rPr>
            </w:pPr>
          </w:p>
        </w:tc>
      </w:tr>
      <w:tr>
        <w:trPr>
          <w:trHeight w:val="170"/>
        </w:trPr>
        <w:tc>
          <w:tcPr>
            <w:tcW w:w="4180" w:type="dxa"/>
            <w:vAlign w:val="bottom"/>
            <w:gridSpan w:val="2"/>
            <w:vMerge w:val="continue"/>
          </w:tcPr>
          <w:p>
            <w:pPr>
              <w:spacing w:after="0"/>
              <w:rPr>
                <w:sz w:val="14"/>
                <w:szCs w:val="14"/>
                <w:color w:val="auto"/>
              </w:rPr>
            </w:pPr>
          </w:p>
        </w:tc>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2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Morgan Stanley &amp; Co. Incorporated</w:t>
            </w:r>
          </w:p>
        </w:tc>
        <w:tc>
          <w:tcPr>
            <w:tcW w:w="2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Goldman, Sachs &amp; Co.</w:t>
            </w:r>
          </w:p>
        </w:tc>
        <w:tc>
          <w:tcPr>
            <w:tcW w:w="5200" w:type="dxa"/>
            <w:vAlign w:val="bottom"/>
            <w:gridSpan w:val="4"/>
          </w:tcPr>
          <w:p>
            <w:pPr>
              <w:jc w:val="right"/>
              <w:ind w:right="280"/>
              <w:spacing w:after="0"/>
              <w:rPr>
                <w:sz w:val="20"/>
                <w:szCs w:val="20"/>
                <w:color w:val="auto"/>
              </w:rPr>
            </w:pPr>
            <w:r>
              <w:rPr>
                <w:rFonts w:ascii="Arial" w:cs="Arial" w:eastAsia="Arial" w:hAnsi="Arial"/>
                <w:sz w:val="18"/>
                <w:szCs w:val="18"/>
                <w:color w:val="auto"/>
              </w:rPr>
              <w:t>92,000,000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13,800,000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Deutsche Bank Securities Inc.</w:t>
            </w:r>
          </w:p>
        </w:tc>
        <w:tc>
          <w:tcPr>
            <w:tcW w:w="5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16,000,000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8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200" w:type="dxa"/>
            <w:vAlign w:val="bottom"/>
            <w:gridSpan w:val="4"/>
          </w:tcPr>
          <w:p>
            <w:pPr>
              <w:ind w:left="1400"/>
              <w:spacing w:after="0"/>
              <w:rPr>
                <w:sz w:val="20"/>
                <w:szCs w:val="20"/>
                <w:color w:val="auto"/>
              </w:rPr>
            </w:pPr>
            <w:r>
              <w:rPr>
                <w:rFonts w:ascii="Arial" w:cs="Arial" w:eastAsia="Arial" w:hAnsi="Arial"/>
                <w:sz w:val="18"/>
                <w:szCs w:val="18"/>
                <w:color w:val="auto"/>
              </w:rPr>
              <w:t>II-1</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SCHEDULE III</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Jurisdictions of Qualification of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ectPr>
          <w:pgSz w:w="11900" w:h="16838" w:orient="portrait"/>
          <w:cols w:equalWidth="0" w:num="1">
            <w:col w:w="11460"/>
          </w:cols>
          <w:pgMar w:left="240" w:top="118" w:right="19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Delaware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IV</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Steve Appleton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Mark Durcan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Ron Foster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Rod Lewis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Mark Adams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Brian Shirley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Brian Shields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Kipp Bedard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Pat Otte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7" w:lineRule="exact"/>
        <w:rPr>
          <w:sz w:val="20"/>
          <w:szCs w:val="20"/>
          <w:color w:val="auto"/>
        </w:rPr>
      </w:pPr>
    </w:p>
    <w:p>
      <w:pPr>
        <w:jc w:val="center"/>
        <w:ind w:left="5160"/>
        <w:spacing w:after="0"/>
        <w:tabs>
          <w:tab w:leader="none" w:pos="26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8"/>
          <w:szCs w:val="18"/>
          <w:color w:val="auto"/>
        </w:rPr>
        <w:t>, 2009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85 Broad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jc w:val="both"/>
        <w:ind w:right="180" w:firstLine="645"/>
        <w:spacing w:after="0" w:line="293" w:lineRule="auto"/>
        <w:rPr>
          <w:sz w:val="20"/>
          <w:szCs w:val="20"/>
          <w:color w:val="auto"/>
        </w:rPr>
      </w:pPr>
      <w:r>
        <w:rPr>
          <w:rFonts w:ascii="Arial" w:cs="Arial" w:eastAsia="Arial" w:hAnsi="Arial"/>
          <w:sz w:val="16"/>
          <w:szCs w:val="16"/>
          <w:color w:val="auto"/>
        </w:rPr>
        <w:t>The undersigned understands that each of Goldman, Sachs &amp; Co. and Morgan Stanley &amp; Co. Incorporated (each, a “</w:t>
      </w:r>
      <w:r>
        <w:rPr>
          <w:rFonts w:ascii="Arial" w:cs="Arial" w:eastAsia="Arial" w:hAnsi="Arial"/>
          <w:sz w:val="16"/>
          <w:szCs w:val="16"/>
          <w:b w:val="1"/>
          <w:bCs w:val="1"/>
          <w:color w:val="auto"/>
        </w:rPr>
        <w:t>Representative</w:t>
      </w:r>
      <w:r>
        <w:rPr>
          <w:rFonts w:ascii="Arial" w:cs="Arial" w:eastAsia="Arial" w:hAnsi="Arial"/>
          <w:sz w:val="16"/>
          <w:szCs w:val="16"/>
          <w:color w:val="auto"/>
        </w:rPr>
        <w:t>”) proposes to enter into an Underwriting Agreement (the “</w:t>
      </w:r>
      <w:r>
        <w:rPr>
          <w:rFonts w:ascii="Arial" w:cs="Arial" w:eastAsia="Arial" w:hAnsi="Arial"/>
          <w:sz w:val="16"/>
          <w:szCs w:val="16"/>
          <w:b w:val="1"/>
          <w:bCs w:val="1"/>
          <w:color w:val="auto"/>
        </w:rPr>
        <w:t>Equity Underwriting Agreement</w:t>
      </w:r>
      <w:r>
        <w:rPr>
          <w:rFonts w:ascii="Arial" w:cs="Arial" w:eastAsia="Arial" w:hAnsi="Arial"/>
          <w:sz w:val="16"/>
          <w:szCs w:val="16"/>
          <w:color w:val="auto"/>
        </w:rPr>
        <w:t>”) with 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Equity Offering</w:t>
      </w:r>
      <w:r>
        <w:rPr>
          <w:rFonts w:ascii="Arial" w:cs="Arial" w:eastAsia="Arial" w:hAnsi="Arial"/>
          <w:sz w:val="16"/>
          <w:szCs w:val="16"/>
          <w:color w:val="auto"/>
        </w:rPr>
        <w:t>”) by the several underwriters, including the Representatives (the “</w:t>
      </w:r>
      <w:r>
        <w:rPr>
          <w:rFonts w:ascii="Arial" w:cs="Arial" w:eastAsia="Arial" w:hAnsi="Arial"/>
          <w:sz w:val="16"/>
          <w:szCs w:val="16"/>
          <w:b w:val="1"/>
          <w:bCs w:val="1"/>
          <w:color w:val="auto"/>
        </w:rPr>
        <w:t>Equity Underwriters</w:t>
      </w:r>
      <w:r>
        <w:rPr>
          <w:rFonts w:ascii="Arial" w:cs="Arial" w:eastAsia="Arial" w:hAnsi="Arial"/>
          <w:sz w:val="16"/>
          <w:szCs w:val="16"/>
          <w:color w:val="auto"/>
        </w:rPr>
        <w:t>”) of shares of the Company’s common stock, par value $0.10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an Underwriting Agreement (the “</w:t>
      </w:r>
      <w:r>
        <w:rPr>
          <w:rFonts w:ascii="Arial" w:cs="Arial" w:eastAsia="Arial" w:hAnsi="Arial"/>
          <w:sz w:val="16"/>
          <w:szCs w:val="16"/>
          <w:b w:val="1"/>
          <w:bCs w:val="1"/>
          <w:color w:val="auto"/>
        </w:rPr>
        <w:t>Convertible Senior Note</w:t>
      </w:r>
      <w:r>
        <w:rPr>
          <w:rFonts w:ascii="Arial" w:cs="Arial" w:eastAsia="Arial" w:hAnsi="Arial"/>
          <w:sz w:val="16"/>
          <w:szCs w:val="16"/>
          <w:color w:val="auto"/>
        </w:rPr>
        <w:t xml:space="preserv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together with the Equity Underwriting Agreement, the “</w:t>
      </w:r>
      <w:r>
        <w:rPr>
          <w:rFonts w:ascii="Arial" w:cs="Arial" w:eastAsia="Arial" w:hAnsi="Arial"/>
          <w:sz w:val="16"/>
          <w:szCs w:val="16"/>
          <w:b w:val="1"/>
          <w:bCs w:val="1"/>
          <w:color w:val="auto"/>
        </w:rPr>
        <w:t>Underwriting Agreements</w:t>
      </w:r>
      <w:r>
        <w:rPr>
          <w:rFonts w:ascii="Arial" w:cs="Arial" w:eastAsia="Arial" w:hAnsi="Arial"/>
          <w:sz w:val="16"/>
          <w:szCs w:val="16"/>
          <w:color w:val="auto"/>
        </w:rPr>
        <w:t>”) with the Company providing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(the “</w:t>
      </w:r>
      <w:r>
        <w:rPr>
          <w:rFonts w:ascii="Arial" w:cs="Arial" w:eastAsia="Arial" w:hAnsi="Arial"/>
          <w:sz w:val="16"/>
          <w:szCs w:val="16"/>
          <w:b w:val="1"/>
          <w:bCs w:val="1"/>
          <w:color w:val="auto"/>
        </w:rPr>
        <w:t>Public Convertible Senior Note Offering</w:t>
      </w:r>
      <w:r>
        <w:rPr>
          <w:rFonts w:ascii="Arial" w:cs="Arial" w:eastAsia="Arial" w:hAnsi="Arial"/>
          <w:sz w:val="16"/>
          <w:szCs w:val="16"/>
          <w:color w:val="auto"/>
        </w:rPr>
        <w:t>” and, together with the Public Equity Offering, the “</w:t>
      </w:r>
      <w:r>
        <w:rPr>
          <w:rFonts w:ascii="Arial" w:cs="Arial" w:eastAsia="Arial" w:hAnsi="Arial"/>
          <w:sz w:val="16"/>
          <w:szCs w:val="16"/>
          <w:b w:val="1"/>
          <w:bCs w:val="1"/>
          <w:color w:val="auto"/>
        </w:rPr>
        <w:t>Public Offerings</w:t>
      </w:r>
      <w:r>
        <w:rPr>
          <w:rFonts w:ascii="Arial" w:cs="Arial" w:eastAsia="Arial" w:hAnsi="Arial"/>
          <w:sz w:val="16"/>
          <w:szCs w:val="16"/>
          <w:color w:val="auto"/>
        </w:rPr>
        <w:t>”) by the several</w:t>
      </w:r>
    </w:p>
    <w:p>
      <w:pPr>
        <w:sectPr>
          <w:pgSz w:w="11900" w:h="16838" w:orient="portrait"/>
          <w:cols w:equalWidth="0" w:num="1">
            <w:col w:w="11420"/>
          </w:cols>
          <w:pgMar w:left="240" w:top="125" w:right="239" w:bottom="0" w:gutter="0" w:footer="0" w:header="0"/>
        </w:sectPr>
      </w:pPr>
    </w:p>
    <w:bookmarkStart w:id="16" w:name="page17"/>
    <w:bookmarkEnd w:id="16"/>
    <w:p>
      <w:pPr>
        <w:ind w:right="80"/>
        <w:spacing w:after="0" w:line="279" w:lineRule="auto"/>
        <w:rPr>
          <w:sz w:val="20"/>
          <w:szCs w:val="20"/>
          <w:color w:val="auto"/>
        </w:rPr>
      </w:pPr>
      <w:r>
        <w:rPr>
          <w:rFonts w:ascii="Arial" w:cs="Arial" w:eastAsia="Arial" w:hAnsi="Arial"/>
          <w:sz w:val="18"/>
          <w:szCs w:val="18"/>
          <w:color w:val="auto"/>
        </w:rPr>
        <w:t>underwriters, including the Representatives (the “</w:t>
      </w:r>
      <w:r>
        <w:rPr>
          <w:rFonts w:ascii="Arial" w:cs="Arial" w:eastAsia="Arial" w:hAnsi="Arial"/>
          <w:sz w:val="18"/>
          <w:szCs w:val="18"/>
          <w:b w:val="1"/>
          <w:bCs w:val="1"/>
          <w:color w:val="auto"/>
        </w:rPr>
        <w:t>Convertible Senior Note Underwriters</w:t>
      </w:r>
      <w:r>
        <w:rPr>
          <w:rFonts w:ascii="Arial" w:cs="Arial" w:eastAsia="Arial" w:hAnsi="Arial"/>
          <w:sz w:val="18"/>
          <w:szCs w:val="18"/>
          <w:color w:val="auto"/>
        </w:rPr>
        <w:t>” and, together with the Equity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of convertible senior notes of the Company that will be convertible into shares of Common Stock.</w:t>
      </w:r>
    </w:p>
    <w:p>
      <w:pPr>
        <w:spacing w:after="0" w:line="167" w:lineRule="exact"/>
        <w:rPr>
          <w:sz w:val="20"/>
          <w:szCs w:val="20"/>
          <w:color w:val="auto"/>
        </w:rPr>
      </w:pPr>
    </w:p>
    <w:p>
      <w:pPr>
        <w:ind w:right="120" w:firstLine="645"/>
        <w:spacing w:after="0" w:line="300" w:lineRule="auto"/>
        <w:rPr>
          <w:sz w:val="20"/>
          <w:szCs w:val="20"/>
          <w:color w:val="auto"/>
        </w:rPr>
      </w:pPr>
      <w:r>
        <w:rPr>
          <w:rFonts w:ascii="Arial" w:cs="Arial" w:eastAsia="Arial" w:hAnsi="Arial"/>
          <w:sz w:val="16"/>
          <w:szCs w:val="16"/>
          <w:color w:val="auto"/>
        </w:rPr>
        <w:t>To induce the Underwriters that may participate in the Public Offerings to continue their efforts in connection with the Public Offerings, the undersigned hereby agrees that, without the prior written consent of each of the Representatives on behalf of the Underwriters, it will not, during the period commencing on the date hereof and ending 90 days after the date of the final prospectus relating to the Public Offerings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shall be required or shall be voluntarily made in connection with subsequent sales of Common Stock or other securities acquired in such open market transactions, (b) transfers of shares of Common Stock or any security convertible into Common Stock as a bona fide gift, (c) to the extent applicable, distributions of shares of Common Stock or any security convertible into Common Stock to limited partners, stockholders, direct or indirect members, or wholly owned subsidiaries of the undersigned, (d) transfers of shares of Common Stock or any security convertible into Common Stock to any trust, partnership or limited liability company for the direct or indirect benefit of the undersigned or the immediate family of the undersigned, (e) transfers of shares of Common Stock or any security convertible into Common Stock to a wholly-owned subsidiary of the undersigned or to the direct or indirect members or partners of the undersigned, (f) transfers of shares of Common Stock or any security convertible into Common Stock by will or intestate, (g) transfers of shares of Common Stock or any security convertible into Common Stock to a nominee or custodian of a person or entity to whom a transfer would be permissible under clauses (b) through (f), (h) in connection with the surrender or forfeiture of shares to the Company to satisfy tax withholding obligations upon exercise or vesting of stock options or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through (h) (1) each donee or distributee shall sign and deliver a lock-up letter substantially in the form of this letter and (2) no filing under Section 16(a) of the Exchange Act, reporting a reduction in beneficial ownership of shares of Common Stock, shall be required or shall be voluntarily made during the restricted period referred to in the foregoing sentence, (i) the establishment of a trading plan pursuant to Rule 10b5-1 under the Exchange Act for the transfer of shares of Common Stock,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plan does not provide for the transfer of Common Stock during the restricted period; or (j) sales of shares of Common Stock or any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Common Stock upon the termination of the undersigned’s employment or other relationship with the Company. In addition, the undersigned agrees that, without the prior written consent of each of the Representatives, on behalf of the Underwriters, it will not, during the period commencing on the date hereof and ending 90 days after the date of the Prospectus, make any demand for or exercise any right with respect to, the registration of any shares of Common Stock or any security convertible into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auto"/>
        </w:rPr>
        <w:t>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25" w:lineRule="exact"/>
        <w:rPr>
          <w:sz w:val="20"/>
          <w:szCs w:val="20"/>
          <w:color w:val="auto"/>
        </w:rPr>
      </w:pPr>
    </w:p>
    <w:p>
      <w:pPr>
        <w:ind w:right="20" w:firstLine="645"/>
        <w:spacing w:after="0" w:line="309" w:lineRule="auto"/>
        <w:rPr>
          <w:sz w:val="20"/>
          <w:szCs w:val="20"/>
          <w:color w:val="auto"/>
        </w:rPr>
      </w:pPr>
      <w:r>
        <w:rPr>
          <w:rFonts w:ascii="Arial" w:cs="Arial" w:eastAsia="Arial" w:hAnsi="Arial"/>
          <w:sz w:val="16"/>
          <w:szCs w:val="16"/>
          <w:color w:val="auto"/>
        </w:rPr>
        <w:t>It is understood that the undersigned will be released from its obligations under this “lock-up” agreement if the Company notifies the undersigned that it does not intend to proceed with the Public Offerings, if the Underwriting Agreements (other than the provisions thereof which survive termination) shall terminate or be terminated prior to payment for and delivery of the Securities, or if the Public Offerings shall not have occurred by April 30, 2009.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Offerings.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240" w:firstLine="645"/>
        <w:spacing w:after="0" w:line="305" w:lineRule="auto"/>
        <w:rPr>
          <w:sz w:val="20"/>
          <w:szCs w:val="20"/>
          <w:color w:val="auto"/>
        </w:rPr>
      </w:pPr>
      <w:r>
        <w:rPr>
          <w:rFonts w:ascii="Arial" w:cs="Arial" w:eastAsia="Arial" w:hAnsi="Arial"/>
          <w:sz w:val="17"/>
          <w:szCs w:val="17"/>
          <w:color w:val="auto"/>
        </w:rPr>
        <w:t>Whether or not the Public Offerings actually occur depends on a number of factors, including market conditions. Any Public Offering will only be made pursuant to the Underwriting Agreements, the terms of which are subject to negotiation between the Company and the Underwriters.</w:t>
      </w:r>
    </w:p>
    <w:p>
      <w:pPr>
        <w:spacing w:after="0" w:line="1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OPINION OF WILSON SONSINI GOODRICH &amp; ROSATI, PROFESSIONAL CORPORATION, OUTSIDE COUNSEL TO THE COMPANY</w:t>
      </w:r>
    </w:p>
    <w:p>
      <w:pPr>
        <w:sectPr>
          <w:pgSz w:w="11900" w:h="16838" w:orient="portrait"/>
          <w:cols w:equalWidth="0" w:num="1">
            <w:col w:w="11420"/>
          </w:cols>
          <w:pgMar w:left="240" w:top="121" w:right="239" w:bottom="0" w:gutter="0" w:footer="0" w:header="0"/>
        </w:sectPr>
      </w:pPr>
    </w:p>
    <w:bookmarkStart w:id="17" w:name="page18"/>
    <w:bookmarkEnd w:id="17"/>
    <w:p>
      <w:pPr>
        <w:ind w:right="140" w:firstLine="697"/>
        <w:spacing w:after="0" w:line="339" w:lineRule="auto"/>
        <w:tabs>
          <w:tab w:leader="none" w:pos="1315"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Time of Sale Prospectus and the Prospectus;</w:t>
      </w:r>
    </w:p>
    <w:p>
      <w:pPr>
        <w:spacing w:after="0" w:line="124" w:lineRule="exact"/>
        <w:rPr>
          <w:rFonts w:ascii="Arial" w:cs="Arial" w:eastAsia="Arial" w:hAnsi="Arial"/>
          <w:sz w:val="16"/>
          <w:szCs w:val="16"/>
          <w:color w:val="auto"/>
        </w:rPr>
      </w:pPr>
    </w:p>
    <w:p>
      <w:pPr>
        <w:ind w:left="1340" w:hanging="643"/>
        <w:spacing w:after="0"/>
        <w:tabs>
          <w:tab w:leader="none" w:pos="13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the Prospectus;</w:t>
      </w:r>
    </w:p>
    <w:p>
      <w:pPr>
        <w:spacing w:after="0" w:line="222" w:lineRule="exact"/>
        <w:rPr>
          <w:rFonts w:ascii="Arial" w:cs="Arial" w:eastAsia="Arial" w:hAnsi="Arial"/>
          <w:sz w:val="18"/>
          <w:szCs w:val="18"/>
          <w:color w:val="auto"/>
        </w:rPr>
      </w:pPr>
    </w:p>
    <w:p>
      <w:pPr>
        <w:ind w:right="260" w:firstLine="697"/>
        <w:spacing w:after="0" w:line="274" w:lineRule="auto"/>
        <w:tabs>
          <w:tab w:leader="none" w:pos="1334"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shares of Stock initially issuable upon conversion of the Securities have been duly authorized and reserved for issuance upon conversion of the Securities by valid corporate action and are free from preemptive rights under the Company’s charter or by-laws, the federal laws of the United States of America and the Delaware General Corporation Law. When so issued and delivered upon such conversion in accordance with the terms of the Indenture and the Securities, such shares will be validly issued, fully paid and nonassessable and will conform in all material respects to the description thereof contained in the Time of Sale Prospectus and the Prospectus under the caption “Description of Capital Stock”;</w:t>
      </w:r>
    </w:p>
    <w:p>
      <w:pPr>
        <w:spacing w:after="0" w:line="173" w:lineRule="exact"/>
        <w:rPr>
          <w:rFonts w:ascii="Arial" w:cs="Arial" w:eastAsia="Arial" w:hAnsi="Arial"/>
          <w:sz w:val="17"/>
          <w:szCs w:val="17"/>
          <w:color w:val="auto"/>
        </w:rPr>
      </w:pPr>
    </w:p>
    <w:p>
      <w:pPr>
        <w:ind w:left="1320" w:hanging="668"/>
        <w:spacing w:after="0"/>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2" w:lineRule="exact"/>
        <w:rPr>
          <w:rFonts w:ascii="Arial" w:cs="Arial" w:eastAsia="Arial" w:hAnsi="Arial"/>
          <w:sz w:val="18"/>
          <w:szCs w:val="18"/>
          <w:color w:val="auto"/>
        </w:rPr>
      </w:pPr>
    </w:p>
    <w:p>
      <w:pPr>
        <w:ind w:right="360" w:firstLine="652"/>
        <w:spacing w:after="0" w:line="300"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Securities are in the form contemplated by the Indenture, have been duly authorized by the Company and, when executed by the Company and authenticated by the Trustee in accordance with the terms of the Indenture and delivered against the purchase price therefor specified herein (which fact such counsel may state has not been determined by inspection of the Securities), will constitute valid and legally binding obligations of the Company and enforceable against the Company in accordance with their terms; and the Securities are entitled to the benefits of the Indenture;</w:t>
      </w:r>
    </w:p>
    <w:p>
      <w:pPr>
        <w:spacing w:after="0" w:line="154" w:lineRule="exact"/>
        <w:rPr>
          <w:rFonts w:ascii="Arial" w:cs="Arial" w:eastAsia="Arial" w:hAnsi="Arial"/>
          <w:sz w:val="16"/>
          <w:szCs w:val="16"/>
          <w:color w:val="auto"/>
        </w:rPr>
      </w:pPr>
    </w:p>
    <w:p>
      <w:pPr>
        <w:jc w:val="both"/>
        <w:ind w:right="220" w:firstLine="652"/>
        <w:spacing w:after="0" w:line="262" w:lineRule="auto"/>
        <w:tabs>
          <w:tab w:leader="none" w:pos="13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due authorization, execution and delivery by the Trustee, constitutes a valid and legally binding instrument, enforceable against the Company in accordance with its terms; and the Indenture has been duly qualified under the Trust Indenture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652"/>
        <w:spacing w:after="0" w:line="292" w:lineRule="auto"/>
        <w:tabs>
          <w:tab w:leader="none" w:pos="13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None of the execution, delivery and performance of this Agreement, the Indenture, the issuance and sale of the Securities, the issuance of the shares of Stock issuable upon conversion of the Securities or the consummation of any other of the transactions contemplated thereby will conflict with, result in a breach or violation of any of the terms or provisions of, or constitute a default under (A) the charter or by-laws of the Company or (B) any statute, decree, regulation or order known to such counsel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such agreements or to consummate the transactions contemplated thereby;</w:t>
      </w:r>
    </w:p>
    <w:p>
      <w:pPr>
        <w:spacing w:after="0" w:line="160" w:lineRule="exact"/>
        <w:rPr>
          <w:rFonts w:ascii="Arial" w:cs="Arial" w:eastAsia="Arial" w:hAnsi="Arial"/>
          <w:sz w:val="16"/>
          <w:szCs w:val="16"/>
          <w:color w:val="auto"/>
        </w:rPr>
      </w:pPr>
    </w:p>
    <w:p>
      <w:pPr>
        <w:ind w:firstLine="652"/>
        <w:spacing w:after="0" w:line="255" w:lineRule="auto"/>
        <w:tabs>
          <w:tab w:leader="none" w:pos="13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consent, approval, authorization, order, registration or qualification of or with any such court or governmental agency or body is required for the issue and sale of the Securities or the consummation by the Company of the transactions contemplated by the Underwriting Agreement or the Indenture, except such as have been obtained under the Act and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189" w:lineRule="exact"/>
        <w:rPr>
          <w:rFonts w:ascii="Arial" w:cs="Arial" w:eastAsia="Arial" w:hAnsi="Arial"/>
          <w:sz w:val="18"/>
          <w:szCs w:val="18"/>
          <w:color w:val="auto"/>
        </w:rPr>
      </w:pPr>
    </w:p>
    <w:p>
      <w:pPr>
        <w:ind w:right="100" w:firstLine="652"/>
        <w:spacing w:after="0" w:line="275" w:lineRule="auto"/>
        <w:tabs>
          <w:tab w:leader="none" w:pos="1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an “investment company,” as such term is defined in the Investment Company Act;</w:t>
      </w:r>
    </w:p>
    <w:p>
      <w:pPr>
        <w:spacing w:after="0" w:line="170" w:lineRule="exact"/>
        <w:rPr>
          <w:rFonts w:ascii="Arial" w:cs="Arial" w:eastAsia="Arial" w:hAnsi="Arial"/>
          <w:sz w:val="18"/>
          <w:szCs w:val="18"/>
          <w:color w:val="auto"/>
        </w:rPr>
      </w:pPr>
    </w:p>
    <w:p>
      <w:pPr>
        <w:jc w:val="both"/>
        <w:ind w:right="20" w:firstLine="652"/>
        <w:spacing w:after="0" w:line="262" w:lineRule="auto"/>
        <w:tabs>
          <w:tab w:leader="none" w:pos="13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statements set forth in the Time of Sale Prospectus and Prospectus under the caption “Description of Notes” and “Description of Capital Stock,” insofar as they purport to constitute a summary of the terms of the Securities and such capital stock, fairly summarize such terms and documents in all material respects;</w:t>
      </w:r>
    </w:p>
    <w:p>
      <w:pPr>
        <w:spacing w:after="0" w:line="181" w:lineRule="exact"/>
        <w:rPr>
          <w:rFonts w:ascii="Arial" w:cs="Arial" w:eastAsia="Arial" w:hAnsi="Arial"/>
          <w:sz w:val="18"/>
          <w:szCs w:val="18"/>
          <w:color w:val="auto"/>
        </w:rPr>
      </w:pPr>
    </w:p>
    <w:p>
      <w:pPr>
        <w:ind w:right="320" w:firstLine="652"/>
        <w:spacing w:after="0" w:line="262" w:lineRule="auto"/>
        <w:tabs>
          <w:tab w:leader="none" w:pos="1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statements set forth in the Time of Sale Prospectus and the Prospectus under the caption “Material U.S. Federal Income Tax Considerations”, insofar as they purport to summarize provisions of the United States federal tax laws referred to therein, fairly summarize such laws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192405</wp:posOffset>
            </wp:positionV>
            <wp:extent cx="18243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620" w:firstLine="645"/>
        <w:spacing w:after="0" w:line="284" w:lineRule="auto"/>
        <w:rPr>
          <w:sz w:val="20"/>
          <w:szCs w:val="20"/>
          <w:color w:val="auto"/>
        </w:rPr>
      </w:pPr>
      <w:r>
        <w:rPr>
          <w:rFonts w:ascii="Arial" w:cs="Arial" w:eastAsia="Arial" w:hAnsi="Arial"/>
          <w:sz w:val="17"/>
          <w:szCs w:val="17"/>
          <w:color w:val="auto"/>
        </w:rPr>
        <w:t>In addition, such counsel shall state that it has participated in conferences with certain officers and other representatives of the Company, the Underwriters, counsel for the Underwriters, and the independent certified public accountants of the Company, at which conferences the contents of the Registration Statement, the Time of Sale Prospectus and the Prospectus and related matters were reviewed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and discussed. Although such counsel does not assume any responsibility for the accuracy, completeness or fairness of the information contained in the Registration Statement, the Time of Sale Prospectus or the Prospectus (other than as set forth in paragraphs (x) and (xi) above), no facts have come to such counsel’s attention, in the course of such review and discussion, that have caused it to believe that,</w:t>
      </w:r>
    </w:p>
    <w:p>
      <w:pPr>
        <w:spacing w:after="0" w:line="181" w:lineRule="exact"/>
        <w:rPr>
          <w:sz w:val="20"/>
          <w:szCs w:val="20"/>
          <w:color w:val="auto"/>
        </w:rPr>
      </w:pPr>
    </w:p>
    <w:p>
      <w:pPr>
        <w:jc w:val="both"/>
        <w:ind w:left="600" w:right="20" w:firstLine="687"/>
        <w:spacing w:after="0" w:line="257" w:lineRule="auto"/>
        <w:tabs>
          <w:tab w:leader="none" w:pos="19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Registration Statement at the time each part became effective contained an untrue statement of a material fact or omitted to state a material fact required to be stated therein or necessary in order to make the statements therein not misleading (other than the financial statements and related schedules and the financial and statistical data based on or derived from such financial statements or schedules, as to which such counsel expresses no belief);</w:t>
      </w:r>
    </w:p>
    <w:p>
      <w:pPr>
        <w:spacing w:after="0" w:line="187" w:lineRule="exact"/>
        <w:rPr>
          <w:rFonts w:ascii="Arial" w:cs="Arial" w:eastAsia="Arial" w:hAnsi="Arial"/>
          <w:sz w:val="18"/>
          <w:szCs w:val="18"/>
          <w:color w:val="auto"/>
        </w:rPr>
      </w:pPr>
    </w:p>
    <w:p>
      <w:pPr>
        <w:ind w:left="1980" w:hanging="693"/>
        <w:spacing w:after="0"/>
        <w:tabs>
          <w:tab w:leader="none" w:pos="1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Time of Sale Prospectus, together with the documents listed on an exhibit to such counsel’s opinion (the “Time of Sale</w:t>
      </w:r>
    </w:p>
    <w:p>
      <w:pPr>
        <w:spacing w:after="0" w:line="34" w:lineRule="exact"/>
        <w:rPr>
          <w:sz w:val="20"/>
          <w:szCs w:val="20"/>
          <w:color w:val="auto"/>
        </w:rPr>
      </w:pPr>
    </w:p>
    <w:p>
      <w:pPr>
        <w:ind w:left="600" w:right="140"/>
        <w:spacing w:after="0" w:line="271" w:lineRule="auto"/>
        <w:rPr>
          <w:sz w:val="20"/>
          <w:szCs w:val="20"/>
          <w:color w:val="auto"/>
        </w:rPr>
      </w:pPr>
      <w:r>
        <w:rPr>
          <w:rFonts w:ascii="Arial" w:cs="Arial" w:eastAsia="Arial" w:hAnsi="Arial"/>
          <w:sz w:val="17"/>
          <w:szCs w:val="17"/>
          <w:color w:val="auto"/>
        </w:rPr>
        <w:t>Prospectus”), all considered together, as of P.M. (PST) on , 2009, and the date of such counsel’s opinion contained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such counsel expresses no belief); or</w:t>
      </w:r>
    </w:p>
    <w:p>
      <w:pPr>
        <w:sectPr>
          <w:pgSz w:w="11900" w:h="16838" w:orient="portrait"/>
          <w:cols w:equalWidth="0" w:num="1">
            <w:col w:w="11420"/>
          </w:cols>
          <w:pgMar w:left="240" w:top="125" w:right="239" w:bottom="64" w:gutter="0" w:footer="0" w:header="0"/>
        </w:sectPr>
      </w:pPr>
    </w:p>
    <w:bookmarkStart w:id="18" w:name="page19"/>
    <w:bookmarkEnd w:id="18"/>
    <w:p>
      <w:pPr>
        <w:ind w:left="600" w:right="20" w:firstLine="687"/>
        <w:spacing w:after="0" w:line="257" w:lineRule="auto"/>
        <w:tabs>
          <w:tab w:leader="none" w:pos="19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Prospectus, as of its date or as of the date of such counsel’s opinion, contained or contains an untrue statement of a material fact or omitted or omits to state a material fact necessary in order to make the statements therein, in light of the circumstances under which they were made, not misleading (other than financial statements and related schedules and the financial and statistical data based on or derived from such financial statements or schedules, as to which such counsel expresses no belief).</w:t>
      </w:r>
    </w:p>
    <w:p>
      <w:pPr>
        <w:spacing w:after="0" w:line="188" w:lineRule="exact"/>
        <w:rPr>
          <w:sz w:val="20"/>
          <w:szCs w:val="20"/>
          <w:color w:val="auto"/>
        </w:rPr>
      </w:pPr>
    </w:p>
    <w:p>
      <w:pPr>
        <w:ind w:right="60" w:firstLine="591"/>
        <w:spacing w:after="0" w:line="295" w:lineRule="auto"/>
        <w:rPr>
          <w:sz w:val="20"/>
          <w:szCs w:val="20"/>
          <w:color w:val="auto"/>
        </w:rPr>
      </w:pPr>
      <w:r>
        <w:rPr>
          <w:rFonts w:ascii="Arial" w:cs="Arial" w:eastAsia="Arial" w:hAnsi="Arial"/>
          <w:sz w:val="16"/>
          <w:szCs w:val="16"/>
          <w:color w:val="auto"/>
        </w:rPr>
        <w:t>In addition, such counsel confirms to you that (i) the Registration Statement, when it became effective, (ii) the Time of Sale Prospectus, as of its date (other than the financial statements and related schedules and the financial and statistical data based on or derived from such financial statements or schedules, as to which such counsel express no belief), and (iii) the Prospectus, as of its date (other than the financial statements and related schedules and the financial and statistical data based on or derived from such financial statements or schedules, as to which such counsel expresses no belief) each appeared on their face to comply, in all material respects relevant to the offering of the Securities, as to form with the requirements of the Securities Act and the rules and regulations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under the Securities Act. For purposes of this paragraph, such counsel has assumed that the statements made in the Registration Statement, Time of Sale Prospectus and Prospectus are correct and complete.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RODERIC W. LEWIS, GENERAL COUNSEL OF THE COMPANY</w:t>
      </w:r>
    </w:p>
    <w:p>
      <w:pPr>
        <w:spacing w:after="0" w:line="223" w:lineRule="exact"/>
        <w:rPr>
          <w:sz w:val="20"/>
          <w:szCs w:val="20"/>
          <w:color w:val="auto"/>
        </w:rPr>
      </w:pPr>
    </w:p>
    <w:p>
      <w:pPr>
        <w:ind w:right="80" w:firstLine="652"/>
        <w:spacing w:after="0" w:line="277" w:lineRule="auto"/>
        <w:tabs>
          <w:tab w:leader="none" w:pos="13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best of such counsel’s knowledge, but without inquiring into dockets of any court, commissions, regulatory body, administrative agency or other government body, and other than as set forth in the Time of Sale Prospectus, there are no legal or governmental proceedings pending to which the Company is a party or of which any property or assets of the Company is the subject, which such counsel believes individually or in the aggregate would be reasonably expected to have a material adverse effect upon the Company and its subsidiaries;</w:t>
      </w:r>
    </w:p>
    <w:p>
      <w:pPr>
        <w:spacing w:after="0" w:line="171" w:lineRule="exact"/>
        <w:rPr>
          <w:rFonts w:ascii="Arial" w:cs="Arial" w:eastAsia="Arial" w:hAnsi="Arial"/>
          <w:sz w:val="17"/>
          <w:szCs w:val="17"/>
          <w:color w:val="auto"/>
        </w:rPr>
      </w:pPr>
    </w:p>
    <w:p>
      <w:pPr>
        <w:ind w:left="1320" w:hanging="668"/>
        <w:spacing w:after="0"/>
        <w:tabs>
          <w:tab w:leader="none" w:pos="1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shares of Stock issuable upon conversion of the Securities are free of preemptive rights under any agreement known to me;</w:t>
      </w:r>
    </w:p>
    <w:p>
      <w:pPr>
        <w:spacing w:after="0" w:line="234" w:lineRule="exact"/>
        <w:rPr>
          <w:rFonts w:ascii="Arial" w:cs="Arial" w:eastAsia="Arial" w:hAnsi="Arial"/>
          <w:sz w:val="17"/>
          <w:szCs w:val="17"/>
          <w:color w:val="auto"/>
        </w:rPr>
      </w:pPr>
    </w:p>
    <w:p>
      <w:pPr>
        <w:ind w:right="20" w:firstLine="652"/>
        <w:spacing w:after="0" w:line="270" w:lineRule="auto"/>
        <w:tabs>
          <w:tab w:leader="none" w:pos="1329"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this Agreement, the Indenture, the issuance and sale of the Securities, the issuance of the shares of Common Stock issuable upon conversion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United States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such agreements or to consummate the transactions contemplated thereby;</w:t>
      </w:r>
    </w:p>
    <w:p>
      <w:pPr>
        <w:spacing w:after="0" w:line="179" w:lineRule="exact"/>
        <w:rPr>
          <w:rFonts w:ascii="Arial" w:cs="Arial" w:eastAsia="Arial" w:hAnsi="Arial"/>
          <w:sz w:val="17"/>
          <w:szCs w:val="17"/>
          <w:color w:val="auto"/>
        </w:rPr>
      </w:pPr>
    </w:p>
    <w:p>
      <w:pPr>
        <w:ind w:right="140" w:firstLine="652"/>
        <w:spacing w:after="0" w:line="255" w:lineRule="auto"/>
        <w:tabs>
          <w:tab w:leader="none" w:pos="13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may be required by the Securities Act of 1933, as amended and the rules and regulations promulgated thereunder or “blue sky” laws of any state of the United States, in connection with the sale of the Securities, no consent, approval, authorization or order of, or filing or registration with, any United States federal or Idaho court or governmental agency or body is required for the execution, delivery and performance of this Agreement and the Indenture by the Company and the issuance of the Securities and the shares of Common Stock issuable upon conversion of the Securities and the consummation of the transactions contemplated thereby; and</w:t>
      </w:r>
    </w:p>
    <w:p>
      <w:pPr>
        <w:spacing w:after="0" w:line="189" w:lineRule="exact"/>
        <w:rPr>
          <w:rFonts w:ascii="Arial" w:cs="Arial" w:eastAsia="Arial" w:hAnsi="Arial"/>
          <w:sz w:val="18"/>
          <w:szCs w:val="18"/>
          <w:color w:val="auto"/>
        </w:rPr>
      </w:pPr>
    </w:p>
    <w:p>
      <w:pPr>
        <w:jc w:val="both"/>
        <w:ind w:right="80" w:firstLine="652"/>
        <w:spacing w:after="0" w:line="339" w:lineRule="auto"/>
        <w:tabs>
          <w:tab w:leader="none" w:pos="12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documents incorporated by reference in the Time of Sale Prospectus (other than the financial statements and notes thereto and financial statement schedules and other information of an accounting or financial nature either included therein or omitted therefrom, as to which such counsel need not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express an opinion), when they were filed with the Commission, complied as to form in all material respects with the requirements of the Exchange Act, and the rules and regulations of the Commission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60,240,000 Shares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Managers named in Schedule I hereto</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Underwriters named in Schedule II hereto</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right="20" w:firstLine="645"/>
        <w:spacing w:after="0" w:line="289" w:lineRule="auto"/>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60,240,000 shares (the “</w:t>
      </w:r>
      <w:r>
        <w:rPr>
          <w:rFonts w:ascii="Arial" w:cs="Arial" w:eastAsia="Arial" w:hAnsi="Arial"/>
          <w:sz w:val="16"/>
          <w:szCs w:val="16"/>
          <w:b w:val="1"/>
          <w:bCs w:val="1"/>
          <w:color w:val="auto"/>
        </w:rPr>
        <w:t>Firm Securities</w:t>
      </w:r>
      <w:r>
        <w:rPr>
          <w:rFonts w:ascii="Arial" w:cs="Arial" w:eastAsia="Arial" w:hAnsi="Arial"/>
          <w:sz w:val="16"/>
          <w:szCs w:val="16"/>
          <w:color w:val="auto"/>
        </w:rPr>
        <w:t>”) of its common stock, par value $0.10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to the several underwriters named in Schedule II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managers (the “</w:t>
      </w:r>
      <w:r>
        <w:rPr>
          <w:rFonts w:ascii="Arial" w:cs="Arial" w:eastAsia="Arial" w:hAnsi="Arial"/>
          <w:sz w:val="16"/>
          <w:szCs w:val="16"/>
          <w:b w:val="1"/>
          <w:bCs w:val="1"/>
          <w:color w:val="auto"/>
        </w:rPr>
        <w:t>Managers</w:t>
      </w:r>
      <w:r>
        <w:rPr>
          <w:rFonts w:ascii="Arial" w:cs="Arial" w:eastAsia="Arial" w:hAnsi="Arial"/>
          <w:sz w:val="16"/>
          <w:szCs w:val="16"/>
          <w:color w:val="auto"/>
        </w:rPr>
        <w:t>”), and for whom each of Goldman, Sachs &amp; Co. and Morgan Stanley &amp; Co. Incorporated is acting as representative (the “</w:t>
      </w:r>
      <w:r>
        <w:rPr>
          <w:rFonts w:ascii="Arial" w:cs="Arial" w:eastAsia="Arial" w:hAnsi="Arial"/>
          <w:sz w:val="16"/>
          <w:szCs w:val="16"/>
          <w:b w:val="1"/>
          <w:bCs w:val="1"/>
          <w:color w:val="auto"/>
        </w:rPr>
        <w:t>Representatives</w:t>
      </w:r>
      <w:r>
        <w:rPr>
          <w:rFonts w:ascii="Arial" w:cs="Arial" w:eastAsia="Arial" w:hAnsi="Arial"/>
          <w:sz w:val="16"/>
          <w:szCs w:val="16"/>
          <w:color w:val="auto"/>
        </w:rPr>
        <w:t>”). The Company also proposes to issue and sell to the several Underwriters not more than an additional 9,036,000 shares of Common Stock (the “</w:t>
      </w:r>
      <w:r>
        <w:rPr>
          <w:rFonts w:ascii="Arial" w:cs="Arial" w:eastAsia="Arial" w:hAnsi="Arial"/>
          <w:sz w:val="16"/>
          <w:szCs w:val="16"/>
          <w:b w:val="1"/>
          <w:bCs w:val="1"/>
          <w:color w:val="auto"/>
        </w:rPr>
        <w:t>Additional Securities</w:t>
      </w:r>
      <w:r>
        <w:rPr>
          <w:rFonts w:ascii="Arial" w:cs="Arial" w:eastAsia="Arial" w:hAnsi="Arial"/>
          <w:sz w:val="16"/>
          <w:szCs w:val="16"/>
          <w:color w:val="auto"/>
        </w:rPr>
        <w:t>”), if and to the extent that the Representatives shall have determined to exercise, on behalf of the Underwriters, the right to purchase such amount of securities granted to the Underwriters in Section 2 hereof. The Firm Securities and the Additional Securities are hereinafter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If the firm or firms listed on Schedule II hereto include only the Managers listed in Schedule I hereto, then the terms “</w:t>
      </w:r>
      <w:r>
        <w:rPr>
          <w:rFonts w:ascii="Arial" w:cs="Arial" w:eastAsia="Arial" w:hAnsi="Arial"/>
          <w:sz w:val="16"/>
          <w:szCs w:val="16"/>
          <w:b w:val="1"/>
          <w:bCs w:val="1"/>
          <w:color w:val="auto"/>
        </w:rPr>
        <w:t>Underwriters</w:t>
      </w:r>
      <w:r>
        <w:rPr>
          <w:rFonts w:ascii="Arial" w:cs="Arial" w:eastAsia="Arial" w:hAnsi="Arial"/>
          <w:sz w:val="16"/>
          <w:szCs w:val="16"/>
          <w:color w:val="auto"/>
        </w:rPr>
        <w:t>” and “</w:t>
      </w:r>
      <w:r>
        <w:rPr>
          <w:rFonts w:ascii="Arial" w:cs="Arial" w:eastAsia="Arial" w:hAnsi="Arial"/>
          <w:sz w:val="16"/>
          <w:szCs w:val="16"/>
          <w:b w:val="1"/>
          <w:bCs w:val="1"/>
          <w:color w:val="auto"/>
        </w:rPr>
        <w:t>Managers</w:t>
      </w:r>
      <w:r>
        <w:rPr>
          <w:rFonts w:ascii="Arial" w:cs="Arial" w:eastAsia="Arial" w:hAnsi="Arial"/>
          <w:sz w:val="16"/>
          <w:szCs w:val="16"/>
          <w:color w:val="auto"/>
        </w:rPr>
        <w:t>” as used herein shall each be deemed to refer to such firm or firms.</w:t>
      </w:r>
    </w:p>
    <w:p>
      <w:pPr>
        <w:spacing w:after="0" w:line="161" w:lineRule="exact"/>
        <w:rPr>
          <w:sz w:val="20"/>
          <w:szCs w:val="20"/>
          <w:color w:val="auto"/>
        </w:rPr>
      </w:pPr>
    </w:p>
    <w:p>
      <w:pPr>
        <w:ind w:right="180" w:firstLine="645"/>
        <w:spacing w:after="0" w:line="254" w:lineRule="auto"/>
        <w:rPr>
          <w:sz w:val="20"/>
          <w:szCs w:val="20"/>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an automatic shelf registration statement on Form S-3 (No. 333-158473, including the preliminary prospectus or prospectuses relating to the registration of certain securities described therein, including the Securities to be issued by the Company (such registration statement, including the amendments thereto that relate to the Securities, the exhibits and any schedules thereto, if any, and the documents incorporated by reference therein pursuant to Item 12 of Form S-3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at the time it became effective and including the Rule 430B Information (as defined below) is herein called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The prospectus in the form in which it currently appears in the Registration Statement is hereinafter called the “</w:t>
      </w:r>
      <w:r>
        <w:rPr>
          <w:rFonts w:ascii="Arial" w:cs="Arial" w:eastAsia="Arial" w:hAnsi="Arial"/>
          <w:sz w:val="18"/>
          <w:szCs w:val="18"/>
          <w:b w:val="1"/>
          <w:bCs w:val="1"/>
          <w:color w:val="auto"/>
        </w:rPr>
        <w:t>Base Prospectus</w:t>
      </w:r>
      <w:r>
        <w:rPr>
          <w:rFonts w:ascii="Arial" w:cs="Arial" w:eastAsia="Arial" w:hAnsi="Arial"/>
          <w:sz w:val="18"/>
          <w:szCs w:val="18"/>
          <w:color w:val="auto"/>
        </w:rPr>
        <w: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form of prospectus relating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726884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to the Securities, in the form first used to confirm sales of the Securities (or in the form first made available to the Underwriters by the Company to meet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requests of purchasers pursuant to Rule 173 under the Securities Act) (including the Base Prospectus as so supplemented), is hereinafter called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the Base Prospectus, as amended and supplemented by any preliminary prospectus supplement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Securities filed with the Commission pursuant to Rule 424(b) under the Securities Act. Any information filed pursuant to Rule 430B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paragraph (b) of Rule 424 under the Securities Act as a supplement or supplements to the Base Prospectus included in the Registration Statement relating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the plan of distribution for the Securities (the information included in such prospectus that was omitted from such registration statement at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time it became effective but that is deemed to be part of and included in such Registration Statement pursuant to Rule 430B is referred to as “</w:t>
      </w:r>
      <w:r>
        <w:rPr>
          <w:rFonts w:ascii="Arial" w:cs="Arial" w:eastAsia="Arial" w:hAnsi="Arial"/>
          <w:sz w:val="16"/>
          <w:szCs w:val="16"/>
          <w:b w:val="1"/>
          <w:bCs w:val="1"/>
          <w:color w:val="auto"/>
        </w:rPr>
        <w:t>Rule 430B</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w:t>
      </w:r>
      <w:r>
        <w:rPr>
          <w:rFonts w:ascii="Arial" w:cs="Arial" w:eastAsia="Arial" w:hAnsi="Arial"/>
          <w:sz w:val="16"/>
          <w:szCs w:val="16"/>
          <w:b w:val="1"/>
          <w:bCs w:val="1"/>
          <w:color w:val="auto"/>
        </w:rPr>
        <w:t>Time of Sale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r>
        <w:rPr>
          <w:rFonts w:ascii="Arial" w:cs="Arial" w:eastAsia="Arial" w:hAnsi="Arial"/>
          <w:sz w:val="16"/>
          <w:szCs w:val="16"/>
          <w:color w:val="auto"/>
        </w:rPr>
        <w:t>” means the preliminary prospectus, dated as of April 7, 2009, together with the free writing prospectuses, if any, each identified in Schedule 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hereto, and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made available without restriction to any person. As used herein, the terms “Registration Statement,” “Base Prospectus,” “preliminary prospectus,” “Time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Sale Prospectus” and “Prospectus” shall include the documents, if any, incorporated by reference therein prior to the completion of the distribution of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Securities.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Base Prospectus,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Prospectus, the Time of Sale Prospectus, any preliminary prospectus or free writing prospectus shall include all documents subsequently filed by the Company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agrees with each Underwriter as follows:</w:t>
      </w:r>
    </w:p>
    <w:p>
      <w:pPr>
        <w:spacing w:after="0" w:line="223" w:lineRule="exact"/>
        <w:rPr>
          <w:sz w:val="20"/>
          <w:szCs w:val="20"/>
          <w:color w:val="auto"/>
        </w:rPr>
      </w:pPr>
    </w:p>
    <w:p>
      <w:pPr>
        <w:ind w:left="1300" w:hanging="648"/>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223" w:lineRule="exact"/>
        <w:rPr>
          <w:sz w:val="20"/>
          <w:szCs w:val="20"/>
          <w:color w:val="auto"/>
        </w:rPr>
      </w:pPr>
    </w:p>
    <w:p>
      <w:pPr>
        <w:ind w:right="60" w:firstLine="652"/>
        <w:spacing w:after="0" w:line="300"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to the knowledge of the Company,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firstLine="652"/>
        <w:spacing w:after="0" w:line="287" w:lineRule="auto"/>
        <w:tabs>
          <w:tab w:leader="none" w:pos="12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as of the date hereof does not contain any untrue statement of a material fact or omit to state a material fact required to be stated therein or necessary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the Time of Sale Prospectus does not, and at the time of each sale of the Securities in connection with the offering when the Prospectus is not yet available to prospective purchasers and at the Closing Date (as defined in Section 4), the Time of Sale Prospectus, as then amended or</w:t>
      </w:r>
    </w:p>
    <w:p>
      <w:pPr>
        <w:sectPr>
          <w:pgSz w:w="11900" w:h="16838" w:orient="portrait"/>
          <w:cols w:equalWidth="0" w:num="1">
            <w:col w:w="11420"/>
          </w:cols>
          <w:pgMar w:left="240" w:top="121" w:right="239" w:bottom="0" w:gutter="0" w:footer="0" w:header="0"/>
        </w:sectPr>
      </w:pPr>
    </w:p>
    <w:bookmarkStart w:id="20" w:name="page21"/>
    <w:bookmarkEnd w:id="20"/>
    <w:p>
      <w:pPr>
        <w:ind w:right="280"/>
        <w:spacing w:after="0" w:line="288" w:lineRule="auto"/>
        <w:rPr>
          <w:sz w:val="20"/>
          <w:szCs w:val="20"/>
          <w:color w:val="auto"/>
        </w:rPr>
      </w:pPr>
      <w:r>
        <w:rPr>
          <w:rFonts w:ascii="Arial" w:cs="Arial" w:eastAsia="Arial" w:hAnsi="Arial"/>
          <w:sz w:val="16"/>
          <w:szCs w:val="16"/>
          <w:color w:val="auto"/>
        </w:rPr>
        <w:t>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light of the circumstances under which they were made, not misleading, and (vii)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Managers expressly for use therein.</w:t>
      </w:r>
    </w:p>
    <w:p>
      <w:pPr>
        <w:spacing w:after="0" w:line="167" w:lineRule="exact"/>
        <w:rPr>
          <w:sz w:val="20"/>
          <w:szCs w:val="20"/>
          <w:color w:val="auto"/>
        </w:rPr>
      </w:pPr>
    </w:p>
    <w:p>
      <w:pPr>
        <w:ind w:right="40" w:firstLine="652"/>
        <w:spacing w:after="0" w:line="25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thereunder. Except for the free writing prospectuses, if any, identified in Schedule I hereto forming part of the Time of Sale Prospectus, and electronic road shows, if any, each furnished to the Representatives before first use, the Company has not prepared, used or referred to, and will not, without your prior consent, prepare, use or refer to, any free writing prospectus.</w:t>
      </w:r>
    </w:p>
    <w:p>
      <w:pPr>
        <w:spacing w:after="0" w:line="181" w:lineRule="exact"/>
        <w:rPr>
          <w:sz w:val="20"/>
          <w:szCs w:val="20"/>
          <w:color w:val="auto"/>
        </w:rPr>
      </w:pPr>
    </w:p>
    <w:p>
      <w:pPr>
        <w:jc w:val="both"/>
        <w:ind w:right="140" w:firstLine="652"/>
        <w:spacing w:after="0" w:line="277" w:lineRule="auto"/>
        <w:tabs>
          <w:tab w:leader="none" w:pos="129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State of Delaware, has the corporate power and authority to own its property and to conduct its business as described in the Time of Sale Prospectus and is duly qualified to transact business and is in good standing in each jurisdiction identified on Schedule III hereto in which the conduct of its business requires such qualification or is subject to material liability or disability by reason of failure to be so qualified in any such jurisdiction.</w:t>
      </w:r>
    </w:p>
    <w:p>
      <w:pPr>
        <w:spacing w:after="0" w:line="171" w:lineRule="exact"/>
        <w:rPr>
          <w:rFonts w:ascii="Arial" w:cs="Arial" w:eastAsia="Arial" w:hAnsi="Arial"/>
          <w:sz w:val="17"/>
          <w:szCs w:val="17"/>
          <w:color w:val="auto"/>
        </w:rPr>
      </w:pPr>
    </w:p>
    <w:p>
      <w:pPr>
        <w:ind w:left="1300" w:hanging="648"/>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2" w:lineRule="exact"/>
        <w:rPr>
          <w:rFonts w:ascii="Arial" w:cs="Arial" w:eastAsia="Arial" w:hAnsi="Arial"/>
          <w:sz w:val="18"/>
          <w:szCs w:val="18"/>
          <w:color w:val="auto"/>
        </w:rPr>
      </w:pPr>
    </w:p>
    <w:p>
      <w:pPr>
        <w:ind w:firstLine="652"/>
        <w:spacing w:after="0" w:line="262"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all of the shares of Common Stock outstanding prior to the issuance of the Securities have been duly authorized and are validly issued, fully paid and non-assessable and conform in all material respects to the description thereof contained in the Time of Sale Prospectus.</w:t>
      </w:r>
    </w:p>
    <w:p>
      <w:pPr>
        <w:spacing w:after="0" w:line="181" w:lineRule="exact"/>
        <w:rPr>
          <w:rFonts w:ascii="Arial" w:cs="Arial" w:eastAsia="Arial" w:hAnsi="Arial"/>
          <w:sz w:val="18"/>
          <w:szCs w:val="18"/>
          <w:color w:val="auto"/>
        </w:rPr>
      </w:pPr>
    </w:p>
    <w:p>
      <w:pPr>
        <w:ind w:right="60" w:firstLine="652"/>
        <w:spacing w:after="0" w:line="262" w:lineRule="auto"/>
        <w:tabs>
          <w:tab w:leader="none" w:pos="12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delivered and paid for in accordance with the terms of this Agreement, will be validly issued, fully paid and non-assessable, the issuance of the Securities are not subject to any preemptive or similar rights and will conform in all material respects to the description thereof contained in each of the Time of Sale Prospectus and the Prospectus.</w:t>
      </w:r>
    </w:p>
    <w:p>
      <w:pPr>
        <w:spacing w:after="0" w:line="181" w:lineRule="exact"/>
        <w:rPr>
          <w:rFonts w:ascii="Arial" w:cs="Arial" w:eastAsia="Arial" w:hAnsi="Arial"/>
          <w:sz w:val="18"/>
          <w:szCs w:val="18"/>
          <w:color w:val="auto"/>
        </w:rPr>
      </w:pPr>
    </w:p>
    <w:p>
      <w:pPr>
        <w:ind w:firstLine="652"/>
        <w:spacing w:after="0" w:line="252" w:lineRule="auto"/>
        <w:tabs>
          <w:tab w:leader="none" w:pos="12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the issuance and sale of the Securities hereunder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qualification with, any governmental body or agency is required for the performance by the Company of its obligations under this Agreement or in connection with the issuance and sale of the Securities, except for those that have been, or will have been prior to the Closing Date, obtained, such as may be required by the securities or Blue Sky laws of the various states in connection with the offer and sale of the Securities, and with respect to the approval of the listing of the Securities on the New York Stock Exchange, except, where the failure to obtain such consents, individually or in the aggregate, would not have a material adverse effect on the offering of the Securities.</w:t>
      </w:r>
    </w:p>
    <w:p>
      <w:pPr>
        <w:spacing w:after="0" w:line="189" w:lineRule="exact"/>
        <w:rPr>
          <w:sz w:val="20"/>
          <w:szCs w:val="20"/>
          <w:color w:val="auto"/>
        </w:rPr>
      </w:pPr>
    </w:p>
    <w:p>
      <w:pPr>
        <w:jc w:val="both"/>
        <w:ind w:right="120" w:firstLine="652"/>
        <w:spacing w:after="0" w:line="262" w:lineRule="auto"/>
        <w:tabs>
          <w:tab w:leader="none" w:pos="13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Prospectus.</w:t>
      </w:r>
    </w:p>
    <w:p>
      <w:pPr>
        <w:spacing w:after="0" w:line="181" w:lineRule="exact"/>
        <w:rPr>
          <w:rFonts w:ascii="Arial" w:cs="Arial" w:eastAsia="Arial" w:hAnsi="Arial"/>
          <w:sz w:val="18"/>
          <w:szCs w:val="18"/>
          <w:color w:val="auto"/>
        </w:rPr>
      </w:pPr>
    </w:p>
    <w:p>
      <w:pPr>
        <w:ind w:right="120" w:firstLine="652"/>
        <w:spacing w:after="0" w:line="255" w:lineRule="auto"/>
        <w:tabs>
          <w:tab w:leader="none" w:pos="13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as set forth in the Time of Sale Prospectus, (i) there are no legal or governmental proceedings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(ii) to the Company’s knowledge, no such proceedings are threatened by governmental authorities or by others.</w:t>
      </w:r>
    </w:p>
    <w:p>
      <w:pPr>
        <w:spacing w:after="0" w:line="189" w:lineRule="exact"/>
        <w:rPr>
          <w:rFonts w:ascii="Arial" w:cs="Arial" w:eastAsia="Arial" w:hAnsi="Arial"/>
          <w:sz w:val="18"/>
          <w:szCs w:val="18"/>
          <w:color w:val="auto"/>
        </w:rPr>
      </w:pPr>
    </w:p>
    <w:p>
      <w:pPr>
        <w:ind w:right="160" w:firstLine="652"/>
        <w:spacing w:after="0" w:line="262" w:lineRule="auto"/>
        <w:tabs>
          <w:tab w:leader="none" w:pos="13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right="60" w:firstLine="652"/>
        <w:spacing w:after="0" w:line="339" w:lineRule="auto"/>
        <w:tabs>
          <w:tab w:leader="none" w:pos="131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ectPr>
          <w:pgSz w:w="11900" w:h="16838" w:orient="portrait"/>
          <w:cols w:equalWidth="0" w:num="1">
            <w:col w:w="11420"/>
          </w:cols>
          <w:pgMar w:left="240" w:top="125" w:right="239" w:bottom="26" w:gutter="0" w:footer="0" w:header="0"/>
        </w:sectPr>
      </w:pPr>
    </w:p>
    <w:bookmarkStart w:id="21" w:name="page22"/>
    <w:bookmarkEnd w:id="21"/>
    <w:p>
      <w:pPr>
        <w:spacing w:after="0" w:line="50" w:lineRule="exact"/>
        <w:rPr>
          <w:sz w:val="20"/>
          <w:szCs w:val="20"/>
          <w:color w:val="auto"/>
        </w:rPr>
      </w:pPr>
    </w:p>
    <w:p>
      <w:pPr>
        <w:ind w:right="200" w:firstLine="652"/>
        <w:spacing w:after="0" w:line="274" w:lineRule="auto"/>
        <w:tabs>
          <w:tab w:leader="none" w:pos="131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300" w:firstLine="652"/>
        <w:spacing w:after="0" w:line="262" w:lineRule="auto"/>
        <w:tabs>
          <w:tab w:leader="none" w:pos="12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spacing w:after="0" w:line="181" w:lineRule="exact"/>
        <w:rPr>
          <w:rFonts w:ascii="Arial" w:cs="Arial" w:eastAsia="Arial" w:hAnsi="Arial"/>
          <w:sz w:val="18"/>
          <w:szCs w:val="18"/>
          <w:color w:val="auto"/>
        </w:rPr>
      </w:pPr>
    </w:p>
    <w:p>
      <w:pPr>
        <w:ind w:firstLine="652"/>
        <w:spacing w:after="0" w:line="270" w:lineRule="auto"/>
        <w:tabs>
          <w:tab w:leader="none" w:pos="12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and its subsidiaries own or possess or can acquire on commercially reasonable terms adequate licenses or other rights to use all patents, trademarks, service marks, trade names, copyrights, mask work rights, technology and know how necessary to conduct the business now or proposed to be conducted by the Company and its subsidiaries as described in the Time of Sale Prospectus, except where the failure to own, possess or acquire such rights would not reasonably be expected to have a material adverse effect, and except as disclosed in the Time of Sale Prospectus, the Company has not received any notice of infringement of or conflict with (and knows of no such infringement of or conflict with) asserted rights of others with respect to any patents, trademarks, service marks, trade names, copyrights, mask work rights or know how which would be reasonably likely to result in a Material Adverse Effect upon the Company and its subsidiaries.</w:t>
      </w:r>
    </w:p>
    <w:p>
      <w:pPr>
        <w:spacing w:after="0" w:line="179" w:lineRule="exact"/>
        <w:rPr>
          <w:rFonts w:ascii="Arial" w:cs="Arial" w:eastAsia="Arial" w:hAnsi="Arial"/>
          <w:sz w:val="17"/>
          <w:szCs w:val="17"/>
          <w:color w:val="auto"/>
        </w:rPr>
      </w:pPr>
    </w:p>
    <w:p>
      <w:pPr>
        <w:ind w:right="60" w:firstLine="652"/>
        <w:spacing w:after="0" w:line="275" w:lineRule="auto"/>
        <w:tabs>
          <w:tab w:leader="none" w:pos="12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Prospectus and the Prospectus under the caption “Description of Capital Stock,” insofar as they purport to constitute a summary of the terms of the Securities, fairly summarize such terms in all material respects.</w:t>
      </w:r>
    </w:p>
    <w:p>
      <w:pPr>
        <w:spacing w:after="0" w:line="170" w:lineRule="exact"/>
        <w:rPr>
          <w:rFonts w:ascii="Arial" w:cs="Arial" w:eastAsia="Arial" w:hAnsi="Arial"/>
          <w:sz w:val="18"/>
          <w:szCs w:val="18"/>
          <w:color w:val="auto"/>
        </w:rPr>
      </w:pPr>
    </w:p>
    <w:p>
      <w:pPr>
        <w:ind w:right="320" w:firstLine="652"/>
        <w:spacing w:after="0" w:line="262" w:lineRule="auto"/>
        <w:tabs>
          <w:tab w:leader="none" w:pos="12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Act and the rules and regulations of the Commission thereunder;</w:t>
      </w:r>
    </w:p>
    <w:p>
      <w:pPr>
        <w:spacing w:after="0" w:line="181" w:lineRule="exact"/>
        <w:rPr>
          <w:rFonts w:ascii="Arial" w:cs="Arial" w:eastAsia="Arial" w:hAnsi="Arial"/>
          <w:sz w:val="18"/>
          <w:szCs w:val="18"/>
          <w:color w:val="auto"/>
        </w:rPr>
      </w:pPr>
    </w:p>
    <w:p>
      <w:pPr>
        <w:ind w:right="80" w:firstLine="652"/>
        <w:spacing w:after="0" w:line="254" w:lineRule="auto"/>
        <w:tabs>
          <w:tab w:leader="none" w:pos="13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Except as disclosed in the Time of Sale Prospectus, the Company’s internal control over financial reporting was effective as of August 28, 2008 and the Company is not aware of any material weaknesses in its internal control over financial reporting;</w:t>
      </w:r>
    </w:p>
    <w:p>
      <w:pPr>
        <w:spacing w:after="0" w:line="189" w:lineRule="exact"/>
        <w:rPr>
          <w:rFonts w:ascii="Arial" w:cs="Arial" w:eastAsia="Arial" w:hAnsi="Arial"/>
          <w:sz w:val="18"/>
          <w:szCs w:val="18"/>
          <w:color w:val="auto"/>
        </w:rPr>
      </w:pPr>
    </w:p>
    <w:p>
      <w:pPr>
        <w:ind w:left="1300" w:hanging="648"/>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disclosed in the Time of Sale Prospectus, since the date of the latest audited financial statements included or incorporated by</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Time of Sale Prospectus, there has been no change in the Company’s internal control over financial reporting that has materially affected, or is reasonably likely to materially affect, the Company’s internal control over financial reporting;</w:t>
      </w:r>
    </w:p>
    <w:p>
      <w:pPr>
        <w:spacing w:after="0" w:line="170" w:lineRule="exact"/>
        <w:rPr>
          <w:sz w:val="20"/>
          <w:szCs w:val="20"/>
          <w:color w:val="auto"/>
        </w:rPr>
      </w:pPr>
    </w:p>
    <w:p>
      <w:pPr>
        <w:ind w:right="20" w:firstLine="652"/>
        <w:spacing w:after="0" w:line="277" w:lineRule="auto"/>
        <w:tabs>
          <w:tab w:leader="none" w:pos="12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5, 2009.</w:t>
      </w:r>
    </w:p>
    <w:p>
      <w:pPr>
        <w:spacing w:after="0" w:line="172" w:lineRule="exact"/>
        <w:rPr>
          <w:sz w:val="20"/>
          <w:szCs w:val="20"/>
          <w:color w:val="auto"/>
        </w:rPr>
      </w:pPr>
    </w:p>
    <w:p>
      <w:pPr>
        <w:ind w:right="120" w:firstLine="652"/>
        <w:spacing w:after="0" w:line="257" w:lineRule="auto"/>
        <w:tabs>
          <w:tab w:leader="none" w:pos="130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 upon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and warranties herein contained, but subject to the conditions hereinafter stated, agrees, severally and not jointly, to purchase from the Company the respective amount of Securities as set forth in Schedule II hereto opposite its name at the purchase price of $3.984 per share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188"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On the basis of the representations and warranties contained in this Agreement, and subject to its terms and conditions, the Company agrees to sell to the Underwriters the Additional Securities, and the Underwriters shall have the right to purchase, severally and not jointly, up to the number of Additional Securities as set forth in Schedule II hereto opposite its name at the Purchase Price. The Representatives may exercise this right on behalf of the Underwriters in whole or from time to time in part by giving written notice not later than 30 days after the date of the Prospectus. Any exercise notice shall specify the number of Additional Securities to be purchased by the Underwriters and the date on which such securities are to be purchased. Each purchase date must be at least two business days after the written notice is given, unless waived in writing by the Company, and may not be earlier than the closing date for the Firm Securities nor later than ten business days after the date of such notice. Additional Securities may be purchased as provided in Section 4 hereof solely for the purpose of covering over allotments made in connection with the offering of the Firm Securities. On each day, if any, that Additional Securities are to be purchased (an “Option Closing Date”), each Underwriter agrees, severally and not jointly, to purchase the number of Additional Securities (subject to such adjustments to eliminate fractional Securities as the Representatives may determine), that bears the same proportion to the number of Additional Securities to be purchased on such Option Closing Date as the number of Firm Securities set forth in Schedule II hereto opposite the name of such Underwriter bears to the number of Firm Securities.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firstLine="652"/>
        <w:spacing w:after="0" w:line="262" w:lineRule="auto"/>
        <w:tabs>
          <w:tab w:leader="none" w:pos="130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Company is advised by you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soon after the Registration Statement and this Agreement have become effective as in your judgment is advisable. The Company is further advised by you that the Securities are to be offered to the public upon the terms set forth in the Prospectus.</w:t>
      </w:r>
    </w:p>
    <w:p>
      <w:pPr>
        <w:sectPr>
          <w:pgSz w:w="11900" w:h="16888" w:orient="portrait"/>
          <w:cols w:equalWidth="0" w:num="1">
            <w:col w:w="11380"/>
          </w:cols>
          <w:pgMar w:left="240" w:top="125" w:right="279" w:bottom="0" w:gutter="0" w:footer="0" w:header="0"/>
        </w:sectPr>
      </w:pPr>
    </w:p>
    <w:bookmarkStart w:id="22" w:name="page23"/>
    <w:bookmarkEnd w:id="22"/>
    <w:p>
      <w:pPr>
        <w:spacing w:after="0" w:line="39" w:lineRule="exact"/>
        <w:rPr>
          <w:sz w:val="20"/>
          <w:szCs w:val="20"/>
          <w:color w:val="auto"/>
        </w:rPr>
      </w:pPr>
    </w:p>
    <w:p>
      <w:pPr>
        <w:ind w:right="240" w:firstLine="652"/>
        <w:spacing w:after="0" w:line="255" w:lineRule="auto"/>
        <w:tabs>
          <w:tab w:leader="none" w:pos="130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Securities shall be made to the Company in Federal or other funds immediately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 specified by the Company to the Representatives at the office of Wilson Sonsini Goodrich &amp; Rosati, Professional Corporation, 650 Page Mill Road, Palo Alto, California, at 7:00 a.m., California time, on April 15, 2009, or at such other time on the same or such other date, not later than the fifth business day thereafter, as may be mutually agreed in writing by the Representatives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9" w:lineRule="exact"/>
        <w:rPr>
          <w:sz w:val="20"/>
          <w:szCs w:val="20"/>
          <w:color w:val="auto"/>
        </w:rPr>
      </w:pPr>
    </w:p>
    <w:p>
      <w:pPr>
        <w:ind w:right="120" w:firstLine="645"/>
        <w:spacing w:after="0" w:line="284"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to the account specified by the Company to the Representatives on the date specified in the corresponding notice described in Section 2 or at such other time on the same or on such other date, in any event not later than the tenth business day thereafter, as may be designated in writing by the Representatives.</w:t>
      </w:r>
    </w:p>
    <w:p>
      <w:pPr>
        <w:spacing w:after="0" w:line="165" w:lineRule="exact"/>
        <w:rPr>
          <w:sz w:val="20"/>
          <w:szCs w:val="20"/>
          <w:color w:val="auto"/>
        </w:rPr>
      </w:pPr>
    </w:p>
    <w:p>
      <w:pPr>
        <w:ind w:right="240" w:firstLine="645"/>
        <w:spacing w:after="0" w:line="262" w:lineRule="auto"/>
        <w:rPr>
          <w:sz w:val="20"/>
          <w:szCs w:val="20"/>
          <w:color w:val="auto"/>
        </w:rPr>
      </w:pPr>
      <w:r>
        <w:rPr>
          <w:rFonts w:ascii="Arial" w:cs="Arial" w:eastAsia="Arial" w:hAnsi="Arial"/>
          <w:sz w:val="18"/>
          <w:szCs w:val="18"/>
          <w:color w:val="auto"/>
        </w:rPr>
        <w:t>The certificates for the Firm Securities and the Additional Securities shall be registered in such names and in such denominations as the Representatives shall request in writing not later than one full business day prior to the Closing Date or the applicable Option Closing Date, as the case may be, for the respective accounts of the several Underwriters.</w:t>
      </w:r>
    </w:p>
    <w:p>
      <w:pPr>
        <w:spacing w:after="0" w:line="181" w:lineRule="exact"/>
        <w:rPr>
          <w:sz w:val="20"/>
          <w:szCs w:val="20"/>
          <w:color w:val="auto"/>
        </w:rPr>
      </w:pPr>
    </w:p>
    <w:p>
      <w:pPr>
        <w:ind w:left="1300" w:hanging="648"/>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several obligations of the Underwriters are subject to the following conditions:</w:t>
      </w:r>
    </w:p>
    <w:p>
      <w:pPr>
        <w:spacing w:after="0" w:line="223" w:lineRule="exact"/>
        <w:rPr>
          <w:sz w:val="20"/>
          <w:szCs w:val="20"/>
          <w:color w:val="auto"/>
        </w:rPr>
      </w:pPr>
    </w:p>
    <w:p>
      <w:pPr>
        <w:ind w:left="1300" w:hanging="648"/>
        <w:spacing w:after="0"/>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Subsequent to the execution and delivery of this Agreement and prior to the Closing Date or the applicable Option Closing Date:</w:t>
      </w:r>
    </w:p>
    <w:p>
      <w:pPr>
        <w:spacing w:after="0" w:line="234" w:lineRule="exact"/>
        <w:rPr>
          <w:sz w:val="20"/>
          <w:szCs w:val="20"/>
          <w:color w:val="auto"/>
        </w:rPr>
      </w:pPr>
    </w:p>
    <w:p>
      <w:pPr>
        <w:ind w:left="1300" w:right="80" w:firstLine="641"/>
        <w:spacing w:after="0" w:line="257" w:lineRule="auto"/>
        <w:tabs>
          <w:tab w:leader="none" w:pos="26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for purposes of Rule 436(g)(2) under the Securities Act;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00" w:firstLine="641"/>
        <w:spacing w:after="0" w:line="255" w:lineRule="auto"/>
        <w:tabs>
          <w:tab w:leader="none" w:pos="275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Prospectus as of the date of this Agreement that, in your judgment, is so material and adverse and that makes it, in your judgment, impracticable to market the Securities on the terms and in the manner contemplated in the Time of Sale Prospectus.</w:t>
      </w:r>
    </w:p>
    <w:p>
      <w:pPr>
        <w:spacing w:after="0" w:line="189" w:lineRule="exact"/>
        <w:rPr>
          <w:rFonts w:ascii="Arial" w:cs="Arial" w:eastAsia="Arial" w:hAnsi="Arial"/>
          <w:sz w:val="18"/>
          <w:szCs w:val="18"/>
          <w:color w:val="auto"/>
        </w:rPr>
      </w:pPr>
    </w:p>
    <w:p>
      <w:pPr>
        <w:ind w:firstLine="652"/>
        <w:spacing w:after="0" w:line="287" w:lineRule="auto"/>
        <w:tabs>
          <w:tab w:leader="none" w:pos="12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and each Option Closing Date, if any, a certificate, dated the Closing Date or the applicable Option Closing Date, as the case may be, and signed by the chief executive officer or the chief financial officer of the Company, to the effect set forth in Section 5(a)(i) above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the applicable Option Closing Date, as the case may be, (ii) that the Company has complied in all material respects with all of the agreements and satisfied all of the conditions on its part to be performed or satisfied hereunder on or before the Closing Date or the applicable Option Closing Date, as the case may be, and (iii) since the date of the most recent financial statements included in the Time of Sale Prospectus, there has been no material adverse change in the financial condition, earnings, business or properties of the Company and its subsidiaries, taken as a whole, except as set forth or contemplated in the Time of Sale Prospectus.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3" w:lineRule="exact"/>
        <w:rPr>
          <w:sz w:val="20"/>
          <w:szCs w:val="20"/>
          <w:color w:val="auto"/>
        </w:rPr>
      </w:pPr>
    </w:p>
    <w:p>
      <w:pPr>
        <w:ind w:right="60" w:firstLine="652"/>
        <w:spacing w:after="0" w:line="269"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Securities Act within the applicable time period prescribed for such filing by the rules and regulations under the Securities Act; the final term sheet substantially in the form of Schedule I hereto, and any material required to be filed by the Company pursuant to Rule 433(d) under the Securities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to the Company’s knowledge, threatened by the Commission and no notice of objection of the Commission to the use of the Registration Statement or any post-effective amendment thereto pursuant to Rule 401(g)(2) under the Securities Act shall have been received; no stop order suspending or preventing the use of the Prospectus or any issuer free writing prospectus shall have been initiated or threatened by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Commission; and all requests for additional information on the part of the Commission shall have been complied with to the Representatives’ reasonable satisfaction.</w:t>
      </w:r>
    </w:p>
    <w:p>
      <w:pPr>
        <w:spacing w:after="0" w:line="170" w:lineRule="exact"/>
        <w:rPr>
          <w:sz w:val="20"/>
          <w:szCs w:val="20"/>
          <w:color w:val="auto"/>
        </w:rPr>
      </w:pPr>
    </w:p>
    <w:p>
      <w:pPr>
        <w:jc w:val="both"/>
        <w:ind w:right="120" w:firstLine="652"/>
        <w:spacing w:after="0" w:line="262" w:lineRule="auto"/>
        <w:tabs>
          <w:tab w:leader="none" w:pos="12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Wilson Sonsini Goodrich &amp; Rosati, Professional Corporation, outside counsel for the Company, dated the Closing Date and each Option Closing Date, as the case may be, in the form attached hereto as Exhibit B;</w:t>
      </w:r>
    </w:p>
    <w:p>
      <w:pPr>
        <w:spacing w:after="0" w:line="181" w:lineRule="exact"/>
        <w:rPr>
          <w:rFonts w:ascii="Arial" w:cs="Arial" w:eastAsia="Arial" w:hAnsi="Arial"/>
          <w:sz w:val="18"/>
          <w:szCs w:val="18"/>
          <w:color w:val="auto"/>
        </w:rPr>
      </w:pPr>
    </w:p>
    <w:p>
      <w:pPr>
        <w:ind w:right="40" w:firstLine="652"/>
        <w:spacing w:after="0" w:line="262"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Roderic W. Lewis, the Company’s General Counsel, dated the Closing Date and each Option Closing Date, as the case may be, in substantially the form attached hereto as Exhibit C;</w:t>
      </w:r>
    </w:p>
    <w:p>
      <w:pPr>
        <w:spacing w:after="0" w:line="181" w:lineRule="exact"/>
        <w:rPr>
          <w:rFonts w:ascii="Arial" w:cs="Arial" w:eastAsia="Arial" w:hAnsi="Arial"/>
          <w:sz w:val="18"/>
          <w:szCs w:val="18"/>
          <w:color w:val="auto"/>
        </w:rPr>
      </w:pPr>
    </w:p>
    <w:p>
      <w:pPr>
        <w:ind w:right="500" w:firstLine="652"/>
        <w:spacing w:after="0" w:line="262" w:lineRule="auto"/>
        <w:tabs>
          <w:tab w:leader="none" w:pos="13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and each Option Closing Date, as the case may be, an opinion of Simpson Thacher &amp; Bartlett, LLP, counsel for the Underwriters, dated the Closing Date and each Option Closing Date, as the case may be, in form and substance reasonably satisfactory to the Underwriters;</w:t>
      </w:r>
    </w:p>
    <w:p>
      <w:pPr>
        <w:spacing w:after="0" w:line="181" w:lineRule="exact"/>
        <w:rPr>
          <w:rFonts w:ascii="Arial" w:cs="Arial" w:eastAsia="Arial" w:hAnsi="Arial"/>
          <w:sz w:val="18"/>
          <w:szCs w:val="18"/>
          <w:color w:val="auto"/>
        </w:rPr>
      </w:pPr>
    </w:p>
    <w:p>
      <w:pPr>
        <w:ind w:right="220" w:firstLine="652"/>
        <w:spacing w:after="0" w:line="339" w:lineRule="auto"/>
        <w:tabs>
          <w:tab w:leader="none" w:pos="12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and the Closing Date and each Option Closing Date, if any, a letter dated the date hereof, the Closing Date or the applicable Option Closing Date, as the case may be, in form and substance satisfactory to the Underwriters, from</w:t>
      </w:r>
    </w:p>
    <w:p>
      <w:pPr>
        <w:sectPr>
          <w:pgSz w:w="11900" w:h="16878" w:orient="portrait"/>
          <w:cols w:equalWidth="0" w:num="1">
            <w:col w:w="11400"/>
          </w:cols>
          <w:pgMar w:left="240" w:top="340" w:right="259" w:bottom="0" w:gutter="0" w:footer="0" w:header="0"/>
        </w:sectPr>
      </w:pPr>
    </w:p>
    <w:bookmarkStart w:id="23" w:name="page24"/>
    <w:bookmarkEnd w:id="23"/>
    <w:p>
      <w:pPr>
        <w:ind w:right="40"/>
        <w:spacing w:after="0" w:line="262" w:lineRule="auto"/>
        <w:rPr>
          <w:sz w:val="20"/>
          <w:szCs w:val="20"/>
          <w:color w:val="auto"/>
        </w:rPr>
      </w:pPr>
      <w:r>
        <w:rPr>
          <w:rFonts w:ascii="Arial" w:cs="Arial" w:eastAsia="Arial" w:hAnsi="Arial"/>
          <w:sz w:val="18"/>
          <w:szCs w:val="18"/>
          <w:color w:val="auto"/>
        </w:rPr>
        <w:t>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w:t>
      </w:r>
    </w:p>
    <w:p>
      <w:pPr>
        <w:spacing w:after="0" w:line="181" w:lineRule="exact"/>
        <w:rPr>
          <w:sz w:val="20"/>
          <w:szCs w:val="20"/>
          <w:color w:val="auto"/>
        </w:rPr>
      </w:pPr>
    </w:p>
    <w:p>
      <w:pPr>
        <w:jc w:val="both"/>
        <w:ind w:right="60" w:firstLine="652"/>
        <w:spacing w:after="0" w:line="262" w:lineRule="auto"/>
        <w:tabs>
          <w:tab w:leader="none" w:pos="12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officers and directors of the Company named in Schedule IV hereto relating to sales and certain other dispositions of Common Stock or certain other securities shall be in full force and effect on the Closing Date.</w:t>
      </w:r>
    </w:p>
    <w:p>
      <w:pPr>
        <w:spacing w:after="0" w:line="181" w:lineRule="exact"/>
        <w:rPr>
          <w:rFonts w:ascii="Arial" w:cs="Arial" w:eastAsia="Arial" w:hAnsi="Arial"/>
          <w:sz w:val="18"/>
          <w:szCs w:val="18"/>
          <w:color w:val="auto"/>
        </w:rPr>
      </w:pPr>
    </w:p>
    <w:p>
      <w:pPr>
        <w:ind w:right="40" w:firstLine="652"/>
        <w:spacing w:after="0" w:line="257" w:lineRule="auto"/>
        <w:tabs>
          <w:tab w:leader="none" w:pos="13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20" w:firstLine="645"/>
        <w:spacing w:after="0" w:line="309" w:lineRule="auto"/>
        <w:rPr>
          <w:sz w:val="20"/>
          <w:szCs w:val="20"/>
          <w:color w:val="auto"/>
        </w:rPr>
      </w:pPr>
      <w:r>
        <w:rPr>
          <w:rFonts w:ascii="Arial" w:cs="Arial" w:eastAsia="Arial" w:hAnsi="Arial"/>
          <w:sz w:val="16"/>
          <w:szCs w:val="16"/>
          <w:color w:val="auto"/>
        </w:rPr>
        <w:t>The several obligations of the Underwriters to purchase Additional Securities hereunder are subject to the delivery to you on the applicable Option Closing Date of such documents as you may reasonably request with respect to the good standing of the Company, the due authorization and issuance of the Additional Securities to be sold on such Option Closing Date and other matters related to the issuance of such Additional Securities.</w:t>
      </w:r>
    </w:p>
    <w:p>
      <w:pPr>
        <w:spacing w:after="0" w:line="149" w:lineRule="exact"/>
        <w:rPr>
          <w:sz w:val="20"/>
          <w:szCs w:val="20"/>
          <w:color w:val="auto"/>
        </w:rPr>
      </w:pPr>
    </w:p>
    <w:p>
      <w:pPr>
        <w:ind w:left="1300" w:hanging="648"/>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3" w:lineRule="exact"/>
        <w:rPr>
          <w:sz w:val="20"/>
          <w:szCs w:val="20"/>
          <w:color w:val="auto"/>
        </w:rPr>
      </w:pPr>
    </w:p>
    <w:p>
      <w:pPr>
        <w:ind w:right="40" w:firstLine="652"/>
        <w:spacing w:after="0" w:line="25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furnish to the Representatives,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187" w:lineRule="exact"/>
        <w:rPr>
          <w:rFonts w:ascii="Arial" w:cs="Arial" w:eastAsia="Arial" w:hAnsi="Arial"/>
          <w:sz w:val="18"/>
          <w:szCs w:val="18"/>
          <w:color w:val="auto"/>
        </w:rPr>
      </w:pPr>
    </w:p>
    <w:p>
      <w:pPr>
        <w:ind w:right="80" w:firstLine="652"/>
        <w:spacing w:after="0" w:line="257" w:lineRule="auto"/>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except as may be required by applicable law, and to file with the Commission within the applicable period specified in Rule 424(b) under the Securities Act any prospectus required to be filed pursuant to such Rule.</w:t>
      </w:r>
    </w:p>
    <w:p>
      <w:pPr>
        <w:spacing w:after="0" w:line="187" w:lineRule="exact"/>
        <w:rPr>
          <w:rFonts w:ascii="Arial" w:cs="Arial" w:eastAsia="Arial" w:hAnsi="Arial"/>
          <w:sz w:val="18"/>
          <w:szCs w:val="18"/>
          <w:color w:val="auto"/>
        </w:rPr>
      </w:pPr>
    </w:p>
    <w:p>
      <w:pPr>
        <w:ind w:right="100" w:firstLine="652"/>
        <w:spacing w:after="0" w:line="275"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the Representatives reasonably object.</w:t>
      </w:r>
    </w:p>
    <w:p>
      <w:pPr>
        <w:spacing w:after="0" w:line="170" w:lineRule="exact"/>
        <w:rPr>
          <w:rFonts w:ascii="Arial" w:cs="Arial" w:eastAsia="Arial" w:hAnsi="Arial"/>
          <w:sz w:val="18"/>
          <w:szCs w:val="18"/>
          <w:color w:val="auto"/>
        </w:rPr>
      </w:pPr>
    </w:p>
    <w:p>
      <w:pPr>
        <w:ind w:left="1300" w:hanging="648"/>
        <w:spacing w:after="0"/>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 to take any action that would result in an Underwriter or the Company being required to file with the Commission pursuant to</w:t>
      </w:r>
    </w:p>
    <w:p>
      <w:pPr>
        <w:spacing w:after="0" w:line="3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Rule 433(d) under the Securities Act a free writing prospectus prepared by or on behalf of the Underwriters that the Underwriters otherwise would not have been required to file thereunder.</w:t>
      </w:r>
    </w:p>
    <w:p>
      <w:pPr>
        <w:spacing w:after="0" w:line="185" w:lineRule="exact"/>
        <w:rPr>
          <w:sz w:val="20"/>
          <w:szCs w:val="20"/>
          <w:color w:val="auto"/>
        </w:rPr>
      </w:pPr>
    </w:p>
    <w:p>
      <w:pPr>
        <w:ind w:right="120" w:firstLine="652"/>
        <w:spacing w:after="0" w:line="255"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89" w:lineRule="exact"/>
        <w:rPr>
          <w:sz w:val="20"/>
          <w:szCs w:val="20"/>
          <w:color w:val="auto"/>
        </w:rPr>
      </w:pPr>
    </w:p>
    <w:p>
      <w:pPr>
        <w:ind w:right="100" w:firstLine="652"/>
        <w:spacing w:after="0" w:line="285" w:lineRule="auto"/>
        <w:tabs>
          <w:tab w:leader="none" w:pos="13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Securities and prior to the completion of the distribution of the Securities by the Underwriters, the Prospectus (or in lieu thereof the notice referred to in Rule 173(a) of the Securities Act) is required by law to be delivered in connection with sales by an Underwriter or a dealer, any event shall occur or condition exist as a result of which it is necessary to amend or supplement the Prospectus in order to make the statements therein, in the light of the circumstances when the Prospectus (or in lieu thereof the notice referred to in</w:t>
      </w:r>
    </w:p>
    <w:p>
      <w:pPr>
        <w:ind w:right="100"/>
        <w:spacing w:after="0" w:line="268" w:lineRule="auto"/>
        <w:rPr>
          <w:rFonts w:ascii="Arial" w:cs="Arial" w:eastAsia="Arial" w:hAnsi="Arial"/>
          <w:sz w:val="16"/>
          <w:szCs w:val="16"/>
          <w:color w:val="auto"/>
        </w:rPr>
      </w:pPr>
      <w:r>
        <w:rPr>
          <w:rFonts w:ascii="Arial" w:cs="Arial" w:eastAsia="Arial" w:hAnsi="Arial"/>
          <w:sz w:val="17"/>
          <w:szCs w:val="17"/>
          <w:color w:val="auto"/>
        </w:rPr>
        <w:t>Rule 173(a) of the Securities Act) is delivered to a purchaser, not misleading, or if it is necessary to amend or supplement the Prospectus to comply with applicable law, forthwith to prepare, file with the Commission and furnish, at its own expense, to the Underwriters and to the dealers (whose names and addresses you will furnish to the Company) to which Securities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9" w:lineRule="exact"/>
        <w:rPr>
          <w:rFonts w:ascii="Arial" w:cs="Arial" w:eastAsia="Arial" w:hAnsi="Arial"/>
          <w:sz w:val="16"/>
          <w:szCs w:val="16"/>
          <w:color w:val="auto"/>
        </w:rPr>
      </w:pPr>
    </w:p>
    <w:p>
      <w:pPr>
        <w:ind w:right="20" w:firstLine="652"/>
        <w:spacing w:after="0" w:line="257" w:lineRule="auto"/>
        <w:tabs>
          <w:tab w:leader="none" w:pos="12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as the Representatives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7" w:lineRule="exact"/>
        <w:rPr>
          <w:rFonts w:ascii="Arial" w:cs="Arial" w:eastAsia="Arial" w:hAnsi="Arial"/>
          <w:sz w:val="18"/>
          <w:szCs w:val="18"/>
          <w:color w:val="auto"/>
        </w:rPr>
      </w:pPr>
    </w:p>
    <w:p>
      <w:pPr>
        <w:ind w:firstLine="652"/>
        <w:spacing w:after="0" w:line="262" w:lineRule="auto"/>
        <w:tabs>
          <w:tab w:leader="none" w:pos="12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ectPr>
          <w:pgSz w:w="11900" w:h="16838" w:orient="portrait"/>
          <w:cols w:equalWidth="0" w:num="1">
            <w:col w:w="11400"/>
          </w:cols>
          <w:pgMar w:left="240" w:top="125" w:right="259" w:bottom="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652"/>
        <w:spacing w:after="0" w:line="283" w:lineRule="auto"/>
        <w:tabs>
          <w:tab w:leader="none" w:pos="13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 (b)(1), if applicable), all printing costs associated therewith, and the mailing and delivering of copies thereof to the Underwriters and dealers, in the quantities hereinabove specified, (ii)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Underwriters in connection with such qualification and in connection with the Blue Sky or Legal Investment memorandum, (iii) all filing fees and the reasonable fees and disbursements of counsel to the Underwriters incurred in connection with the review and qualification of the offering of the Securities by the Financial Industry Regulatory Authority, (iv) the cost of printing certificates representing the Securities, (v) the costs and charges of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the document production charges and expenses associated with printing this Agreement and (vii)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80" w:firstLine="652"/>
        <w:spacing w:after="0" w:line="262" w:lineRule="auto"/>
        <w:tabs>
          <w:tab w:leader="none" w:pos="13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prepare a final term sheet relating to the offering of the Securities,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Securities.</w:t>
      </w:r>
    </w:p>
    <w:p>
      <w:pPr>
        <w:spacing w:after="0" w:line="181" w:lineRule="exact"/>
        <w:rPr>
          <w:rFonts w:ascii="Arial" w:cs="Arial" w:eastAsia="Arial" w:hAnsi="Arial"/>
          <w:sz w:val="18"/>
          <w:szCs w:val="18"/>
          <w:color w:val="auto"/>
        </w:rPr>
      </w:pPr>
    </w:p>
    <w:p>
      <w:pPr>
        <w:ind w:right="160" w:firstLine="652"/>
        <w:spacing w:after="0" w:line="275" w:lineRule="auto"/>
        <w:tabs>
          <w:tab w:leader="none" w:pos="13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use commercially reasonable efforts to list the Securities on the New York Stock Exchange or another U.S. national securities exchange or established automated over-the-counter trading market in the United States of America.</w:t>
      </w:r>
    </w:p>
    <w:p>
      <w:pPr>
        <w:spacing w:after="0" w:line="170" w:lineRule="exact"/>
        <w:rPr>
          <w:rFonts w:ascii="Arial" w:cs="Arial" w:eastAsia="Arial" w:hAnsi="Arial"/>
          <w:sz w:val="18"/>
          <w:szCs w:val="18"/>
          <w:color w:val="auto"/>
        </w:rPr>
      </w:pPr>
    </w:p>
    <w:p>
      <w:pPr>
        <w:ind w:right="100" w:firstLine="652"/>
        <w:spacing w:after="0" w:line="275" w:lineRule="auto"/>
        <w:tabs>
          <w:tab w:leader="none" w:pos="13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Prospectus under the caption “Use of Proceeds.”</w:t>
      </w:r>
    </w:p>
    <w:p>
      <w:pPr>
        <w:spacing w:after="0" w:line="170" w:lineRule="exact"/>
        <w:rPr>
          <w:rFonts w:ascii="Arial" w:cs="Arial" w:eastAsia="Arial" w:hAnsi="Arial"/>
          <w:sz w:val="18"/>
          <w:szCs w:val="18"/>
          <w:color w:val="auto"/>
        </w:rPr>
      </w:pPr>
    </w:p>
    <w:p>
      <w:pPr>
        <w:ind w:firstLine="652"/>
        <w:spacing w:after="0" w:line="284" w:lineRule="auto"/>
        <w:tabs>
          <w:tab w:leader="none" w:pos="131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also covenants with each Underwriter that, without the prior written consent of each of the Representatives, it will not, for the period of ninety (90) days from the date of this Agreement,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Underwriters have been advised in writing, (c) any grants under the Company’s equity or stock plans in accordance with the terms of such plans as described in the Time of Sale Prospectus, (d)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the aggregate number of shares of Common Stock issued in or issuable upon the exercise of rights to receive shares of Common Stock granted in such transactions in the aggregate shall not exceed five percent (5%) of the Company’s outstanding Common Stock as of the Closing Date (it being understood that shares issued or issuable pursuant to clause (e)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below shall not count against such five percent (5%) limit), (e)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prior to or concurrently with execution of any binding agreement providing for the issuance of any such shares or rights, the entity that is issued or to be issued such Common Stock or rights to receive such Common Stock pursuant to such agreement agrees with the Company that from the date of such agreement until a date that is at least 90 days after the date of this Agreement such entity and its controlled affiliates will be subject to restrictions at least as restrictive as those set forth in the form of “lock-up” agreement attached as Exhibit A hereto solely with respect to such Common Stock received or rights to receive such Common Stock (and not with respect to other Common Stock or rights to receive Common Stock then owned or thereafter acquired by such entity or its controlled affiliates), provided, that transfers among a party to such agreements and its controlled affiliates and among controlled affiliates will be permitted and that the exceptions provided for in the agreement attached as Exhibit A shall only apply if the party relying on such exception is an individual),</w:t>
      </w:r>
    </w:p>
    <w:p>
      <w:pPr>
        <w:spacing w:after="0" w:line="1" w:lineRule="exact"/>
        <w:rPr>
          <w:sz w:val="20"/>
          <w:szCs w:val="20"/>
          <w:color w:val="auto"/>
        </w:rPr>
      </w:pPr>
    </w:p>
    <w:p>
      <w:pPr>
        <w:ind w:right="180" w:firstLine="7"/>
        <w:spacing w:after="0" w:line="293" w:lineRule="auto"/>
        <w:tabs>
          <w:tab w:leader="none" w:pos="2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concurrent issuance of 4.25% Convertible Senior Notes due October 15, 2013, and shares of Common Stock issuable upon conversion thereof, as described in the Time of Sale Prospectus, or (g) the capped call transactions described in the Time of Sale Prospectus. The Company agrees that, prior to the date that is 90 days after the date of this Agreement, without the prior written consent of each of the Representatives, it will not waive any of the restrictions set forth in any of the lock-up agreements that qualify an issuance for the exception set forth in clause (e) of the preceding sentence.</w:t>
      </w:r>
    </w:p>
    <w:p>
      <w:pPr>
        <w:sectPr>
          <w:pgSz w:w="11900" w:h="16838" w:orient="portrait"/>
          <w:cols w:equalWidth="0" w:num="1">
            <w:col w:w="11420"/>
          </w:cols>
          <w:pgMar w:left="240" w:top="125" w:right="239" w:bottom="0" w:gutter="0" w:footer="0" w:header="0"/>
        </w:sectPr>
      </w:pPr>
    </w:p>
    <w:bookmarkStart w:id="25" w:name="page26"/>
    <w:bookmarkEnd w:id="25"/>
    <w:p>
      <w:pPr>
        <w:ind w:right="80" w:firstLine="652"/>
        <w:spacing w:after="0" w:line="262" w:lineRule="auto"/>
        <w:tabs>
          <w:tab w:leader="none" w:pos="1302"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right="160" w:firstLine="652"/>
        <w:spacing w:after="0" w:line="255" w:lineRule="auto"/>
        <w:tabs>
          <w:tab w:leader="none" w:pos="1302"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Indemnity and Contribution. </w:t>
      </w:r>
      <w:r>
        <w:rPr>
          <w:rFonts w:ascii="Arial" w:cs="Arial" w:eastAsia="Arial" w:hAnsi="Arial"/>
          <w:sz w:val="18"/>
          <w:szCs w:val="18"/>
          <w:color w:val="auto"/>
        </w:rPr>
        <w:t>(a) The Company agrees to indemnify and hold harmless each Underwriter, the directors, officers,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or claim)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required to be stated therein or necessary to make the statements therein, (and other than with respect to the Registration Statement, in light of the circumstances in which they were made)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pacing w:after="0" w:line="162" w:lineRule="exact"/>
        <w:rPr>
          <w:sz w:val="20"/>
          <w:szCs w:val="20"/>
          <w:color w:val="auto"/>
        </w:rPr>
      </w:pPr>
    </w:p>
    <w:p>
      <w:pPr>
        <w:ind w:right="20" w:firstLine="652"/>
        <w:spacing w:after="0" w:line="254" w:lineRule="auto"/>
        <w:tabs>
          <w:tab w:leader="none" w:pos="12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each of its directors, officers who sign the Registration Statement, employees and agents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or the Prospectus or any amendment or supplement thereto.</w:t>
      </w:r>
    </w:p>
    <w:p>
      <w:pPr>
        <w:spacing w:after="0" w:line="189" w:lineRule="exact"/>
        <w:rPr>
          <w:rFonts w:ascii="Arial" w:cs="Arial" w:eastAsia="Arial" w:hAnsi="Arial"/>
          <w:sz w:val="18"/>
          <w:szCs w:val="18"/>
          <w:color w:val="auto"/>
        </w:rPr>
      </w:pPr>
    </w:p>
    <w:p>
      <w:pPr>
        <w:ind w:right="20" w:firstLine="652"/>
        <w:spacing w:after="0" w:line="287"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prior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66" w:lineRule="exact"/>
        <w:rPr>
          <w:sz w:val="20"/>
          <w:szCs w:val="20"/>
          <w:color w:val="auto"/>
        </w:rPr>
      </w:pPr>
    </w:p>
    <w:p>
      <w:pPr>
        <w:ind w:right="20" w:firstLine="652"/>
        <w:spacing w:after="0" w:line="286" w:lineRule="auto"/>
        <w:tabs>
          <w:tab w:leader="none" w:pos="12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bear to the aggregate public offering price of the Securities set forth in the Prospectus. The relative fault of the Company on the one hand and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ectPr>
          <w:pgSz w:w="11900" w:h="16838" w:orient="portrait"/>
          <w:cols w:equalWidth="0" w:num="1">
            <w:col w:w="11420"/>
          </w:cols>
          <w:pgMar w:left="240" w:top="125" w:right="239" w:bottom="0" w:gutter="0" w:footer="0" w:header="0"/>
        </w:sectPr>
      </w:pPr>
    </w:p>
    <w:bookmarkStart w:id="26" w:name="page27"/>
    <w:bookmarkEnd w:id="26"/>
    <w:p>
      <w:pPr>
        <w:spacing w:after="0" w:line="15" w:lineRule="exact"/>
        <w:rPr>
          <w:sz w:val="20"/>
          <w:szCs w:val="20"/>
          <w:color w:val="auto"/>
        </w:rPr>
      </w:pPr>
    </w:p>
    <w:p>
      <w:pPr>
        <w:ind w:right="40" w:firstLine="652"/>
        <w:spacing w:after="0" w:line="28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allocation (even if the Underwriters were treated as one entity for such purpose) or by any other method of allocation that does not take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w:t>
      </w:r>
    </w:p>
    <w:p>
      <w:pPr>
        <w:spacing w:after="0" w:line="3"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0" w:lineRule="exact"/>
        <w:rPr>
          <w:rFonts w:ascii="Arial" w:cs="Arial" w:eastAsia="Arial" w:hAnsi="Arial"/>
          <w:sz w:val="16"/>
          <w:szCs w:val="16"/>
          <w:color w:val="auto"/>
        </w:rPr>
      </w:pPr>
    </w:p>
    <w:p>
      <w:pPr>
        <w:ind w:right="220" w:firstLine="652"/>
        <w:spacing w:after="0" w:line="255" w:lineRule="auto"/>
        <w:tabs>
          <w:tab w:leader="none" w:pos="130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director, officer, employee, agent or affiliate of any Underwriter or by or on behalf of the Company, its officers, directors, employees, agents, or any person controlling the Company and (iii) acceptance of and payment for any of the Securities.</w:t>
      </w:r>
    </w:p>
    <w:p>
      <w:pPr>
        <w:spacing w:after="0" w:line="189" w:lineRule="exact"/>
        <w:rPr>
          <w:sz w:val="20"/>
          <w:szCs w:val="20"/>
          <w:color w:val="auto"/>
        </w:rPr>
      </w:pPr>
    </w:p>
    <w:p>
      <w:pPr>
        <w:ind w:right="60" w:firstLine="652"/>
        <w:spacing w:after="0" w:line="262" w:lineRule="auto"/>
        <w:tabs>
          <w:tab w:leader="none" w:pos="1302"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The Underwriters may terminate this Agreement by notice given by the Representatives to the Company, if after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and prior to the Closing Date (i) trading generally shall have been suspended or materially limited on, or by, as the case may be, any of the New York Stock Exchange, the NASDAQ Global Market, the Chicago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or Idaho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9, makes it, in the Representatives’ judgment, impracticable or inadvisable to proceed with the offer, sale or delivery of the Securities on the terms and in the manner contemplated in the Time of Sale Prospectus or the Prospectus.</w:t>
      </w:r>
    </w:p>
    <w:p>
      <w:pPr>
        <w:spacing w:after="0" w:line="161" w:lineRule="exact"/>
        <w:rPr>
          <w:sz w:val="20"/>
          <w:szCs w:val="20"/>
          <w:color w:val="auto"/>
        </w:rPr>
      </w:pPr>
    </w:p>
    <w:p>
      <w:pPr>
        <w:ind w:left="1320" w:hanging="668"/>
        <w:spacing w:after="0"/>
        <w:tabs>
          <w:tab w:leader="none" w:pos="13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8" w:lineRule="exact"/>
        <w:rPr>
          <w:sz w:val="20"/>
          <w:szCs w:val="20"/>
          <w:color w:val="auto"/>
        </w:rPr>
      </w:pPr>
    </w:p>
    <w:p>
      <w:pPr>
        <w:ind w:firstLine="645"/>
        <w:spacing w:after="0" w:line="266" w:lineRule="auto"/>
        <w:rPr>
          <w:sz w:val="20"/>
          <w:szCs w:val="20"/>
          <w:color w:val="auto"/>
        </w:rPr>
      </w:pPr>
      <w:r>
        <w:rPr>
          <w:rFonts w:ascii="Arial" w:cs="Arial" w:eastAsia="Arial" w:hAnsi="Arial"/>
          <w:sz w:val="17"/>
          <w:szCs w:val="17"/>
          <w:color w:val="auto"/>
        </w:rPr>
        <w:t>If, on the Closing Date or an Option Closing Date, as the case may be, any one or more of the Underwriters shall fail or refuse to purchase Securities that it has or they have agreed to purchase hereunder on such date, and the number of Securities which such defaulting Underwriter or Underwriters agreed but failed or refused to purchase is not more than one tenth of the number of the Securities to be purchased on such date, the other Underwriters shall be obligated severally in the proportions that the number of Firm Securities set forth opposite their respective names in Schedule II bears to the number of Firm Securities set forth opposite the names of all such non defaulting Underwriters, or in such other proportions as the Representatives may specify, to purchase the Securities which such defaulting Underwriter or Underwriters agreed but failed or refused to purchase on such date; provided that in no event shall the number of Securities that any Underwriter has agreed to purchase pursuant to this Agreement be increased pursuant to this Section 10 by an amount in excess of one ninth of such number of Securities without the written consent of such Underwriter. If, on the Closing Date, any Underwriter or Underwriters shall fail or refuse to purchase Firm Securities and the number of Firm Securities with respect to which such default occurs is more than one tenth of the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 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Securities and the number of Additional Securities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respect to which such default occurs is more than one tenth of the number of Additional Securities to be purchased on such Option Closing Date, the non-defaulting Underwriters shall have the option to i) terminate their obligation hereunder to purchase the Additional Securities to be sold on such Option Closing Date or ii) purchase not less than the number of Additional Securities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9" w:lineRule="exact"/>
        <w:rPr>
          <w:sz w:val="20"/>
          <w:szCs w:val="20"/>
          <w:color w:val="auto"/>
        </w:rPr>
      </w:pPr>
    </w:p>
    <w:p>
      <w:pPr>
        <w:ind w:right="240" w:firstLine="645"/>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9" w:lineRule="exact"/>
        <w:rPr>
          <w:sz w:val="20"/>
          <w:szCs w:val="20"/>
          <w:color w:val="auto"/>
        </w:rPr>
      </w:pPr>
    </w:p>
    <w:p>
      <w:pPr>
        <w:ind w:right="240" w:firstLine="652"/>
        <w:spacing w:after="0" w:line="257" w:lineRule="auto"/>
        <w:tabs>
          <w:tab w:leader="none" w:pos="130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88" w:lineRule="exact"/>
        <w:rPr>
          <w:sz w:val="20"/>
          <w:szCs w:val="20"/>
          <w:color w:val="auto"/>
        </w:rPr>
      </w:pPr>
    </w:p>
    <w:p>
      <w:pPr>
        <w:ind w:right="80" w:firstLine="652"/>
        <w:spacing w:after="0" w:line="309" w:lineRule="auto"/>
        <w:tabs>
          <w:tab w:leader="none" w:pos="129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w:t>
      </w:r>
    </w:p>
    <w:p>
      <w:pPr>
        <w:sectPr>
          <w:pgSz w:w="11900" w:h="16854" w:orient="portrait"/>
          <w:cols w:equalWidth="0" w:num="1">
            <w:col w:w="11420"/>
          </w:cols>
          <w:pgMar w:left="240" w:top="125" w:right="239" w:bottom="0" w:gutter="0" w:footer="0" w:header="0"/>
        </w:sectPr>
      </w:pPr>
    </w:p>
    <w:bookmarkStart w:id="27" w:name="page28"/>
    <w:bookmarkEnd w:id="27"/>
    <w:p>
      <w:pPr>
        <w:ind w:right="40"/>
        <w:spacing w:after="0" w:line="275" w:lineRule="auto"/>
        <w:rPr>
          <w:sz w:val="20"/>
          <w:szCs w:val="20"/>
          <w:color w:val="auto"/>
        </w:rPr>
      </w:pPr>
      <w:r>
        <w:rPr>
          <w:rFonts w:ascii="Arial" w:cs="Arial" w:eastAsia="Arial" w:hAnsi="Arial"/>
          <w:sz w:val="18"/>
          <w:szCs w:val="18"/>
          <w:color w:val="auto"/>
        </w:rPr>
        <w:t>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70" w:lineRule="exact"/>
        <w:rPr>
          <w:sz w:val="20"/>
          <w:szCs w:val="20"/>
          <w:color w:val="auto"/>
        </w:rPr>
      </w:pPr>
    </w:p>
    <w:p>
      <w:pPr>
        <w:ind w:right="100" w:firstLine="652"/>
        <w:spacing w:after="0" w:line="275"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20" w:hanging="668"/>
        <w:spacing w:after="0"/>
        <w:tabs>
          <w:tab w:leader="none" w:pos="13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firstLine="845"/>
        <w:spacing w:after="0" w:line="275" w:lineRule="auto"/>
        <w:tabs>
          <w:tab w:leader="none" w:pos="1196"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240" w:firstLine="845"/>
        <w:spacing w:after="0" w:line="285" w:lineRule="auto"/>
        <w:tabs>
          <w:tab w:leader="none" w:pos="1196" w:val="left"/>
        </w:tabs>
        <w:numPr>
          <w:ilvl w:val="1"/>
          <w:numId w:val="77"/>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(a) if to the Underwriters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each of the Representatives, Morgan Stanley &amp; Co. Incorporated, 1585 Broadway, New York, New York, 10036, Attention: Registration Department; and Goldman, Sachs &amp; Co., 85 Broad Street, New York, New York, 10044, Attention: Registration Department, with a copy to Simpson Thacher &amp; Bartlett LLP, 2550 Hanover Street, Palo Alto, California 94304, Attention: William H. Hinman, Jr. and Louis Lehot, Fax: (650) 251-5002; and</w:t>
      </w:r>
    </w:p>
    <w:p>
      <w:pPr>
        <w:ind w:right="20" w:firstLine="7"/>
        <w:spacing w:after="0" w:line="253" w:lineRule="auto"/>
        <w:tabs>
          <w:tab w:leader="none" w:pos="2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John A. Fore, Fax: (650) 493-6811.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38" w:lineRule="exact"/>
        <w:rPr>
          <w:sz w:val="20"/>
          <w:szCs w:val="20"/>
          <w:color w:val="auto"/>
        </w:rPr>
      </w:pPr>
    </w:p>
    <w:p>
      <w:pPr>
        <w:ind w:left="568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Ronald Foster</w:t>
      </w:r>
    </w:p>
    <w:p>
      <w:pPr>
        <w:spacing w:after="0" w:line="22" w:lineRule="exact"/>
        <w:rPr>
          <w:sz w:val="20"/>
          <w:szCs w:val="20"/>
          <w:color w:val="auto"/>
        </w:rPr>
      </w:pPr>
    </w:p>
    <w:tbl>
      <w:tblPr>
        <w:tblLayout w:type="fixed"/>
        <w:tblInd w:w="6180" w:type="dxa"/>
        <w:tblCellMar>
          <w:top w:w="0" w:type="dxa"/>
          <w:left w:w="0" w:type="dxa"/>
          <w:bottom w:w="0" w:type="dxa"/>
          <w:right w:w="0" w:type="dxa"/>
        </w:tblCellMar>
      </w:tblPr>
      <w:tr>
        <w:trPr>
          <w:trHeight w:val="194"/>
        </w:trPr>
        <w:tc>
          <w:tcPr>
            <w:tcW w:w="6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120"/>
              <w:spacing w:after="0" w:line="194" w:lineRule="exact"/>
              <w:rPr>
                <w:sz w:val="20"/>
                <w:szCs w:val="20"/>
                <w:color w:val="auto"/>
              </w:rPr>
            </w:pPr>
            <w:r>
              <w:rPr>
                <w:rFonts w:ascii="Arial" w:cs="Arial" w:eastAsia="Arial" w:hAnsi="Arial"/>
                <w:sz w:val="18"/>
                <w:szCs w:val="18"/>
                <w:color w:val="auto"/>
              </w:rPr>
              <w:t>Ronald Foster</w:t>
            </w: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20"/>
              <w:spacing w:after="0"/>
              <w:rPr>
                <w:sz w:val="20"/>
                <w:szCs w:val="20"/>
                <w:color w:val="auto"/>
              </w:rPr>
            </w:pPr>
            <w:r>
              <w:rPr>
                <w:rFonts w:ascii="Arial" w:cs="Arial" w:eastAsia="Arial" w:hAnsi="Arial"/>
                <w:sz w:val="18"/>
                <w:szCs w:val="18"/>
                <w:color w:val="auto"/>
              </w:rPr>
              <w:t>Vice President of Finance and Chief Financial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II hereto</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MORGAN STANLEY &amp; CO. INCORPORATED</w:t>
      </w:r>
    </w:p>
    <w:p>
      <w:pPr>
        <w:spacing w:after="0" w:line="200" w:lineRule="exact"/>
        <w:rPr>
          <w:sz w:val="20"/>
          <w:szCs w:val="20"/>
          <w:color w:val="auto"/>
        </w:rPr>
      </w:pP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Tyree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13970</wp:posOffset>
            </wp:positionV>
            <wp:extent cx="3325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Tyree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13970</wp:posOffset>
            </wp:positionV>
            <wp:extent cx="33254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(Goldman, Sachs &amp; Co.)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60,240,000 Shares of Common Stock</w:t>
      </w:r>
    </w:p>
    <w:p>
      <w:pPr>
        <w:spacing w:after="0" w:line="22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term sheet to the preliminary prospectus supplement dated April 7, 2009 should be read together with the preliminary prospectus supplement before making a decision in connection with an investment in the securities. The information in this term sheet supersedes the information contained in the preliminary prospectus supplement to the extent that it is inconsistent therewith. Terms used but not defined herein have the meaning ascribed to them in the preliminary prospectus supplement.</w:t>
      </w:r>
    </w:p>
    <w:p>
      <w:pPr>
        <w:spacing w:after="0" w:line="184"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Micron Technology, Inc. (NYSE: MU)</w:t>
      </w:r>
    </w:p>
    <w:p>
      <w:pPr>
        <w:sectPr>
          <w:pgSz w:w="11900" w:h="16838" w:orient="portrait"/>
          <w:cols w:equalWidth="0" w:num="1">
            <w:col w:w="11420"/>
          </w:cols>
          <w:pgMar w:left="240" w:top="125" w:right="239" w:bottom="0" w:gutter="0" w:footer="0" w:header="0"/>
        </w:sectPr>
      </w:pPr>
    </w:p>
    <w:bookmarkStart w:id="28" w:name="page29"/>
    <w:bookmarkEnd w:id="28"/>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r>
              <w:rPr>
                <w:rFonts w:ascii="Arial" w:cs="Arial" w:eastAsia="Arial" w:hAnsi="Arial"/>
                <w:sz w:val="18"/>
                <w:szCs w:val="18"/>
                <w:b w:val="1"/>
                <w:bCs w:val="1"/>
                <w:color w:val="auto"/>
              </w:rPr>
              <w:t>Size:</w:t>
            </w:r>
          </w:p>
        </w:tc>
        <w:tc>
          <w:tcPr>
            <w:tcW w:w="8240" w:type="dxa"/>
            <w:vAlign w:val="bottom"/>
          </w:tcPr>
          <w:p>
            <w:pPr>
              <w:ind w:left="300"/>
              <w:spacing w:after="0"/>
              <w:rPr>
                <w:sz w:val="20"/>
                <w:szCs w:val="20"/>
                <w:color w:val="auto"/>
              </w:rPr>
            </w:pPr>
            <w:r>
              <w:rPr>
                <w:rFonts w:ascii="Arial" w:cs="Arial" w:eastAsia="Arial" w:hAnsi="Arial"/>
                <w:sz w:val="18"/>
                <w:szCs w:val="18"/>
                <w:color w:val="auto"/>
              </w:rPr>
              <w:t>60,240,000 shares, upsized from 55,300,000 in the preliminary prospectus supplement</w:t>
            </w: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8240" w:type="dxa"/>
            <w:vAlign w:val="bottom"/>
          </w:tcPr>
          <w:p>
            <w:pPr>
              <w:ind w:left="300"/>
              <w:spacing w:after="0"/>
              <w:rPr>
                <w:sz w:val="20"/>
                <w:szCs w:val="20"/>
                <w:color w:val="auto"/>
              </w:rPr>
            </w:pPr>
            <w:r>
              <w:rPr>
                <w:rFonts w:ascii="Arial" w:cs="Arial" w:eastAsia="Arial" w:hAnsi="Arial"/>
                <w:sz w:val="18"/>
                <w:szCs w:val="18"/>
                <w:color w:val="auto"/>
              </w:rPr>
              <w:t>9,036,000 shares, upsized from 8,295,000 in the preliminary prospectus supplement</w:t>
            </w: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240" w:type="dxa"/>
            <w:vAlign w:val="bottom"/>
          </w:tcPr>
          <w:p>
            <w:pPr>
              <w:ind w:left="300"/>
              <w:spacing w:after="0"/>
              <w:rPr>
                <w:sz w:val="20"/>
                <w:szCs w:val="20"/>
                <w:color w:val="auto"/>
              </w:rPr>
            </w:pPr>
            <w:r>
              <w:rPr>
                <w:rFonts w:ascii="Arial" w:cs="Arial" w:eastAsia="Arial" w:hAnsi="Arial"/>
                <w:sz w:val="18"/>
                <w:szCs w:val="18"/>
                <w:color w:val="auto"/>
              </w:rPr>
              <w:t>4.00%</w:t>
            </w: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240" w:type="dxa"/>
            <w:vAlign w:val="bottom"/>
          </w:tcPr>
          <w:p>
            <w:pPr>
              <w:ind w:left="300"/>
              <w:spacing w:after="0"/>
              <w:rPr>
                <w:sz w:val="20"/>
                <w:szCs w:val="20"/>
                <w:color w:val="auto"/>
              </w:rPr>
            </w:pPr>
            <w:r>
              <w:rPr>
                <w:rFonts w:ascii="Arial" w:cs="Arial" w:eastAsia="Arial" w:hAnsi="Arial"/>
                <w:sz w:val="18"/>
                <w:szCs w:val="18"/>
                <w:color w:val="auto"/>
              </w:rPr>
              <w:t>$4.15</w:t>
            </w:r>
          </w:p>
        </w:tc>
      </w:tr>
      <w:tr>
        <w:trPr>
          <w:trHeight w:val="415"/>
        </w:trPr>
        <w:tc>
          <w:tcPr>
            <w:tcW w:w="3220" w:type="dxa"/>
            <w:vAlign w:val="bottom"/>
          </w:tcPr>
          <w:p>
            <w:pPr>
              <w:spacing w:after="0"/>
              <w:rPr>
                <w:sz w:val="20"/>
                <w:szCs w:val="20"/>
                <w:color w:val="auto"/>
              </w:rPr>
            </w:pPr>
            <w:r>
              <w:rPr>
                <w:rFonts w:ascii="Arial" w:cs="Arial" w:eastAsia="Arial" w:hAnsi="Arial"/>
                <w:sz w:val="18"/>
                <w:szCs w:val="18"/>
                <w:b w:val="1"/>
                <w:bCs w:val="1"/>
                <w:color w:val="auto"/>
              </w:rPr>
              <w:t>Net proceeds to issuer:</w:t>
            </w:r>
          </w:p>
        </w:tc>
        <w:tc>
          <w:tcPr>
            <w:tcW w:w="8240" w:type="dxa"/>
            <w:vAlign w:val="bottom"/>
          </w:tcPr>
          <w:p>
            <w:pPr>
              <w:ind w:left="300"/>
              <w:spacing w:after="0"/>
              <w:rPr>
                <w:sz w:val="20"/>
                <w:szCs w:val="20"/>
                <w:color w:val="auto"/>
              </w:rPr>
            </w:pPr>
            <w:r>
              <w:rPr>
                <w:rFonts w:ascii="Arial" w:cs="Arial" w:eastAsia="Arial" w:hAnsi="Arial"/>
                <w:sz w:val="18"/>
                <w:szCs w:val="18"/>
                <w:color w:val="auto"/>
                <w:w w:val="95"/>
              </w:rPr>
              <w:t>$239.7 million (after deducting underwriting discounts and estimated net offering expenses) assuming no</w:t>
            </w:r>
          </w:p>
        </w:tc>
      </w:tr>
      <w:tr>
        <w:trPr>
          <w:trHeight w:val="229"/>
        </w:trPr>
        <w:tc>
          <w:tcPr>
            <w:tcW w:w="32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exercise of the over-allotment option</w:t>
            </w:r>
          </w:p>
        </w:tc>
      </w:tr>
      <w:tr>
        <w:trPr>
          <w:trHeight w:val="411"/>
        </w:trPr>
        <w:tc>
          <w:tcPr>
            <w:tcW w:w="3220" w:type="dxa"/>
            <w:vAlign w:val="bottom"/>
          </w:tcPr>
          <w:p>
            <w:pPr>
              <w:spacing w:after="0"/>
              <w:rPr>
                <w:sz w:val="20"/>
                <w:szCs w:val="20"/>
                <w:color w:val="auto"/>
              </w:rPr>
            </w:pPr>
            <w:r>
              <w:rPr>
                <w:rFonts w:ascii="Arial" w:cs="Arial" w:eastAsia="Arial" w:hAnsi="Arial"/>
                <w:sz w:val="18"/>
                <w:szCs w:val="18"/>
                <w:b w:val="1"/>
                <w:bCs w:val="1"/>
                <w:color w:val="auto"/>
                <w:w w:val="96"/>
              </w:rPr>
              <w:t>Last reported sale price of the Issuer’s</w:t>
            </w:r>
          </w:p>
        </w:tc>
        <w:tc>
          <w:tcPr>
            <w:tcW w:w="8240" w:type="dxa"/>
            <w:vAlign w:val="bottom"/>
          </w:tcPr>
          <w:p>
            <w:pPr>
              <w:ind w:left="300"/>
              <w:spacing w:after="0"/>
              <w:rPr>
                <w:sz w:val="20"/>
                <w:szCs w:val="20"/>
                <w:color w:val="auto"/>
              </w:rPr>
            </w:pPr>
            <w:r>
              <w:rPr>
                <w:rFonts w:ascii="Arial" w:cs="Arial" w:eastAsia="Arial" w:hAnsi="Arial"/>
                <w:sz w:val="18"/>
                <w:szCs w:val="18"/>
                <w:color w:val="auto"/>
              </w:rPr>
              <w:t>$4.28 (April 8, 2009)</w:t>
            </w:r>
          </w:p>
        </w:tc>
      </w:tr>
      <w:tr>
        <w:trPr>
          <w:trHeight w:val="233"/>
        </w:trPr>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common stock on the NYSE:</w:t>
            </w:r>
          </w:p>
        </w:tc>
        <w:tc>
          <w:tcPr>
            <w:tcW w:w="8240" w:type="dxa"/>
            <w:vAlign w:val="bottom"/>
          </w:tcPr>
          <w:p>
            <w:pPr>
              <w:spacing w:after="0"/>
              <w:rPr>
                <w:sz w:val="20"/>
                <w:szCs w:val="20"/>
                <w:color w:val="auto"/>
              </w:rPr>
            </w:pP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Pricing Date/Closing Date:</w:t>
            </w:r>
          </w:p>
        </w:tc>
        <w:tc>
          <w:tcPr>
            <w:tcW w:w="8240" w:type="dxa"/>
            <w:vAlign w:val="bottom"/>
          </w:tcPr>
          <w:p>
            <w:pPr>
              <w:ind w:left="300"/>
              <w:spacing w:after="0"/>
              <w:rPr>
                <w:sz w:val="20"/>
                <w:szCs w:val="20"/>
                <w:color w:val="auto"/>
              </w:rPr>
            </w:pPr>
            <w:r>
              <w:rPr>
                <w:rFonts w:ascii="Arial" w:cs="Arial" w:eastAsia="Arial" w:hAnsi="Arial"/>
                <w:sz w:val="18"/>
                <w:szCs w:val="18"/>
                <w:color w:val="auto"/>
              </w:rPr>
              <w:t>April 8, 2009 / April 15, 2009</w:t>
            </w: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8240" w:type="dxa"/>
            <w:vAlign w:val="bottom"/>
          </w:tcPr>
          <w:p>
            <w:pPr>
              <w:ind w:left="300"/>
              <w:spacing w:after="0"/>
              <w:rPr>
                <w:sz w:val="20"/>
                <w:szCs w:val="20"/>
                <w:color w:val="auto"/>
              </w:rPr>
            </w:pPr>
            <w:r>
              <w:rPr>
                <w:rFonts w:ascii="Arial" w:cs="Arial" w:eastAsia="Arial" w:hAnsi="Arial"/>
                <w:sz w:val="18"/>
                <w:szCs w:val="18"/>
                <w:color w:val="auto"/>
              </w:rPr>
              <w:t>Morgan Stanley &amp; Co. Incorporated and Goldman, Sachs &amp; Co.</w:t>
            </w:r>
          </w:p>
        </w:tc>
      </w:tr>
      <w:tr>
        <w:trPr>
          <w:trHeight w:val="430"/>
        </w:trPr>
        <w:tc>
          <w:tcPr>
            <w:tcW w:w="3220" w:type="dxa"/>
            <w:vAlign w:val="bottom"/>
          </w:tcPr>
          <w:p>
            <w:pPr>
              <w:spacing w:after="0"/>
              <w:rPr>
                <w:sz w:val="20"/>
                <w:szCs w:val="20"/>
                <w:color w:val="auto"/>
              </w:rPr>
            </w:pPr>
            <w:r>
              <w:rPr>
                <w:rFonts w:ascii="Arial" w:cs="Arial" w:eastAsia="Arial" w:hAnsi="Arial"/>
                <w:sz w:val="18"/>
                <w:szCs w:val="18"/>
                <w:b w:val="1"/>
                <w:bCs w:val="1"/>
                <w:color w:val="auto"/>
              </w:rPr>
              <w:t>Co-manager:</w:t>
            </w:r>
          </w:p>
        </w:tc>
        <w:tc>
          <w:tcPr>
            <w:tcW w:w="8240" w:type="dxa"/>
            <w:vAlign w:val="bottom"/>
          </w:tcPr>
          <w:p>
            <w:pPr>
              <w:ind w:left="300"/>
              <w:spacing w:after="0"/>
              <w:rPr>
                <w:sz w:val="20"/>
                <w:szCs w:val="20"/>
                <w:color w:val="auto"/>
              </w:rPr>
            </w:pPr>
            <w:r>
              <w:rPr>
                <w:rFonts w:ascii="Arial" w:cs="Arial" w:eastAsia="Arial" w:hAnsi="Arial"/>
                <w:sz w:val="18"/>
                <w:szCs w:val="18"/>
                <w:color w:val="auto"/>
              </w:rPr>
              <w:t>Deutsche Bank Securities Inc.</w:t>
            </w:r>
          </w:p>
        </w:tc>
      </w:tr>
      <w:tr>
        <w:trPr>
          <w:trHeight w:val="415"/>
        </w:trPr>
        <w:tc>
          <w:tcPr>
            <w:tcW w:w="32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240" w:type="dxa"/>
            <w:vAlign w:val="bottom"/>
          </w:tcPr>
          <w:p>
            <w:pPr>
              <w:ind w:left="300"/>
              <w:spacing w:after="0"/>
              <w:rPr>
                <w:sz w:val="20"/>
                <w:szCs w:val="20"/>
                <w:color w:val="auto"/>
              </w:rPr>
            </w:pPr>
            <w:r>
              <w:rPr>
                <w:rFonts w:ascii="Arial" w:cs="Arial" w:eastAsia="Arial" w:hAnsi="Arial"/>
                <w:sz w:val="18"/>
                <w:szCs w:val="18"/>
                <w:color w:val="auto"/>
                <w:w w:val="98"/>
              </w:rPr>
              <w:t>The net proceeds from the offering, after deducting the underwriters’ discounts and estimated offering</w:t>
            </w:r>
          </w:p>
        </w:tc>
      </w:tr>
      <w:tr>
        <w:trPr>
          <w:trHeight w:val="229"/>
        </w:trPr>
        <w:tc>
          <w:tcPr>
            <w:tcW w:w="32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expenses</w:t>
            </w:r>
          </w:p>
        </w:tc>
      </w:tr>
      <w:tr>
        <w:trPr>
          <w:trHeight w:val="430"/>
        </w:trPr>
        <w:tc>
          <w:tcPr>
            <w:tcW w:w="3220" w:type="dxa"/>
            <w:vAlign w:val="bottom"/>
          </w:tcPr>
          <w:p>
            <w:pPr>
              <w:spacing w:after="0"/>
              <w:rPr>
                <w:sz w:val="24"/>
                <w:szCs w:val="24"/>
                <w:color w:val="auto"/>
              </w:rPr>
            </w:pPr>
          </w:p>
        </w:tc>
        <w:tc>
          <w:tcPr>
            <w:tcW w:w="8240" w:type="dxa"/>
            <w:vAlign w:val="bottom"/>
          </w:tcPr>
          <w:p>
            <w:pPr>
              <w:ind w:left="2380"/>
              <w:spacing w:after="0"/>
              <w:rPr>
                <w:sz w:val="20"/>
                <w:szCs w:val="20"/>
                <w:color w:val="auto"/>
              </w:rPr>
            </w:pPr>
            <w:r>
              <w:rPr>
                <w:rFonts w:ascii="Arial" w:cs="Arial" w:eastAsia="Arial" w:hAnsi="Arial"/>
                <w:sz w:val="18"/>
                <w:szCs w:val="18"/>
                <w:color w:val="auto"/>
              </w:rPr>
              <w:t>I-1</w:t>
            </w:r>
          </w:p>
        </w:tc>
      </w:tr>
      <w:tr>
        <w:trPr>
          <w:trHeight w:val="131"/>
        </w:trPr>
        <w:tc>
          <w:tcPr>
            <w:tcW w:w="3220" w:type="dxa"/>
            <w:vAlign w:val="bottom"/>
            <w:tcBorders>
              <w:bottom w:val="single" w:sz="8" w:color="010101"/>
            </w:tcBorders>
          </w:tcPr>
          <w:p>
            <w:pPr>
              <w:spacing w:after="0"/>
              <w:rPr>
                <w:sz w:val="11"/>
                <w:szCs w:val="11"/>
                <w:color w:val="auto"/>
              </w:rPr>
            </w:pPr>
          </w:p>
        </w:tc>
        <w:tc>
          <w:tcPr>
            <w:tcW w:w="8240" w:type="dxa"/>
            <w:vAlign w:val="bottom"/>
            <w:tcBorders>
              <w:bottom w:val="single" w:sz="8" w:color="010101"/>
            </w:tcBorders>
          </w:tcPr>
          <w:p>
            <w:pPr>
              <w:spacing w:after="0"/>
              <w:rPr>
                <w:sz w:val="11"/>
                <w:szCs w:val="11"/>
                <w:color w:val="auto"/>
              </w:rPr>
            </w:pPr>
          </w:p>
        </w:tc>
      </w:tr>
      <w:tr>
        <w:trPr>
          <w:trHeight w:val="761"/>
        </w:trPr>
        <w:tc>
          <w:tcPr>
            <w:tcW w:w="3220" w:type="dxa"/>
            <w:vAlign w:val="bottom"/>
          </w:tcPr>
          <w:p>
            <w:pPr>
              <w:spacing w:after="0"/>
              <w:rPr>
                <w:sz w:val="24"/>
                <w:szCs w:val="24"/>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w w:val="93"/>
              </w:rPr>
              <w:t>payable by the Issuer of approximately $10.3 million, will be approximately $239.7 million (or approximately</w:t>
            </w:r>
          </w:p>
        </w:tc>
      </w:tr>
      <w:tr>
        <w:trPr>
          <w:trHeight w:val="229"/>
        </w:trPr>
        <w:tc>
          <w:tcPr>
            <w:tcW w:w="32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rPr>
              <w:t>$275.7 million if the underwriters exercise their over-allotment option in full).</w:t>
            </w:r>
          </w:p>
        </w:tc>
      </w:tr>
      <w:tr>
        <w:trPr>
          <w:trHeight w:val="415"/>
        </w:trPr>
        <w:tc>
          <w:tcPr>
            <w:tcW w:w="3220" w:type="dxa"/>
            <w:vAlign w:val="bottom"/>
          </w:tcPr>
          <w:p>
            <w:pPr>
              <w:spacing w:after="0"/>
              <w:rPr>
                <w:sz w:val="24"/>
                <w:szCs w:val="24"/>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w w:val="94"/>
              </w:rPr>
              <w:t>The net proceeds from this offering will be used for general corporate purposes, including working capital,</w:t>
            </w:r>
          </w:p>
        </w:tc>
      </w:tr>
      <w:tr>
        <w:trPr>
          <w:trHeight w:val="215"/>
        </w:trPr>
        <w:tc>
          <w:tcPr>
            <w:tcW w:w="32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w w:val="91"/>
              </w:rPr>
              <w:t>capital expenditures, potential acquisitions and strategic transactions. From time to time, the Issuer evaluates</w:t>
            </w:r>
          </w:p>
        </w:tc>
      </w:tr>
      <w:tr>
        <w:trPr>
          <w:trHeight w:val="215"/>
        </w:trPr>
        <w:tc>
          <w:tcPr>
            <w:tcW w:w="3220" w:type="dxa"/>
            <w:vAlign w:val="bottom"/>
          </w:tcPr>
          <w:p>
            <w:pPr>
              <w:spacing w:after="0"/>
              <w:rPr>
                <w:sz w:val="18"/>
                <w:szCs w:val="18"/>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w w:val="91"/>
              </w:rPr>
              <w:t>potential acquisitions and strategic transactions of businesses, technologies or products. Currently, however,</w:t>
            </w:r>
          </w:p>
        </w:tc>
      </w:tr>
      <w:tr>
        <w:trPr>
          <w:trHeight w:val="229"/>
        </w:trPr>
        <w:tc>
          <w:tcPr>
            <w:tcW w:w="3220" w:type="dxa"/>
            <w:vAlign w:val="bottom"/>
          </w:tcPr>
          <w:p>
            <w:pPr>
              <w:spacing w:after="0"/>
              <w:rPr>
                <w:sz w:val="19"/>
                <w:szCs w:val="19"/>
                <w:color w:val="auto"/>
              </w:rPr>
            </w:pPr>
          </w:p>
        </w:tc>
        <w:tc>
          <w:tcPr>
            <w:tcW w:w="8240" w:type="dxa"/>
            <w:vAlign w:val="bottom"/>
          </w:tcPr>
          <w:p>
            <w:pPr>
              <w:ind w:left="300"/>
              <w:spacing w:after="0"/>
              <w:rPr>
                <w:sz w:val="20"/>
                <w:szCs w:val="20"/>
                <w:color w:val="auto"/>
              </w:rPr>
            </w:pPr>
            <w:r>
              <w:rPr>
                <w:rFonts w:ascii="Arial" w:cs="Arial" w:eastAsia="Arial" w:hAnsi="Arial"/>
                <w:sz w:val="18"/>
                <w:szCs w:val="18"/>
                <w:color w:val="auto"/>
                <w:w w:val="92"/>
              </w:rPr>
              <w:t>the Issuer does not have any agreements with respect to any material acquisitions or strategic transactions.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-1340485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-1340485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Offering of Convertible Senior Notes</w:t>
      </w:r>
    </w:p>
    <w:p>
      <w:pPr>
        <w:spacing w:after="0" w:line="223" w:lineRule="exact"/>
        <w:rPr>
          <w:sz w:val="20"/>
          <w:szCs w:val="20"/>
          <w:color w:val="auto"/>
        </w:rPr>
      </w:pPr>
    </w:p>
    <w:p>
      <w:pPr>
        <w:ind w:right="120" w:firstLine="645"/>
        <w:spacing w:after="0" w:line="272" w:lineRule="auto"/>
        <w:rPr>
          <w:sz w:val="20"/>
          <w:szCs w:val="20"/>
          <w:color w:val="auto"/>
        </w:rPr>
      </w:pPr>
      <w:r>
        <w:rPr>
          <w:rFonts w:ascii="Arial" w:cs="Arial" w:eastAsia="Arial" w:hAnsi="Arial"/>
          <w:sz w:val="17"/>
          <w:szCs w:val="17"/>
          <w:color w:val="auto"/>
        </w:rPr>
        <w:t>Concurrently with this offering of common stock, pursuant to a separate prospectus supplement, we priced an underwritten public offering of $200 million aggregate principal amount of 4.25% convertible senior notes due October 15, 2013 (or $230 million aggregate principal amount of 4.25% convertible senior notes due October 15, 2013 if the underwriters exercise their over-allotment option in full) (the “Convertible Senior Notes Offering”). Neither the completion of this offering nor of the Convertible Senior Notes Offering is contingent on the completion of the other. Assuming no exercise of the underwriters’ over-allotment option with respect to the Convertible Senior Notes Offering, the net proceeds of the Convertible Senior Notes Offering, after deducting the underwriting discount and estimated expenses, will be approximately $194.2 million.</w:t>
      </w:r>
    </w:p>
    <w:p>
      <w:pPr>
        <w:spacing w:after="0" w:line="175" w:lineRule="exact"/>
        <w:rPr>
          <w:sz w:val="20"/>
          <w:szCs w:val="20"/>
          <w:color w:val="auto"/>
        </w:rPr>
      </w:pPr>
    </w:p>
    <w:p>
      <w:pPr>
        <w:ind w:right="60" w:firstLine="645"/>
        <w:spacing w:after="0" w:line="257" w:lineRule="auto"/>
        <w:rPr>
          <w:sz w:val="20"/>
          <w:szCs w:val="20"/>
          <w:color w:val="auto"/>
        </w:rPr>
      </w:pPr>
      <w:r>
        <w:rPr>
          <w:rFonts w:ascii="Arial" w:cs="Arial" w:eastAsia="Arial" w:hAnsi="Arial"/>
          <w:sz w:val="18"/>
          <w:szCs w:val="18"/>
          <w:color w:val="auto"/>
        </w:rPr>
        <w:t>The convertible senior notes will be convertible at the holder’s option into shares of the Issuer’s common stock at a conversion rate of 196.7052 shares of common stock per $1,000 principal amount of convertible senior notes, which is equivalent to a conversion price of approximately $5.08 per share of the Issuer’s common stock, subject to adjustment in certain circumstances. This initial conversion price represents a premium of approximately 22.50% relative to the public offering price of the Issuer’s common stock of $4.15 per share.</w:t>
      </w:r>
    </w:p>
    <w:p>
      <w:pPr>
        <w:spacing w:after="0" w:line="188" w:lineRule="exact"/>
        <w:rPr>
          <w:sz w:val="20"/>
          <w:szCs w:val="20"/>
          <w:color w:val="auto"/>
        </w:rPr>
      </w:pPr>
    </w:p>
    <w:p>
      <w:pPr>
        <w:ind w:right="60" w:firstLine="645"/>
        <w:spacing w:after="0" w:line="262" w:lineRule="auto"/>
        <w:rPr>
          <w:sz w:val="20"/>
          <w:szCs w:val="20"/>
          <w:color w:val="auto"/>
        </w:rPr>
      </w:pPr>
      <w:r>
        <w:rPr>
          <w:rFonts w:ascii="Arial" w:cs="Arial" w:eastAsia="Arial" w:hAnsi="Arial"/>
          <w:sz w:val="18"/>
          <w:szCs w:val="18"/>
          <w:color w:val="auto"/>
        </w:rPr>
        <w:t>In connection with the Convertible Senior Note Offering, the Issuer entered into capped call transactions with counterparties, which are affiliated with some of the underwriters of the offering. The capped call transactions cover, subject to anti-dilution adjustments, approximately 39.3 million shares (or approximately 45.2 million shares if the underwriters of the Convertible Senior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Notes Offering exercise their over-allotment option in full) of the Issuer’s common stock. The Issuer estimates the cost of the capped call transactions to be approximately $21.5 million, or $24.7 million if the underwriters of the Convertible Senior Notes Offering exercise their over-allotment option in full. The capped call transactions are expected to reduce the potential dilution upon conversion of the convertible senior notes. The capped call transactions have a capped price that is 60% higher than the public offering price of the Issuer’s common stock in this offering. In connection with establishing their initial hedge of these capped call transactions, the Issuer expects that the counterparties will enter into various over-the-counter derivative transactions with respect to the Issuer’s common stock concurrently with, or shortly after, the pricing of the convertible senior notes and may unwind or enter into various over-the-counter derivatives and/or purchase the Issuer’s common stock in secondary market transactions after the pricing of the convertible senior notes. These activities could have the effect of increasing or preventing a decline in the price of the Issuer’s common stock concurrently with or following the pricing of the convertible senior notes. In addition, the counterparties may modify or unwind their hedge positions by entering into or unwinding various derivative transactions and/or purchasing or selling the Issuer’s common stock in secondary market transactions prior to maturity of the convertible senior notes (and are likely to do so on each exercise date of the capped call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Modifications to the Preliminary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1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March 5, 2009</w:t>
      </w:r>
    </w:p>
    <w:p>
      <w:pPr>
        <w:spacing w:after="0" w:line="9" w:lineRule="exact"/>
        <w:rPr>
          <w:sz w:val="20"/>
          <w:szCs w:val="20"/>
          <w:color w:val="auto"/>
        </w:rPr>
      </w:pPr>
    </w:p>
    <w:tbl>
      <w:tblPr>
        <w:tblLayout w:type="fixed"/>
        <w:tblInd w:w="6980" w:type="dxa"/>
        <w:tblCellMar>
          <w:top w:w="0" w:type="dxa"/>
          <w:left w:w="0" w:type="dxa"/>
          <w:bottom w:w="0" w:type="dxa"/>
          <w:right w:w="0" w:type="dxa"/>
        </w:tblCellMar>
      </w:tblPr>
      <w:tr>
        <w:trPr>
          <w:trHeight w:val="118"/>
        </w:trPr>
        <w:tc>
          <w:tcPr>
            <w:tcW w:w="1340" w:type="dxa"/>
            <w:vAlign w:val="bottom"/>
            <w:tcBorders>
              <w:top w:val="single" w:sz="8" w:color="auto"/>
            </w:tcBorders>
          </w:tcPr>
          <w:p>
            <w:pPr>
              <w:ind w:left="440"/>
              <w:spacing w:after="0" w:line="119" w:lineRule="exact"/>
              <w:rPr>
                <w:sz w:val="20"/>
                <w:szCs w:val="20"/>
                <w:color w:val="auto"/>
              </w:rPr>
            </w:pPr>
            <w:r>
              <w:rPr>
                <w:rFonts w:ascii="Arial" w:cs="Arial" w:eastAsia="Arial" w:hAnsi="Arial"/>
                <w:sz w:val="13"/>
                <w:szCs w:val="13"/>
                <w:b w:val="1"/>
                <w:bCs w:val="1"/>
                <w:color w:val="auto"/>
              </w:rPr>
              <w:t>Actual</w:t>
            </w:r>
          </w:p>
        </w:tc>
        <w:tc>
          <w:tcPr>
            <w:tcW w:w="1560" w:type="dxa"/>
            <w:vAlign w:val="bottom"/>
            <w:tcBorders>
              <w:top w:val="single" w:sz="8" w:color="auto"/>
            </w:tcBorders>
          </w:tcPr>
          <w:p>
            <w:pPr>
              <w:jc w:val="center"/>
              <w:ind w:left="70"/>
              <w:spacing w:after="0" w:line="119" w:lineRule="exact"/>
              <w:rPr>
                <w:sz w:val="20"/>
                <w:szCs w:val="20"/>
                <w:color w:val="auto"/>
              </w:rPr>
            </w:pPr>
            <w:r>
              <w:rPr>
                <w:rFonts w:ascii="Arial" w:cs="Arial" w:eastAsia="Arial" w:hAnsi="Arial"/>
                <w:sz w:val="13"/>
                <w:szCs w:val="13"/>
                <w:b w:val="1"/>
                <w:bCs w:val="1"/>
                <w:color w:val="auto"/>
                <w:w w:val="97"/>
              </w:rPr>
              <w:t>As Adjusted</w:t>
            </w:r>
          </w:p>
        </w:tc>
        <w:tc>
          <w:tcPr>
            <w:tcW w:w="1440" w:type="dxa"/>
            <w:vAlign w:val="bottom"/>
            <w:tcBorders>
              <w:top w:val="single" w:sz="8" w:color="auto"/>
            </w:tcBorders>
          </w:tcPr>
          <w:p>
            <w:pPr>
              <w:jc w:val="center"/>
              <w:ind w:left="110"/>
              <w:spacing w:after="0" w:line="119" w:lineRule="exact"/>
              <w:rPr>
                <w:sz w:val="20"/>
                <w:szCs w:val="20"/>
                <w:color w:val="auto"/>
              </w:rPr>
            </w:pPr>
            <w:r>
              <w:rPr>
                <w:rFonts w:ascii="Arial" w:cs="Arial" w:eastAsia="Arial" w:hAnsi="Arial"/>
                <w:sz w:val="13"/>
                <w:szCs w:val="13"/>
                <w:b w:val="1"/>
                <w:bCs w:val="1"/>
                <w:color w:val="auto"/>
                <w:w w:val="97"/>
              </w:rPr>
              <w:t>As Adjusted</w:t>
            </w:r>
          </w:p>
        </w:tc>
      </w:tr>
      <w:tr>
        <w:trPr>
          <w:trHeight w:val="148"/>
        </w:trPr>
        <w:tc>
          <w:tcPr>
            <w:tcW w:w="1340" w:type="dxa"/>
            <w:vAlign w:val="bottom"/>
          </w:tcPr>
          <w:p>
            <w:pPr>
              <w:spacing w:after="0"/>
              <w:rPr>
                <w:sz w:val="12"/>
                <w:szCs w:val="12"/>
                <w:color w:val="auto"/>
              </w:rPr>
            </w:pPr>
          </w:p>
        </w:tc>
        <w:tc>
          <w:tcPr>
            <w:tcW w:w="1560" w:type="dxa"/>
            <w:vAlign w:val="bottom"/>
          </w:tcPr>
          <w:p>
            <w:pPr>
              <w:jc w:val="center"/>
              <w:ind w:left="90"/>
              <w:spacing w:after="0" w:line="148" w:lineRule="exact"/>
              <w:rPr>
                <w:sz w:val="20"/>
                <w:szCs w:val="20"/>
                <w:color w:val="auto"/>
              </w:rPr>
            </w:pPr>
            <w:r>
              <w:rPr>
                <w:rFonts w:ascii="Arial" w:cs="Arial" w:eastAsia="Arial" w:hAnsi="Arial"/>
                <w:sz w:val="14"/>
                <w:szCs w:val="14"/>
                <w:b w:val="1"/>
                <w:bCs w:val="1"/>
                <w:color w:val="auto"/>
                <w:w w:val="92"/>
              </w:rPr>
              <w:t>for this</w:t>
            </w:r>
          </w:p>
        </w:tc>
        <w:tc>
          <w:tcPr>
            <w:tcW w:w="1440" w:type="dxa"/>
            <w:vAlign w:val="bottom"/>
          </w:tcPr>
          <w:p>
            <w:pPr>
              <w:jc w:val="center"/>
              <w:ind w:left="130"/>
              <w:spacing w:after="0" w:line="148" w:lineRule="exact"/>
              <w:rPr>
                <w:sz w:val="20"/>
                <w:szCs w:val="20"/>
                <w:color w:val="auto"/>
              </w:rPr>
            </w:pPr>
            <w:r>
              <w:rPr>
                <w:rFonts w:ascii="Arial" w:cs="Arial" w:eastAsia="Arial" w:hAnsi="Arial"/>
                <w:sz w:val="14"/>
                <w:szCs w:val="14"/>
                <w:b w:val="1"/>
                <w:bCs w:val="1"/>
                <w:color w:val="auto"/>
                <w:w w:val="92"/>
              </w:rPr>
              <w:t>for this</w:t>
            </w:r>
          </w:p>
        </w:tc>
      </w:tr>
      <w:tr>
        <w:trPr>
          <w:trHeight w:val="148"/>
        </w:trPr>
        <w:tc>
          <w:tcPr>
            <w:tcW w:w="1340" w:type="dxa"/>
            <w:vAlign w:val="bottom"/>
          </w:tcPr>
          <w:p>
            <w:pPr>
              <w:spacing w:after="0"/>
              <w:rPr>
                <w:sz w:val="12"/>
                <w:szCs w:val="12"/>
                <w:color w:val="auto"/>
              </w:rPr>
            </w:pPr>
          </w:p>
        </w:tc>
        <w:tc>
          <w:tcPr>
            <w:tcW w:w="1560" w:type="dxa"/>
            <w:vAlign w:val="bottom"/>
          </w:tcPr>
          <w:p>
            <w:pPr>
              <w:jc w:val="center"/>
              <w:ind w:left="70"/>
              <w:spacing w:after="0" w:line="148" w:lineRule="exact"/>
              <w:rPr>
                <w:sz w:val="20"/>
                <w:szCs w:val="20"/>
                <w:color w:val="auto"/>
              </w:rPr>
            </w:pPr>
            <w:r>
              <w:rPr>
                <w:rFonts w:ascii="Arial" w:cs="Arial" w:eastAsia="Arial" w:hAnsi="Arial"/>
                <w:sz w:val="14"/>
                <w:szCs w:val="14"/>
                <w:b w:val="1"/>
                <w:bCs w:val="1"/>
                <w:color w:val="auto"/>
                <w:w w:val="99"/>
              </w:rPr>
              <w:t>Offering</w:t>
            </w:r>
          </w:p>
        </w:tc>
        <w:tc>
          <w:tcPr>
            <w:tcW w:w="1440" w:type="dxa"/>
            <w:vAlign w:val="bottom"/>
          </w:tcPr>
          <w:p>
            <w:pPr>
              <w:jc w:val="center"/>
              <w:ind w:left="130"/>
              <w:spacing w:after="0" w:line="148" w:lineRule="exact"/>
              <w:rPr>
                <w:sz w:val="20"/>
                <w:szCs w:val="20"/>
                <w:color w:val="auto"/>
              </w:rPr>
            </w:pPr>
            <w:r>
              <w:rPr>
                <w:rFonts w:ascii="Arial" w:cs="Arial" w:eastAsia="Arial" w:hAnsi="Arial"/>
                <w:sz w:val="14"/>
                <w:szCs w:val="14"/>
                <w:b w:val="1"/>
                <w:bCs w:val="1"/>
                <w:color w:val="auto"/>
                <w:w w:val="96"/>
              </w:rPr>
              <w:t>Offering and</w:t>
            </w:r>
          </w:p>
        </w:tc>
      </w:tr>
      <w:tr>
        <w:trPr>
          <w:trHeight w:val="186"/>
        </w:trPr>
        <w:tc>
          <w:tcPr>
            <w:tcW w:w="1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tcPr>
          <w:p>
            <w:pPr>
              <w:jc w:val="center"/>
              <w:ind w:left="110"/>
              <w:spacing w:after="0"/>
              <w:rPr>
                <w:sz w:val="20"/>
                <w:szCs w:val="20"/>
                <w:color w:val="auto"/>
              </w:rPr>
            </w:pPr>
            <w:r>
              <w:rPr>
                <w:rFonts w:ascii="Arial" w:cs="Arial" w:eastAsia="Arial" w:hAnsi="Arial"/>
                <w:sz w:val="14"/>
                <w:szCs w:val="14"/>
                <w:b w:val="1"/>
                <w:bCs w:val="1"/>
                <w:color w:val="auto"/>
                <w:w w:val="93"/>
              </w:rPr>
              <w:t>the Concurrent</w:t>
            </w:r>
          </w:p>
        </w:tc>
      </w:tr>
    </w:tbl>
    <w:p>
      <w:pPr>
        <w:sectPr>
          <w:pgSz w:w="11900" w:h="16924" w:orient="portrait"/>
          <w:cols w:equalWidth="0" w:num="1">
            <w:col w:w="11460"/>
          </w:cols>
          <w:pgMar w:left="240" w:top="121" w:right="19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Convertible</w:t>
            </w:r>
          </w:p>
        </w:tc>
        <w:tc>
          <w:tcPr>
            <w:tcW w:w="40" w:type="dxa"/>
            <w:vAlign w:val="bottom"/>
          </w:tcPr>
          <w:p>
            <w:pPr>
              <w:spacing w:after="0"/>
              <w:rPr>
                <w:sz w:val="14"/>
                <w:szCs w:val="14"/>
                <w:color w:val="auto"/>
              </w:rPr>
            </w:pPr>
          </w:p>
        </w:tc>
      </w:tr>
      <w:tr>
        <w:trPr>
          <w:trHeight w:val="148"/>
        </w:trPr>
        <w:tc>
          <w:tcPr>
            <w:tcW w:w="6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Senior Note</w:t>
            </w:r>
          </w:p>
        </w:tc>
        <w:tc>
          <w:tcPr>
            <w:tcW w:w="40" w:type="dxa"/>
            <w:vAlign w:val="bottom"/>
          </w:tcPr>
          <w:p>
            <w:pPr>
              <w:spacing w:after="0"/>
              <w:rPr>
                <w:sz w:val="12"/>
                <w:szCs w:val="12"/>
                <w:color w:val="auto"/>
              </w:rPr>
            </w:pPr>
          </w:p>
        </w:tc>
      </w:tr>
      <w:tr>
        <w:trPr>
          <w:trHeight w:val="148"/>
        </w:trPr>
        <w:tc>
          <w:tcPr>
            <w:tcW w:w="6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Offering and</w:t>
            </w:r>
          </w:p>
        </w:tc>
        <w:tc>
          <w:tcPr>
            <w:tcW w:w="40" w:type="dxa"/>
            <w:vAlign w:val="bottom"/>
          </w:tcPr>
          <w:p>
            <w:pPr>
              <w:spacing w:after="0"/>
              <w:rPr>
                <w:sz w:val="12"/>
                <w:szCs w:val="12"/>
                <w:color w:val="auto"/>
              </w:rPr>
            </w:pPr>
          </w:p>
        </w:tc>
      </w:tr>
      <w:tr>
        <w:trPr>
          <w:trHeight w:val="148"/>
        </w:trPr>
        <w:tc>
          <w:tcPr>
            <w:tcW w:w="6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the Capped</w:t>
            </w:r>
          </w:p>
        </w:tc>
        <w:tc>
          <w:tcPr>
            <w:tcW w:w="40" w:type="dxa"/>
            <w:vAlign w:val="bottom"/>
          </w:tcPr>
          <w:p>
            <w:pPr>
              <w:spacing w:after="0"/>
              <w:rPr>
                <w:sz w:val="12"/>
                <w:szCs w:val="12"/>
                <w:color w:val="auto"/>
              </w:rPr>
            </w:pPr>
          </w:p>
        </w:tc>
      </w:tr>
      <w:tr>
        <w:trPr>
          <w:trHeight w:val="148"/>
        </w:trPr>
        <w:tc>
          <w:tcPr>
            <w:tcW w:w="6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Call</w:t>
            </w:r>
          </w:p>
        </w:tc>
        <w:tc>
          <w:tcPr>
            <w:tcW w:w="40" w:type="dxa"/>
            <w:vAlign w:val="bottom"/>
          </w:tcPr>
          <w:p>
            <w:pPr>
              <w:spacing w:after="0"/>
              <w:rPr>
                <w:sz w:val="12"/>
                <w:szCs w:val="12"/>
                <w:color w:val="auto"/>
              </w:rPr>
            </w:pPr>
          </w:p>
        </w:tc>
      </w:tr>
      <w:tr>
        <w:trPr>
          <w:trHeight w:val="170"/>
        </w:trPr>
        <w:tc>
          <w:tcPr>
            <w:tcW w:w="6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Transactions</w:t>
            </w:r>
          </w:p>
        </w:tc>
        <w:tc>
          <w:tcPr>
            <w:tcW w:w="40" w:type="dxa"/>
            <w:vAlign w:val="bottom"/>
          </w:tcPr>
          <w:p>
            <w:pPr>
              <w:spacing w:after="0"/>
              <w:rPr>
                <w:sz w:val="14"/>
                <w:szCs w:val="14"/>
                <w:color w:val="auto"/>
              </w:rPr>
            </w:pPr>
          </w:p>
        </w:tc>
      </w:tr>
      <w:tr>
        <w:trPr>
          <w:trHeight w:val="141"/>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40" w:type="dxa"/>
            <w:vAlign w:val="bottom"/>
          </w:tcPr>
          <w:p>
            <w:pPr>
              <w:spacing w:after="0"/>
              <w:rPr>
                <w:sz w:val="20"/>
                <w:szCs w:val="20"/>
                <w:color w:val="auto"/>
              </w:rPr>
            </w:pPr>
          </w:p>
        </w:tc>
      </w:tr>
      <w:tr>
        <w:trPr>
          <w:trHeight w:val="202"/>
        </w:trPr>
        <w:tc>
          <w:tcPr>
            <w:tcW w:w="6980" w:type="dxa"/>
            <w:vAlign w:val="bottom"/>
            <w:tcBorders>
              <w:top w:val="single" w:sz="8" w:color="CCEEFF"/>
              <w:bottom w:val="single" w:sz="8" w:color="CCEEFF"/>
            </w:tcBorders>
          </w:tcPr>
          <w:p>
            <w:pPr>
              <w:spacing w:after="0" w:line="201" w:lineRule="exact"/>
              <w:rPr>
                <w:sz w:val="20"/>
                <w:szCs w:val="20"/>
                <w:color w:val="auto"/>
              </w:rPr>
            </w:pPr>
            <w:r>
              <w:rPr>
                <w:rFonts w:ascii="Arial" w:cs="Arial" w:eastAsia="Arial" w:hAnsi="Arial"/>
                <w:sz w:val="18"/>
                <w:szCs w:val="18"/>
                <w:color w:val="auto"/>
              </w:rPr>
              <w:t>Current portion of long-term debt and capital lease obligations</w:t>
            </w:r>
          </w:p>
        </w:tc>
        <w:tc>
          <w:tcPr>
            <w:tcW w:w="460" w:type="dxa"/>
            <w:vAlign w:val="bottom"/>
            <w:tcBorders>
              <w:top w:val="single" w:sz="8" w:color="auto"/>
              <w:bottom w:val="single" w:sz="8" w:color="auto"/>
            </w:tcBorders>
          </w:tcPr>
          <w:p>
            <w:pPr>
              <w:jc w:val="right"/>
              <w:ind w:right="271"/>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353</w:t>
            </w:r>
          </w:p>
        </w:tc>
        <w:tc>
          <w:tcPr>
            <w:tcW w:w="28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353</w:t>
            </w:r>
          </w:p>
        </w:tc>
        <w:tc>
          <w:tcPr>
            <w:tcW w:w="16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353</w:t>
            </w:r>
          </w:p>
        </w:tc>
        <w:tc>
          <w:tcPr>
            <w:tcW w:w="100" w:type="dxa"/>
            <w:vAlign w:val="bottom"/>
            <w:tcBorders>
              <w:top w:val="single" w:sz="8" w:color="CCEEFF"/>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4.25% convertible senior notes due October 15, 2013</w:t>
            </w:r>
          </w:p>
        </w:tc>
        <w:tc>
          <w:tcPr>
            <w:tcW w:w="4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 excluding current portion</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c>
          <w:tcPr>
            <w:tcW w:w="40" w:type="dxa"/>
            <w:vAlign w:val="bottom"/>
          </w:tcPr>
          <w:p>
            <w:pPr>
              <w:spacing w:after="0"/>
              <w:rPr>
                <w:sz w:val="18"/>
                <w:szCs w:val="18"/>
                <w:color w:val="auto"/>
              </w:rPr>
            </w:pPr>
          </w:p>
        </w:tc>
      </w:tr>
      <w:tr>
        <w:trPr>
          <w:trHeight w:val="208"/>
        </w:trPr>
        <w:tc>
          <w:tcPr>
            <w:tcW w:w="6980" w:type="dxa"/>
            <w:vAlign w:val="bottom"/>
          </w:tcPr>
          <w:p>
            <w:pPr>
              <w:ind w:left="180"/>
              <w:spacing w:after="0"/>
              <w:rPr>
                <w:sz w:val="20"/>
                <w:szCs w:val="20"/>
                <w:color w:val="auto"/>
              </w:rPr>
            </w:pPr>
            <w:r>
              <w:rPr>
                <w:rFonts w:ascii="Arial" w:cs="Arial" w:eastAsia="Arial" w:hAnsi="Arial"/>
                <w:sz w:val="18"/>
                <w:szCs w:val="18"/>
                <w:color w:val="auto"/>
              </w:rPr>
              <w:t>Total long-term debt and capital leases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Noncontrolli</w:t>
            </w:r>
            <w:r>
              <w:rPr>
                <w:rFonts w:ascii="Arial" w:cs="Arial" w:eastAsia="Arial" w:hAnsi="Arial"/>
                <w:sz w:val="17"/>
                <w:szCs w:val="17"/>
                <w:color w:val="auto"/>
              </w:rPr>
              <w:t>ng interests in subsidiaries</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$0.10 per share, 3,000 million shares authorized; 777.5 million</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outstanding(1)</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Additional capital</w:t>
            </w:r>
          </w:p>
        </w:tc>
        <w:tc>
          <w:tcPr>
            <w:tcW w:w="4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6,584</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6,796</w:t>
            </w:r>
          </w:p>
        </w:tc>
        <w:tc>
          <w:tcPr>
            <w:tcW w:w="4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w:t>
            </w:r>
          </w:p>
        </w:tc>
        <w:tc>
          <w:tcPr>
            <w:tcW w:w="40" w:type="dxa"/>
            <w:vAlign w:val="bottom"/>
          </w:tcPr>
          <w:p>
            <w:pPr>
              <w:spacing w:after="0"/>
              <w:rPr>
                <w:sz w:val="18"/>
                <w:szCs w:val="18"/>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08"/>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698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9,981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10,221</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10,399</w:t>
            </w:r>
          </w:p>
        </w:tc>
        <w:tc>
          <w:tcPr>
            <w:tcW w:w="40" w:type="dxa"/>
            <w:vAlign w:val="bottom"/>
          </w:tcPr>
          <w:p>
            <w:pPr>
              <w:spacing w:after="0"/>
              <w:rPr>
                <w:sz w:val="19"/>
                <w:szCs w:val="19"/>
                <w:color w:val="auto"/>
              </w:rPr>
            </w:pPr>
          </w:p>
        </w:tc>
      </w:tr>
      <w:tr>
        <w:trPr>
          <w:trHeight w:val="430"/>
        </w:trPr>
        <w:tc>
          <w:tcPr>
            <w:tcW w:w="6980" w:type="dxa"/>
            <w:vAlign w:val="bottom"/>
          </w:tcPr>
          <w:p>
            <w:pPr>
              <w:ind w:left="5600"/>
              <w:spacing w:after="0"/>
              <w:rPr>
                <w:sz w:val="20"/>
                <w:szCs w:val="20"/>
                <w:color w:val="auto"/>
              </w:rPr>
            </w:pPr>
            <w:r>
              <w:rPr>
                <w:rFonts w:ascii="Arial" w:cs="Arial" w:eastAsia="Arial" w:hAnsi="Arial"/>
                <w:sz w:val="18"/>
                <w:szCs w:val="18"/>
                <w:color w:val="auto"/>
              </w:rPr>
              <w:t>I-3</w:t>
            </w: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9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424180</wp:posOffset>
            </wp:positionV>
            <wp:extent cx="1781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1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right="80" w:hanging="313"/>
        <w:spacing w:after="0" w:line="300" w:lineRule="auto"/>
        <w:tabs>
          <w:tab w:leader="none" w:pos="341" w:val="left"/>
        </w:tabs>
        <w:numPr>
          <w:ilvl w:val="0"/>
          <w:numId w:val="79"/>
        </w:numPr>
        <w:rPr>
          <w:rFonts w:ascii="Arial" w:cs="Arial" w:eastAsia="Arial" w:hAnsi="Arial"/>
          <w:sz w:val="16"/>
          <w:szCs w:val="16"/>
          <w:color w:val="auto"/>
        </w:rPr>
      </w:pPr>
      <w:r>
        <w:rPr>
          <w:rFonts w:ascii="Arial" w:cs="Arial" w:eastAsia="Arial" w:hAnsi="Arial"/>
          <w:sz w:val="16"/>
          <w:szCs w:val="16"/>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notes offered hereby and shares of common stock issuable upon conversion, if any, of the 1.875% convertible senior notes due 2014.</w:t>
      </w:r>
    </w:p>
    <w:p>
      <w:pPr>
        <w:spacing w:after="0" w:line="15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a related preliminary prospectus supplement) with the U.S. Securities and Exchange Commission (SEC) for the offering to which this communication relates. Before you invest, you should read the preliminary prospectus supplement, the accompanying prospectus in the registration statement and the other documents the Issuer has filed with the SEC for more complete information about the Issuer and the offering. You may get these documents for free by visiting IDEA on the SEC’s web 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Alternatively, either preliminary prospectus supplement may be obtained from Morgan Stanley &amp; Co. Incorporated, Attn: Prospectus Department, 180 Varick Street 2/F, New York, NY 10014, call toll-free 1-866-718-1649, or email prospectus@morganstanley.com; from Goldman, Sachs &amp; Co., Attn: Prospectus Department, 85 Broad Street, New York, NY 10004, call toll-free 1-866-471-2526, or fax 212-902-9316, or email prospectus-ny@ny.email.gs.com; or from Deutsche Bank Securities Inc., Attn: Prospectus Department, 100 Plaza One, Jersey City, New Jersey 07311, telephone: (800) 503-4611, email: prospectusrequest@list.db.com.</w:t>
      </w:r>
    </w:p>
    <w:p>
      <w:pPr>
        <w:spacing w:after="0" w:line="18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ind w:left="32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Number of Firm</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Number of Additional</w:t>
            </w: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8"/>
              </w:rPr>
              <w:t>Securities to be</w:t>
            </w:r>
          </w:p>
        </w:tc>
        <w:tc>
          <w:tcPr>
            <w:tcW w:w="152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0"/>
        </w:trPr>
        <w:tc>
          <w:tcPr>
            <w:tcW w:w="4180" w:type="dxa"/>
            <w:vAlign w:val="bottom"/>
            <w:gridSpan w:val="2"/>
            <w:vMerge w:val="continue"/>
          </w:tcPr>
          <w:p>
            <w:pPr>
              <w:spacing w:after="0"/>
              <w:rPr>
                <w:sz w:val="14"/>
                <w:szCs w:val="14"/>
                <w:color w:val="auto"/>
              </w:rPr>
            </w:pPr>
          </w:p>
        </w:tc>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Morgan Stanley &amp; Co. Incorporated</w:t>
            </w:r>
          </w:p>
        </w:tc>
        <w:tc>
          <w:tcPr>
            <w:tcW w:w="3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27,538,716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4,130,807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Goldman, Sachs &amp; Co.</w:t>
            </w:r>
          </w:p>
        </w:tc>
        <w:tc>
          <w:tcPr>
            <w:tcW w:w="5760" w:type="dxa"/>
            <w:vAlign w:val="bottom"/>
            <w:gridSpan w:val="4"/>
          </w:tcPr>
          <w:p>
            <w:pPr>
              <w:jc w:val="right"/>
              <w:ind w:right="280"/>
              <w:spacing w:after="0"/>
              <w:rPr>
                <w:sz w:val="20"/>
                <w:szCs w:val="20"/>
                <w:color w:val="auto"/>
              </w:rPr>
            </w:pPr>
            <w:r>
              <w:rPr>
                <w:rFonts w:ascii="Arial" w:cs="Arial" w:eastAsia="Arial" w:hAnsi="Arial"/>
                <w:sz w:val="18"/>
                <w:szCs w:val="18"/>
                <w:color w:val="auto"/>
              </w:rPr>
              <w:t>27,538,716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4,130,807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Deutsche Bank Securities Inc.</w:t>
            </w:r>
          </w:p>
        </w:tc>
        <w:tc>
          <w:tcPr>
            <w:tcW w:w="5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5,162,568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60,240,000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20" w:type="dxa"/>
            <w:vAlign w:val="bottom"/>
            <w:gridSpan w:val="2"/>
          </w:tcPr>
          <w:p>
            <w:pPr>
              <w:ind w:left="1400"/>
              <w:spacing w:after="0"/>
              <w:rPr>
                <w:sz w:val="20"/>
                <w:szCs w:val="20"/>
                <w:color w:val="auto"/>
              </w:rPr>
            </w:pPr>
            <w:r>
              <w:rPr>
                <w:rFonts w:ascii="Arial" w:cs="Arial" w:eastAsia="Arial" w:hAnsi="Arial"/>
                <w:sz w:val="18"/>
                <w:szCs w:val="18"/>
                <w:color w:val="auto"/>
              </w:rPr>
              <w:t>II-1</w:t>
            </w:r>
          </w:p>
        </w:tc>
        <w:tc>
          <w:tcPr>
            <w:tcW w:w="1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SCHEDULE III</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Jurisdictions of Qualification of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ectPr>
          <w:pgSz w:w="11900" w:h="16838" w:orient="portrait"/>
          <w:cols w:equalWidth="0" w:num="1">
            <w:col w:w="11460"/>
          </w:cols>
          <w:pgMar w:left="240" w:top="104" w:right="199" w:bottom="0" w:gutter="0" w:footer="0" w:header="0"/>
        </w:sectPr>
      </w:pPr>
    </w:p>
    <w:bookmarkStart w:id="30" w:name="page31"/>
    <w:bookmarkEnd w:id="30"/>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IV</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Teruaki Aoki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James W. Bagley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Steve Appleton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Mark Durcan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Ron Foster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Rod Lewis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Mark Adams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Brian Shirley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Brian Shields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Kipp Bedard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Pat Otte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7" w:lineRule="exact"/>
        <w:rPr>
          <w:sz w:val="20"/>
          <w:szCs w:val="20"/>
          <w:color w:val="auto"/>
        </w:rPr>
      </w:pPr>
    </w:p>
    <w:p>
      <w:pPr>
        <w:jc w:val="center"/>
        <w:ind w:left="5160"/>
        <w:spacing w:after="0"/>
        <w:tabs>
          <w:tab w:leader="none" w:pos="26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8"/>
          <w:szCs w:val="18"/>
          <w:color w:val="auto"/>
        </w:rPr>
        <w:t>, 2009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85 Broad St.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9" w:lineRule="exact"/>
        <w:rPr>
          <w:sz w:val="20"/>
          <w:szCs w:val="20"/>
          <w:color w:val="auto"/>
        </w:rPr>
      </w:pPr>
    </w:p>
    <w:p>
      <w:pPr>
        <w:ind w:right="80" w:firstLine="645"/>
        <w:spacing w:after="0" w:line="270" w:lineRule="auto"/>
        <w:rPr>
          <w:sz w:val="20"/>
          <w:szCs w:val="20"/>
          <w:color w:val="auto"/>
        </w:rPr>
      </w:pPr>
      <w:r>
        <w:rPr>
          <w:rFonts w:ascii="Arial" w:cs="Arial" w:eastAsia="Arial" w:hAnsi="Arial"/>
          <w:sz w:val="17"/>
          <w:szCs w:val="17"/>
          <w:color w:val="auto"/>
        </w:rPr>
        <w:t>The undersigned understands that each of Goldman, Sachs &amp; Co. and Morgan Stanley &amp; Co. Incorporated (each, a “</w:t>
      </w:r>
      <w:r>
        <w:rPr>
          <w:rFonts w:ascii="Arial" w:cs="Arial" w:eastAsia="Arial" w:hAnsi="Arial"/>
          <w:sz w:val="17"/>
          <w:szCs w:val="17"/>
          <w:b w:val="1"/>
          <w:bCs w:val="1"/>
          <w:color w:val="auto"/>
        </w:rPr>
        <w:t>Representative</w:t>
      </w:r>
      <w:r>
        <w:rPr>
          <w:rFonts w:ascii="Arial" w:cs="Arial" w:eastAsia="Arial" w:hAnsi="Arial"/>
          <w:sz w:val="17"/>
          <w:szCs w:val="17"/>
          <w:color w:val="auto"/>
        </w:rPr>
        <w:t>”) proposes to enter into an Underwriting Agreement (the “</w:t>
      </w:r>
      <w:r>
        <w:rPr>
          <w:rFonts w:ascii="Arial" w:cs="Arial" w:eastAsia="Arial" w:hAnsi="Arial"/>
          <w:sz w:val="17"/>
          <w:szCs w:val="17"/>
          <w:b w:val="1"/>
          <w:bCs w:val="1"/>
          <w:color w:val="auto"/>
        </w:rPr>
        <w:t>Equity Underwriting Agreement</w:t>
      </w:r>
      <w:r>
        <w:rPr>
          <w:rFonts w:ascii="Arial" w:cs="Arial" w:eastAsia="Arial" w:hAnsi="Arial"/>
          <w:sz w:val="17"/>
          <w:szCs w:val="17"/>
          <w:color w:val="auto"/>
        </w:rPr>
        <w:t>”) with Micron Technology,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Equity Offering</w:t>
      </w:r>
      <w:r>
        <w:rPr>
          <w:rFonts w:ascii="Arial" w:cs="Arial" w:eastAsia="Arial" w:hAnsi="Arial"/>
          <w:sz w:val="17"/>
          <w:szCs w:val="17"/>
          <w:color w:val="auto"/>
        </w:rPr>
        <w:t>”) by the several underwriters, including the Representatives (the “</w:t>
      </w:r>
      <w:r>
        <w:rPr>
          <w:rFonts w:ascii="Arial" w:cs="Arial" w:eastAsia="Arial" w:hAnsi="Arial"/>
          <w:sz w:val="17"/>
          <w:szCs w:val="17"/>
          <w:b w:val="1"/>
          <w:bCs w:val="1"/>
          <w:color w:val="auto"/>
        </w:rPr>
        <w:t>Equity Underwriters</w:t>
      </w:r>
      <w:r>
        <w:rPr>
          <w:rFonts w:ascii="Arial" w:cs="Arial" w:eastAsia="Arial" w:hAnsi="Arial"/>
          <w:sz w:val="17"/>
          <w:szCs w:val="17"/>
          <w:color w:val="auto"/>
        </w:rPr>
        <w:t>”) of shares of the Company’s common stock, par value $0.10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and an Underwriting Agreement (the “</w:t>
      </w:r>
      <w:r>
        <w:rPr>
          <w:rFonts w:ascii="Arial" w:cs="Arial" w:eastAsia="Arial" w:hAnsi="Arial"/>
          <w:sz w:val="17"/>
          <w:szCs w:val="17"/>
          <w:b w:val="1"/>
          <w:bCs w:val="1"/>
          <w:color w:val="auto"/>
        </w:rPr>
        <w:t>Convertible Senior Note</w:t>
      </w:r>
      <w:r>
        <w:rPr>
          <w:rFonts w:ascii="Arial" w:cs="Arial" w:eastAsia="Arial" w:hAnsi="Arial"/>
          <w:sz w:val="17"/>
          <w:szCs w:val="17"/>
          <w:color w:val="auto"/>
        </w:rPr>
        <w:t xml:space="preserv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and, together with the Equity Underwriting Agreement, the “</w:t>
      </w:r>
      <w:r>
        <w:rPr>
          <w:rFonts w:ascii="Arial" w:cs="Arial" w:eastAsia="Arial" w:hAnsi="Arial"/>
          <w:sz w:val="17"/>
          <w:szCs w:val="17"/>
          <w:b w:val="1"/>
          <w:bCs w:val="1"/>
          <w:color w:val="auto"/>
        </w:rPr>
        <w:t>Underwriting Agreements</w:t>
      </w:r>
      <w:r>
        <w:rPr>
          <w:rFonts w:ascii="Arial" w:cs="Arial" w:eastAsia="Arial" w:hAnsi="Arial"/>
          <w:sz w:val="17"/>
          <w:szCs w:val="17"/>
          <w:color w:val="auto"/>
        </w:rPr>
        <w:t>”) with the Company providing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public offering (the “</w:t>
      </w:r>
      <w:r>
        <w:rPr>
          <w:rFonts w:ascii="Arial" w:cs="Arial" w:eastAsia="Arial" w:hAnsi="Arial"/>
          <w:sz w:val="17"/>
          <w:szCs w:val="17"/>
          <w:b w:val="1"/>
          <w:bCs w:val="1"/>
          <w:color w:val="auto"/>
        </w:rPr>
        <w:t>Public Convertible Senior Note Offering</w:t>
      </w:r>
      <w:r>
        <w:rPr>
          <w:rFonts w:ascii="Arial" w:cs="Arial" w:eastAsia="Arial" w:hAnsi="Arial"/>
          <w:sz w:val="17"/>
          <w:szCs w:val="17"/>
          <w:color w:val="auto"/>
        </w:rPr>
        <w:t>” and, together with the Public Equity Offering, the “</w:t>
      </w:r>
      <w:r>
        <w:rPr>
          <w:rFonts w:ascii="Arial" w:cs="Arial" w:eastAsia="Arial" w:hAnsi="Arial"/>
          <w:sz w:val="17"/>
          <w:szCs w:val="17"/>
          <w:b w:val="1"/>
          <w:bCs w:val="1"/>
          <w:color w:val="auto"/>
        </w:rPr>
        <w:t>Public Offerings</w:t>
      </w:r>
      <w:r>
        <w:rPr>
          <w:rFonts w:ascii="Arial" w:cs="Arial" w:eastAsia="Arial" w:hAnsi="Arial"/>
          <w:sz w:val="17"/>
          <w:szCs w:val="17"/>
          <w:color w:val="auto"/>
        </w:rPr>
        <w:t>”) by the several underwriters, including the Representatives (the “</w:t>
      </w:r>
      <w:r>
        <w:rPr>
          <w:rFonts w:ascii="Arial" w:cs="Arial" w:eastAsia="Arial" w:hAnsi="Arial"/>
          <w:sz w:val="17"/>
          <w:szCs w:val="17"/>
          <w:b w:val="1"/>
          <w:bCs w:val="1"/>
          <w:color w:val="auto"/>
        </w:rPr>
        <w:t>Convertible Senior Note Underwriters</w:t>
      </w:r>
      <w:r>
        <w:rPr>
          <w:rFonts w:ascii="Arial" w:cs="Arial" w:eastAsia="Arial" w:hAnsi="Arial"/>
          <w:sz w:val="17"/>
          <w:szCs w:val="17"/>
          <w:color w:val="auto"/>
        </w:rPr>
        <w:t>” and, together with the Equity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of convertible senior notes of the Company that will be convertible into shares of Common Stock.</w:t>
      </w:r>
    </w:p>
    <w:p>
      <w:pPr>
        <w:spacing w:after="0" w:line="178" w:lineRule="exact"/>
        <w:rPr>
          <w:sz w:val="20"/>
          <w:szCs w:val="20"/>
          <w:color w:val="auto"/>
        </w:rPr>
      </w:pPr>
    </w:p>
    <w:p>
      <w:pPr>
        <w:ind w:right="120" w:firstLine="645"/>
        <w:spacing w:after="0" w:line="300" w:lineRule="auto"/>
        <w:rPr>
          <w:sz w:val="20"/>
          <w:szCs w:val="20"/>
          <w:color w:val="auto"/>
        </w:rPr>
      </w:pPr>
      <w:r>
        <w:rPr>
          <w:rFonts w:ascii="Arial" w:cs="Arial" w:eastAsia="Arial" w:hAnsi="Arial"/>
          <w:sz w:val="16"/>
          <w:szCs w:val="16"/>
          <w:color w:val="auto"/>
        </w:rPr>
        <w:t>To induce the Underwriters that may participate in the Public Offerings to continue their efforts in connection with the Public Offerings, the undersigned hereby agrees that, without the prior written consent of each of the Representatives on behalf of the Underwriters, it will not, during the period commencing on the date hereof and ending 90 days after the date of the final prospectus relating to the Public Offerings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w:t>
      </w:r>
    </w:p>
    <w:p>
      <w:pPr>
        <w:sectPr>
          <w:pgSz w:w="11900" w:h="16848" w:orient="portrait"/>
          <w:cols w:equalWidth="0" w:num="1">
            <w:col w:w="11420"/>
          </w:cols>
          <w:pgMar w:left="240" w:top="340" w:right="239" w:bottom="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Public Offerings,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xml:space="preserve">”), shall be required or shall be voluntarily made in connection with subsequent sales of Common Stock or other securities acquired in such open market transactions, (b) transfers of shares of Common Stock or any security convertible into Common Stock as a bona fide gift, (c) to the extent applicable, distributions of shares of Common Stock or any security convertible into Common Stock to limited partners, stockholders, direct or indirect members, or wholly owned subsidiaries of the undersigned, (d) transfers of shares of Common Stock or any security convertible into Common Stock to any trust, partnership or limited liability company for the direct or indirect benefit of the undersigned or the immediate family of the undersigned, (e) transfers of shares of Common Stock or any security convertible into Common Stock to a wholly-owned subsidiary of the undersigned or to the direct or indirect members or partners of the undersigned, (f) transfers of shares of Common Stock or any security convertible into Common Stock by will or intestate, (g) transfers of shares of Common Stock or any security convertible into Common Stock to a nominee or custodian of a person or entity to whom a transfer would be permissible under clauses (b) through (f), (h) in connection with the surrender or forfeiture of shares to the Company to satisfy tax withholding obligations upon exercise or vesting of stock options or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(b) through (h) (1) each donee or distributee shall sign and deliver a lock-up letter substantially in the form of this letter and (2) no filing under Section 16(a) of the Exchange Act, reporting a reduction in beneficial ownership of shares of Common Stock, shall be required or shall be voluntarily made during the restricted period referred to in the foregoing sentence, (i) the establishment of a trading plan pursuant to Rule 10b5-1 under the Exchange Act for the transfer of shares of Common Stock,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plan does not provide for the transfer of Common Stock during the restricted period; or (j) sales of shares of Common Stock or any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Common Stock upon the termination of the undersigned’s employment or other relationship with the Company</w:t>
      </w:r>
      <w:r>
        <w:rPr>
          <w:rFonts w:ascii="Arial" w:cs="Arial" w:eastAsia="Arial" w:hAnsi="Arial"/>
          <w:sz w:val="15"/>
          <w:szCs w:val="15"/>
          <w:color w:val="auto"/>
        </w:rPr>
        <w:t>. In addition, the undersigned</w:t>
      </w:r>
      <w:r>
        <w:rPr>
          <w:rFonts w:ascii="Arial" w:cs="Arial" w:eastAsia="Arial" w:hAnsi="Arial"/>
          <w:sz w:val="16"/>
          <w:szCs w:val="16"/>
          <w:color w:val="auto"/>
        </w:rPr>
        <w:t xml:space="preserve"> </w:t>
      </w:r>
      <w:r>
        <w:rPr>
          <w:rFonts w:ascii="Arial" w:cs="Arial" w:eastAsia="Arial" w:hAnsi="Arial"/>
          <w:sz w:val="15"/>
          <w:szCs w:val="15"/>
          <w:color w:val="auto"/>
        </w:rPr>
        <w:t>agrees that, without the prior written consent of each of the Representatives, on behalf of the Underwriters, it will not, during the period commencing on the date hereof and ending 90 days after the date of the Prospectus, make any demand for or exercise any right with respect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1" w:lineRule="exact"/>
        <w:rPr>
          <w:sz w:val="20"/>
          <w:szCs w:val="20"/>
          <w:color w:val="auto"/>
        </w:rPr>
      </w:pPr>
    </w:p>
    <w:p>
      <w:pPr>
        <w:ind w:right="20" w:firstLine="645"/>
        <w:spacing w:after="0" w:line="309" w:lineRule="auto"/>
        <w:rPr>
          <w:sz w:val="20"/>
          <w:szCs w:val="20"/>
          <w:color w:val="auto"/>
        </w:rPr>
      </w:pPr>
      <w:r>
        <w:rPr>
          <w:rFonts w:ascii="Arial" w:cs="Arial" w:eastAsia="Arial" w:hAnsi="Arial"/>
          <w:sz w:val="16"/>
          <w:szCs w:val="16"/>
          <w:color w:val="auto"/>
        </w:rPr>
        <w:t>It is understood that the undersigned will be released from its obligations under this “lock-up” agreement if the Company notifies the undersigned that it does not intend to proceed with the Public Offerings, if the Underwriting Agreements (other than the provisions thereof which survive termination) shall terminate or be terminated prior to payment for and delivery of the Securities, or if the Public Offerings shall not have occurred by April 30, 2009.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firstLine="645"/>
        <w:spacing w:after="0" w:line="262"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Offerings.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240" w:firstLine="645"/>
        <w:spacing w:after="0" w:line="305" w:lineRule="auto"/>
        <w:rPr>
          <w:sz w:val="20"/>
          <w:szCs w:val="20"/>
          <w:color w:val="auto"/>
        </w:rPr>
      </w:pPr>
      <w:r>
        <w:rPr>
          <w:rFonts w:ascii="Arial" w:cs="Arial" w:eastAsia="Arial" w:hAnsi="Arial"/>
          <w:sz w:val="17"/>
          <w:szCs w:val="17"/>
          <w:color w:val="auto"/>
        </w:rPr>
        <w:t>Whether or not the Public Offerings actually occur depends on a number of factors, including market conditions. Any Public Offering will only be made pursuant to the Underwriting Agreements, the terms of which are subject to negotiation between the Company and the Underwriters.</w:t>
      </w:r>
    </w:p>
    <w:p>
      <w:pPr>
        <w:spacing w:after="0" w:line="3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OPINION OF WILSON SONSINI GOODRICH &amp; ROSATI, PROFESSIONAL CORPORATION, OUTSIDE COUNSEL TO THE COMPANY</w:t>
      </w:r>
    </w:p>
    <w:p>
      <w:pPr>
        <w:spacing w:after="0" w:line="234" w:lineRule="exact"/>
        <w:rPr>
          <w:sz w:val="20"/>
          <w:szCs w:val="20"/>
          <w:color w:val="auto"/>
        </w:rPr>
      </w:pPr>
    </w:p>
    <w:p>
      <w:pPr>
        <w:ind w:right="140" w:firstLine="697"/>
        <w:spacing w:after="0" w:line="339" w:lineRule="auto"/>
        <w:tabs>
          <w:tab w:leader="none" w:pos="13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and has the corporate power and authority to own its properties and to conduct its business as described in the Time of Sale Prospectus and the Prospectus;</w:t>
      </w:r>
    </w:p>
    <w:p>
      <w:pPr>
        <w:spacing w:after="0" w:line="124" w:lineRule="exact"/>
        <w:rPr>
          <w:rFonts w:ascii="Arial" w:cs="Arial" w:eastAsia="Arial" w:hAnsi="Arial"/>
          <w:sz w:val="16"/>
          <w:szCs w:val="16"/>
          <w:color w:val="auto"/>
        </w:rPr>
      </w:pPr>
    </w:p>
    <w:p>
      <w:pPr>
        <w:ind w:left="1340" w:hanging="643"/>
        <w:spacing w:after="0"/>
        <w:tabs>
          <w:tab w:leader="none" w:pos="1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 and the Prospectus;</w:t>
      </w:r>
    </w:p>
    <w:p>
      <w:pPr>
        <w:sectPr>
          <w:pgSz w:w="11900" w:h="16838" w:orient="portrait"/>
          <w:cols w:equalWidth="0" w:num="1">
            <w:col w:w="11420"/>
          </w:cols>
          <w:pgMar w:left="240" w:top="340" w:right="239" w:bottom="178" w:gutter="0" w:footer="0" w:header="0"/>
        </w:sectPr>
      </w:pPr>
    </w:p>
    <w:bookmarkStart w:id="32" w:name="page33"/>
    <w:bookmarkEnd w:id="32"/>
    <w:p>
      <w:pPr>
        <w:jc w:val="both"/>
        <w:ind w:right="100" w:firstLine="697"/>
        <w:spacing w:after="0" w:line="277" w:lineRule="auto"/>
        <w:tabs>
          <w:tab w:leader="none" w:pos="1334"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Securities have been duly authorized by valid corporate action and are free from preemptive rights under the Company’s charter or by-laws, the federal laws of the United States of America and the Delaware General Corporation Law. When so issued and paid for in accordance with the terms of the Underwriting Agreement, such shares will be validly issued, fully paid and nonassessable and will conform in all material respects to the description thereof contained in the Time of Sale Prospectus and the Prospectus under the caption “Description of Capital Stock”;</w:t>
      </w:r>
    </w:p>
    <w:p>
      <w:pPr>
        <w:spacing w:after="0" w:line="171" w:lineRule="exact"/>
        <w:rPr>
          <w:rFonts w:ascii="Arial" w:cs="Arial" w:eastAsia="Arial" w:hAnsi="Arial"/>
          <w:sz w:val="17"/>
          <w:szCs w:val="17"/>
          <w:color w:val="auto"/>
        </w:rPr>
      </w:pPr>
    </w:p>
    <w:p>
      <w:pPr>
        <w:ind w:left="1320" w:hanging="668"/>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2" w:lineRule="exact"/>
        <w:rPr>
          <w:rFonts w:ascii="Arial" w:cs="Arial" w:eastAsia="Arial" w:hAnsi="Arial"/>
          <w:sz w:val="18"/>
          <w:szCs w:val="18"/>
          <w:color w:val="auto"/>
        </w:rPr>
      </w:pPr>
    </w:p>
    <w:p>
      <w:pPr>
        <w:ind w:right="80" w:firstLine="652"/>
        <w:spacing w:after="0" w:line="272" w:lineRule="auto"/>
        <w:tabs>
          <w:tab w:leader="none" w:pos="1296"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this Agreement, the issuance and sale of the Securities, or the consummation of any other of the transactions contemplated thereby will conflict with, result in a breach or violation of any of the terms or provisions of, or constitute a default under (A) the charter or by-laws of the Company or (B) any statute, decree, regulation or order known to such counsel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such agreements or to consummate the transactions contemplated thereby;</w:t>
      </w:r>
    </w:p>
    <w:p>
      <w:pPr>
        <w:spacing w:after="0" w:line="174" w:lineRule="exact"/>
        <w:rPr>
          <w:rFonts w:ascii="Arial" w:cs="Arial" w:eastAsia="Arial" w:hAnsi="Arial"/>
          <w:sz w:val="17"/>
          <w:szCs w:val="17"/>
          <w:color w:val="auto"/>
        </w:rPr>
      </w:pPr>
    </w:p>
    <w:p>
      <w:pPr>
        <w:ind w:right="20" w:firstLine="652"/>
        <w:spacing w:after="0" w:line="309" w:lineRule="auto"/>
        <w:tabs>
          <w:tab w:leader="none" w:pos="1306"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Underwriting Agreement except such as have been obtained under the Act and such consents, approvals, authorizations, registrations or qualifications as may be required under state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securities or Blue Sky laws in connection with the purchase and distribution of the Securities by the Underwriters;</w:t>
      </w:r>
    </w:p>
    <w:p>
      <w:pPr>
        <w:spacing w:after="0" w:line="223" w:lineRule="exact"/>
        <w:rPr>
          <w:sz w:val="20"/>
          <w:szCs w:val="20"/>
          <w:color w:val="auto"/>
        </w:rPr>
      </w:pPr>
    </w:p>
    <w:p>
      <w:pPr>
        <w:ind w:right="120" w:firstLine="652"/>
        <w:spacing w:after="0" w:line="275" w:lineRule="auto"/>
        <w:tabs>
          <w:tab w:leader="none" w:pos="13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an “investment company,” as such term is defined in the Investment Company Act;</w:t>
      </w:r>
    </w:p>
    <w:p>
      <w:pPr>
        <w:spacing w:after="0" w:line="170" w:lineRule="exact"/>
        <w:rPr>
          <w:rFonts w:ascii="Arial" w:cs="Arial" w:eastAsia="Arial" w:hAnsi="Arial"/>
          <w:sz w:val="18"/>
          <w:szCs w:val="18"/>
          <w:color w:val="auto"/>
        </w:rPr>
      </w:pPr>
    </w:p>
    <w:p>
      <w:pPr>
        <w:ind w:right="360" w:firstLine="652"/>
        <w:spacing w:after="0" w:line="305" w:lineRule="auto"/>
        <w:tabs>
          <w:tab w:leader="none" w:pos="132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statements set forth in the Time of Sale Prospectus and Prospectus under the caption “Description of Capital Stock,” insofar as they purport to constitute a summary of the terms such capital stock, fairly summarize such terms and documents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170815</wp:posOffset>
            </wp:positionV>
            <wp:extent cx="1824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20" w:firstLine="645"/>
        <w:spacing w:after="0" w:line="254" w:lineRule="auto"/>
        <w:rPr>
          <w:sz w:val="20"/>
          <w:szCs w:val="20"/>
          <w:color w:val="auto"/>
        </w:rPr>
      </w:pPr>
      <w:r>
        <w:rPr>
          <w:rFonts w:ascii="Arial" w:cs="Arial" w:eastAsia="Arial" w:hAnsi="Arial"/>
          <w:sz w:val="18"/>
          <w:szCs w:val="18"/>
          <w:color w:val="auto"/>
        </w:rPr>
        <w:t>In addition, such counsel shall state that it has participated in conferences with certain officers and other representatives of the Company, the Underwriters, counsel for the Underwriters, and the independent certified public accountants of the Company, at which conferences the contents of the Registration Statement, the Time of Sale Prospectus and the Prospectus and related matters were reviewed and discussed. Although such counsel does not assume any responsibility for the accuracy, completeness or fairness of the information contained in the Registration Statement, the Time of Sale Prospectus or the Prospectus (other than as set forth in paragraph (vii) above), no facts have come to such counsel’s attention, in the course of such review and discussion, that have caused it to believe that,</w:t>
      </w:r>
    </w:p>
    <w:p>
      <w:pPr>
        <w:spacing w:after="0" w:line="190" w:lineRule="exact"/>
        <w:rPr>
          <w:sz w:val="20"/>
          <w:szCs w:val="20"/>
          <w:color w:val="auto"/>
        </w:rPr>
      </w:pPr>
    </w:p>
    <w:p>
      <w:pPr>
        <w:jc w:val="both"/>
        <w:ind w:left="600" w:right="20" w:firstLine="687"/>
        <w:spacing w:after="0" w:line="257" w:lineRule="auto"/>
        <w:tabs>
          <w:tab w:leader="none" w:pos="19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Registration Statement at the time each part became effective contained an untrue statement of a material fact or omitted to state a material fact required to be stated therein or necessary in order to make the statements therein not misleading (other than the financial statements and related schedules and the financial and statistical data based on or derived from such financial statements or schedules, as to which such counsel expresses no belief);</w:t>
      </w:r>
    </w:p>
    <w:p>
      <w:pPr>
        <w:spacing w:after="0" w:line="187" w:lineRule="exact"/>
        <w:rPr>
          <w:rFonts w:ascii="Arial" w:cs="Arial" w:eastAsia="Arial" w:hAnsi="Arial"/>
          <w:sz w:val="18"/>
          <w:szCs w:val="18"/>
          <w:color w:val="auto"/>
        </w:rPr>
      </w:pPr>
    </w:p>
    <w:p>
      <w:pPr>
        <w:ind w:left="1980" w:hanging="693"/>
        <w:spacing w:after="0"/>
        <w:tabs>
          <w:tab w:leader="none" w:pos="1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Time of Sale Prospectus, together with the documents listed on an exhibit to such counsel’s opinion, all considered together, as</w:t>
      </w:r>
    </w:p>
    <w:p>
      <w:pPr>
        <w:spacing w:after="0" w:line="45" w:lineRule="exact"/>
        <w:rPr>
          <w:sz w:val="20"/>
          <w:szCs w:val="20"/>
          <w:color w:val="auto"/>
        </w:rPr>
      </w:pPr>
    </w:p>
    <w:p>
      <w:pPr>
        <w:ind w:left="600" w:right="140"/>
        <w:spacing w:after="0" w:line="252" w:lineRule="auto"/>
        <w:rPr>
          <w:sz w:val="20"/>
          <w:szCs w:val="20"/>
          <w:color w:val="auto"/>
        </w:rPr>
      </w:pPr>
      <w:r>
        <w:rPr>
          <w:rFonts w:ascii="Arial" w:cs="Arial" w:eastAsia="Arial" w:hAnsi="Arial"/>
          <w:sz w:val="18"/>
          <w:szCs w:val="18"/>
          <w:color w:val="auto"/>
        </w:rPr>
        <w:t>of P.M. (New York City time) on April , 2009, and the date of such counsel’s opinion contained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such counsel expresses no belief);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0" w:right="20" w:firstLine="687"/>
        <w:spacing w:after="0" w:line="257" w:lineRule="auto"/>
        <w:tabs>
          <w:tab w:leader="none" w:pos="19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Prospectus, as of its date or as of the date of such counsel’s opinion, contained or contains an untrue statement of a material fact or omitted or omits to state a material fact necessary in order to make the statements therein, in light of the circumstances under which they were made, not misleading (other than financial statements and related schedules and the financial and statistical data based on or derived from such financial statements or schedules, as to which such counsel expresses no belief).</w:t>
      </w:r>
    </w:p>
    <w:p>
      <w:pPr>
        <w:spacing w:after="0" w:line="188" w:lineRule="exact"/>
        <w:rPr>
          <w:sz w:val="20"/>
          <w:szCs w:val="20"/>
          <w:color w:val="auto"/>
        </w:rPr>
      </w:pPr>
    </w:p>
    <w:p>
      <w:pPr>
        <w:ind w:right="60" w:firstLine="645"/>
        <w:spacing w:after="0" w:line="270" w:lineRule="auto"/>
        <w:rPr>
          <w:sz w:val="20"/>
          <w:szCs w:val="20"/>
          <w:color w:val="auto"/>
        </w:rPr>
      </w:pPr>
      <w:r>
        <w:rPr>
          <w:rFonts w:ascii="Arial" w:cs="Arial" w:eastAsia="Arial" w:hAnsi="Arial"/>
          <w:sz w:val="17"/>
          <w:szCs w:val="17"/>
          <w:color w:val="auto"/>
        </w:rPr>
        <w:t>In addition, such counsel confirms to you that (i) the Registration Statement, when it became effective, (ii) the Time of Sale Prospectus, as of its date (other than the financial statements and related schedules and the financial and statistical data based on or derived from such financial statements or schedules, as to which such counsel express no belief), and (iii) the Prospectus, as of its date (other than the financial statements and related schedules and the financial and statistical data based on or derived from such financial statements or schedules, as to which such counsel expresses no belief) each appeared on their face to comply, in all material respects relevant to the offering of the Securities, as to form with the requirements of the Securities Act and the rules and regulations under the Securities Act. For purposes of this paragraph, such counsel has assumed that the statements made in the Registration Statement, Time of Sale Prospectus and Prospectus are correct and complete.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OPINION OF RODERIC W. LEWIS, GENERAL COUNSEL OF THE COMPANY</w:t>
      </w:r>
    </w:p>
    <w:p>
      <w:pPr>
        <w:sectPr>
          <w:pgSz w:w="11900" w:h="16838" w:orient="portrait"/>
          <w:cols w:equalWidth="0" w:num="1">
            <w:col w:w="11420"/>
          </w:cols>
          <w:pgMar w:left="240" w:top="125" w:right="239" w:bottom="43" w:gutter="0" w:footer="0" w:header="0"/>
        </w:sectPr>
      </w:pPr>
    </w:p>
    <w:bookmarkStart w:id="33" w:name="page34"/>
    <w:bookmarkEnd w:id="33"/>
    <w:p>
      <w:pPr>
        <w:ind w:right="80" w:firstLine="652"/>
        <w:spacing w:after="0" w:line="277" w:lineRule="auto"/>
        <w:tabs>
          <w:tab w:leader="none" w:pos="13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the best of such counsel’s knowledge, but without inquiring into dockets of any court, commissions, regulatory body, administrative agency or other government body, and other than as set forth in the Time of Sale Prospectus, there are no legal or governmental proceedings pending to which the Company is a party or of which any property or assets of the Company is the subject, which such counsel believes individually or in the aggregate would be reasonably expected to have a material adverse effect upon the Company and its subsidiaries;</w:t>
      </w:r>
    </w:p>
    <w:p>
      <w:pPr>
        <w:spacing w:after="0" w:line="171" w:lineRule="exact"/>
        <w:rPr>
          <w:rFonts w:ascii="Arial" w:cs="Arial" w:eastAsia="Arial" w:hAnsi="Arial"/>
          <w:sz w:val="17"/>
          <w:szCs w:val="17"/>
          <w:color w:val="auto"/>
        </w:rPr>
      </w:pPr>
    </w:p>
    <w:p>
      <w:pPr>
        <w:ind w:left="1320" w:hanging="668"/>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Securities are free of preemptive rights under any agreement known to me;</w:t>
      </w:r>
    </w:p>
    <w:p>
      <w:pPr>
        <w:spacing w:after="0" w:line="222" w:lineRule="exact"/>
        <w:rPr>
          <w:rFonts w:ascii="Arial" w:cs="Arial" w:eastAsia="Arial" w:hAnsi="Arial"/>
          <w:sz w:val="18"/>
          <w:szCs w:val="18"/>
          <w:color w:val="auto"/>
        </w:rPr>
      </w:pPr>
    </w:p>
    <w:p>
      <w:pPr>
        <w:ind w:firstLine="652"/>
        <w:spacing w:after="0" w:line="272" w:lineRule="auto"/>
        <w:tabs>
          <w:tab w:leader="none" w:pos="1329"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this Agreement, the issuance and sale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United States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such agreements or to consummate the transactions contemplated thereby;</w:t>
      </w:r>
    </w:p>
    <w:p>
      <w:pPr>
        <w:spacing w:after="0" w:line="174" w:lineRule="exact"/>
        <w:rPr>
          <w:rFonts w:ascii="Arial" w:cs="Arial" w:eastAsia="Arial" w:hAnsi="Arial"/>
          <w:sz w:val="17"/>
          <w:szCs w:val="17"/>
          <w:color w:val="auto"/>
        </w:rPr>
      </w:pPr>
    </w:p>
    <w:p>
      <w:pPr>
        <w:ind w:right="80" w:firstLine="652"/>
        <w:spacing w:after="0" w:line="257" w:lineRule="auto"/>
        <w:tabs>
          <w:tab w:leader="none" w:pos="9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may be required by the Securities Act of 1933, as amended and the rules and regulations promulgated thereunder or “blue sky” laws of any state of the United States, in connection with the sale of the Securities, no consent, approval, authorization or order of, or filing or registration with, any United States federal or Idaho court or governmental agency or body is required for the execution, delivery and performance of this Agreement and the issuance of the Securities and the consummation of the transactions contemplated thereby; and</w:t>
      </w:r>
    </w:p>
    <w:p>
      <w:pPr>
        <w:spacing w:after="0" w:line="187" w:lineRule="exact"/>
        <w:rPr>
          <w:rFonts w:ascii="Arial" w:cs="Arial" w:eastAsia="Arial" w:hAnsi="Arial"/>
          <w:sz w:val="18"/>
          <w:szCs w:val="18"/>
          <w:color w:val="auto"/>
        </w:rPr>
      </w:pPr>
    </w:p>
    <w:p>
      <w:pPr>
        <w:jc w:val="both"/>
        <w:ind w:right="80" w:firstLine="652"/>
        <w:spacing w:after="0" w:line="262" w:lineRule="auto"/>
        <w:tabs>
          <w:tab w:leader="none" w:pos="12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documents incorporated by reference in the Time of Sale Prospectus (other than the financial statements and notes thereto and financial statement schedules and other information of an accounting or financial nature either included therein or omitted therefrom, as to which such counsel need not express an opinion), when they were filed with the Commission, complied as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form in all material respects with the requirements of the Exchange Act, and the rules and regulations of the Commission thereunder.</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GOLDMAN, SACHS &amp; CO. | ONE NEW YORK PLAZA | NEW YORK, NEW YORK 10004 |TEL: (212) 902-1000</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Opening Transaction</w:t>
      </w:r>
    </w:p>
    <w:p>
      <w:pPr>
        <w:spacing w:after="0" w:line="219"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Micron Technology, Inc.</w:t>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8000 S. Federal Way</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Boise, Idaho 83716-9632</w:t>
      </w:r>
    </w:p>
    <w:p>
      <w:pPr>
        <w:spacing w:after="0" w:line="20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8"/>
          <w:szCs w:val="18"/>
          <w:color w:val="auto"/>
        </w:rPr>
        <w:t>028405082</w:t>
      </w:r>
    </w:p>
    <w:p>
      <w:pPr>
        <w:spacing w:after="0" w:line="22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Goldman, Sachs &amp; Co.</w:t>
      </w:r>
    </w:p>
    <w:p>
      <w:pPr>
        <w:spacing w:after="0" w:line="22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Issuer Capped Share Call Option Transaction</w:t>
      </w:r>
    </w:p>
    <w:p>
      <w:pPr>
        <w:spacing w:after="0" w:line="22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Ref. No:</w:t>
      </w:r>
      <w:r>
        <w:rPr>
          <w:sz w:val="20"/>
          <w:szCs w:val="20"/>
          <w:color w:val="auto"/>
        </w:rPr>
        <w:tab/>
      </w:r>
      <w:r>
        <w:rPr>
          <w:rFonts w:ascii="Arial" w:cs="Arial" w:eastAsia="Arial" w:hAnsi="Arial"/>
          <w:sz w:val="16"/>
          <w:szCs w:val="16"/>
          <w:color w:val="auto"/>
        </w:rPr>
        <w:t>SDB1630322480</w:t>
      </w:r>
    </w:p>
    <w:p>
      <w:pPr>
        <w:spacing w:after="0" w:line="22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8, 2008</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jc w:val="both"/>
        <w:ind w:right="80" w:firstLine="645"/>
        <w:spacing w:after="0" w:line="264"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Goldman, Sachs &amp; Co. (“</w:t>
      </w:r>
      <w:r>
        <w:rPr>
          <w:rFonts w:ascii="Arial" w:cs="Arial" w:eastAsia="Arial" w:hAnsi="Arial"/>
          <w:sz w:val="18"/>
          <w:szCs w:val="18"/>
          <w:b w:val="1"/>
          <w:bCs w:val="1"/>
          <w:color w:val="auto"/>
        </w:rPr>
        <w:t>Dealer</w:t>
      </w:r>
      <w:r>
        <w:rPr>
          <w:rFonts w:ascii="Arial" w:cs="Arial" w:eastAsia="Arial" w:hAnsi="Arial"/>
          <w:sz w:val="18"/>
          <w:szCs w:val="18"/>
          <w:color w:val="auto"/>
        </w:rPr>
        <w:t>”) and Micron Technology, Inc. (“</w:t>
      </w:r>
      <w:r>
        <w:rPr>
          <w:rFonts w:ascii="Arial" w:cs="Arial" w:eastAsia="Arial" w:hAnsi="Arial"/>
          <w:sz w:val="18"/>
          <w:szCs w:val="18"/>
          <w:b w:val="1"/>
          <w:bCs w:val="1"/>
          <w:color w:val="auto"/>
        </w:rPr>
        <w:t>Issuer</w:t>
      </w:r>
      <w:r>
        <w:rPr>
          <w:rFonts w:ascii="Arial" w:cs="Arial" w:eastAsia="Arial" w:hAnsi="Arial"/>
          <w:sz w:val="18"/>
          <w:szCs w:val="18"/>
          <w:color w:val="auto"/>
        </w:rPr>
        <w:t>” or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ISDA Master Agreement specified below.</w:t>
      </w:r>
    </w:p>
    <w:p>
      <w:pPr>
        <w:spacing w:after="0" w:line="180" w:lineRule="exact"/>
        <w:rPr>
          <w:sz w:val="20"/>
          <w:szCs w:val="20"/>
          <w:color w:val="auto"/>
        </w:rPr>
      </w:pPr>
    </w:p>
    <w:p>
      <w:pPr>
        <w:ind w:right="40" w:firstLine="652"/>
        <w:spacing w:after="0" w:line="289" w:lineRule="auto"/>
        <w:tabs>
          <w:tab w:leader="none" w:pos="10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Confirmation is subject to, and incorporates, the definitions and provisions of the 2000 ISDA Definitions (including the Annex thereto) (the “</w:t>
      </w:r>
      <w:r>
        <w:rPr>
          <w:rFonts w:ascii="Arial" w:cs="Arial" w:eastAsia="Arial" w:hAnsi="Arial"/>
          <w:sz w:val="16"/>
          <w:szCs w:val="16"/>
          <w:b w:val="1"/>
          <w:bCs w:val="1"/>
          <w:color w:val="auto"/>
        </w:rPr>
        <w:t>2000 Definitions</w:t>
      </w:r>
      <w:r>
        <w:rPr>
          <w:rFonts w:ascii="Arial" w:cs="Arial" w:eastAsia="Arial" w:hAnsi="Arial"/>
          <w:sz w:val="16"/>
          <w:szCs w:val="16"/>
          <w:color w:val="auto"/>
        </w:rPr>
        <w:t>”) and the definitions and provisions of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and together with the</w:t>
      </w:r>
    </w:p>
    <w:p>
      <w:pPr>
        <w:spacing w:after="0" w:line="1" w:lineRule="exact"/>
        <w:rPr>
          <w:rFonts w:ascii="Arial" w:cs="Arial" w:eastAsia="Arial" w:hAnsi="Arial"/>
          <w:sz w:val="16"/>
          <w:szCs w:val="16"/>
          <w:color w:val="auto"/>
        </w:rPr>
      </w:pPr>
    </w:p>
    <w:p>
      <w:pPr>
        <w:ind w:right="300"/>
        <w:spacing w:after="0" w:line="258" w:lineRule="auto"/>
        <w:rPr>
          <w:rFonts w:ascii="Arial" w:cs="Arial" w:eastAsia="Arial" w:hAnsi="Arial"/>
          <w:sz w:val="16"/>
          <w:szCs w:val="16"/>
          <w:color w:val="auto"/>
        </w:rPr>
      </w:pPr>
      <w:r>
        <w:rPr>
          <w:rFonts w:ascii="Arial" w:cs="Arial" w:eastAsia="Arial" w:hAnsi="Arial"/>
          <w:sz w:val="18"/>
          <w:szCs w:val="18"/>
          <w:color w:val="auto"/>
        </w:rPr>
        <w:t>2000 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5" w:lineRule="exact"/>
        <w:rPr>
          <w:sz w:val="20"/>
          <w:szCs w:val="20"/>
          <w:color w:val="auto"/>
        </w:rPr>
      </w:pPr>
    </w:p>
    <w:p>
      <w:pPr>
        <w:ind w:right="380" w:firstLine="645"/>
        <w:spacing w:after="0" w:line="262"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jc w:val="both"/>
        <w:ind w:right="300" w:firstLine="645"/>
        <w:spacing w:after="0" w:line="274" w:lineRule="auto"/>
        <w:rPr>
          <w:sz w:val="20"/>
          <w:szCs w:val="20"/>
          <w:color w:val="auto"/>
        </w:rPr>
      </w:pPr>
      <w:r>
        <w:rPr>
          <w:rFonts w:ascii="Arial" w:cs="Arial" w:eastAsia="Arial" w:hAnsi="Arial"/>
          <w:sz w:val="17"/>
          <w:szCs w:val="17"/>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in the form of the 2002 ISDA Master Agreement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b w:val="1"/>
          <w:bCs w:val="1"/>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shall be governed by the Agreement.</w:t>
      </w:r>
    </w:p>
    <w:p>
      <w:pPr>
        <w:spacing w:after="0" w:line="173" w:lineRule="exact"/>
        <w:rPr>
          <w:sz w:val="20"/>
          <w:szCs w:val="20"/>
          <w:color w:val="auto"/>
        </w:rPr>
      </w:pPr>
    </w:p>
    <w:p>
      <w:pPr>
        <w:ind w:right="40" w:firstLine="645"/>
        <w:spacing w:after="0" w:line="305"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26884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652"/>
        <w:spacing w:after="0" w:line="275" w:lineRule="auto"/>
        <w:tabs>
          <w:tab w:leader="none" w:pos="100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0" w:gutter="0" w:footer="0" w:header="0"/>
        </w:sect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April 8</w:t>
      </w:r>
      <w:r>
        <w:rPr>
          <w:rFonts w:ascii="Arial" w:cs="Arial" w:eastAsia="Arial" w:hAnsi="Arial"/>
          <w:sz w:val="16"/>
          <w:szCs w:val="16"/>
          <w:color w:val="auto"/>
        </w:rPr>
        <w:t>, 200</w:t>
      </w:r>
      <w:r>
        <w:rPr>
          <w:rFonts w:ascii="Arial" w:cs="Arial" w:eastAsia="Arial" w:hAnsi="Arial"/>
          <w:sz w:val="17"/>
          <w:szCs w:val="17"/>
          <w:color w:val="auto"/>
        </w:rPr>
        <w:t>9</w:t>
      </w:r>
    </w:p>
    <w:p>
      <w:pPr>
        <w:spacing w:after="0" w:line="200"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Components: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73"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ind w:left="660"/>
        <w:spacing w:after="0"/>
        <w:rPr>
          <w:sz w:val="20"/>
          <w:szCs w:val="20"/>
          <w:color w:val="auto"/>
        </w:rPr>
      </w:pPr>
      <w:r>
        <w:rPr>
          <w:rFonts w:ascii="Arial" w:cs="Arial" w:eastAsia="Arial" w:hAnsi="Arial"/>
          <w:sz w:val="17"/>
          <w:szCs w:val="17"/>
          <w:color w:val="auto"/>
        </w:rPr>
        <w:t>O</w:t>
      </w:r>
      <w:r>
        <w:rPr>
          <w:rFonts w:ascii="Arial" w:cs="Arial" w:eastAsia="Arial" w:hAnsi="Arial"/>
          <w:sz w:val="16"/>
          <w:szCs w:val="16"/>
          <w:color w:val="auto"/>
        </w:rPr>
        <w:t>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European</w:t>
      </w:r>
    </w:p>
    <w:p>
      <w:pPr>
        <w:spacing w:after="0" w:line="222"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pacing w:after="0" w:line="200" w:lineRule="exact"/>
        <w:rPr>
          <w:sz w:val="20"/>
          <w:szCs w:val="20"/>
          <w:color w:val="auto"/>
        </w:rPr>
      </w:pPr>
    </w:p>
    <w:p>
      <w:pPr>
        <w:sectPr>
          <w:pgSz w:w="11900" w:h="16838" w:orient="portrait"/>
          <w:cols w:equalWidth="0" w:num="2">
            <w:col w:w="4280" w:space="720"/>
            <w:col w:w="6420"/>
          </w:cols>
          <w:pgMar w:left="240" w:top="121" w:right="239" w:bottom="0" w:gutter="0" w:footer="0" w:header="0"/>
          <w:type w:val="continuous"/>
        </w:sectPr>
      </w:pP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Options: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 xml:space="preserve">For each Component, as provided in Annex A to this Confirmation;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Morgan Stanley &amp; Co. Incorporated and Goldman, Sachs &amp; Co., as representatives of the Underwriters named in the Underwriting Agreement dated April 8, 2009 between Counterparty and Morgan Stanley &amp; Co. Incorporated and Goldman, Sachs &amp; Co. (the</w:t>
      </w:r>
    </w:p>
    <w:p>
      <w:pPr>
        <w:sectPr>
          <w:pgSz w:w="11900" w:h="16838" w:orient="portrait"/>
          <w:cols w:equalWidth="0" w:num="2">
            <w:col w:w="4280" w:space="720"/>
            <w:col w:w="6420"/>
          </w:cols>
          <w:pgMar w:left="240" w:top="121" w:right="2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exercise the option to purchase additional 4.25%</w:t>
            </w:r>
          </w:p>
        </w:tc>
      </w:tr>
      <w:tr>
        <w:trPr>
          <w:trHeight w:val="21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8"/>
              </w:rPr>
              <w:t>Convertible Senior Notes due October 15, 2013 (“</w:t>
            </w:r>
            <w:r>
              <w:rPr>
                <w:rFonts w:ascii="Arial" w:cs="Arial" w:eastAsia="Arial" w:hAnsi="Arial"/>
                <w:sz w:val="18"/>
                <w:szCs w:val="18"/>
                <w:b w:val="1"/>
                <w:bCs w:val="1"/>
                <w:color w:val="auto"/>
                <w:w w:val="98"/>
              </w:rPr>
              <w:t>Additional Convertible Notes</w:t>
            </w:r>
            <w:r>
              <w:rPr>
                <w:rFonts w:ascii="Arial" w:cs="Arial" w:eastAsia="Arial" w:hAnsi="Arial"/>
                <w:sz w:val="18"/>
                <w:szCs w:val="18"/>
                <w:color w:val="auto"/>
                <w:w w:val="98"/>
              </w:rPr>
              <w:t>”)</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pursuant to Section 2 of the Underwriting Agreement, the Number of Options for each</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1"/>
              </w:rPr>
              <w:t>Component shall be automatically increased, effective upon payment by Counterparty of</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8"/>
              </w:rPr>
              <w:t>the Additional Premium on the Additional Premium Payment Date, by a number of</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Options equal to the product of (x) the Number of Options for such Component as set</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6"/>
              </w:rPr>
              <w:t>forth in Annex A to this Confirmation and (y) a fraction, the numerator of which is the</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number of Additional Convertible Notes in denominations of USD1,000 principal</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1"/>
              </w:rPr>
              <w:t>amount issued pursuant to such exercise and the denominator of which is the number of</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3"/>
              </w:rPr>
              <w:t>Convertible Notes in denominations of USD1,000 principal amount issued prior to such</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7"/>
              </w:rPr>
              <w:t>exercise, subject to rounding as deemed appropriate by the Calculation Agent, and</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7"/>
              </w:rPr>
              <w:t>Calculation Agent will promptly provide Counterparty and Dealer a schedule setting</w:t>
            </w:r>
          </w:p>
        </w:tc>
      </w:tr>
      <w:tr>
        <w:trPr>
          <w:trHeight w:val="22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forth the increased Number of Options for all Components.</w:t>
            </w:r>
          </w:p>
        </w:tc>
      </w:tr>
      <w:tr>
        <w:trPr>
          <w:trHeight w:val="430"/>
        </w:trPr>
        <w:tc>
          <w:tcPr>
            <w:tcW w:w="414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320" w:type="dxa"/>
            <w:vAlign w:val="bottom"/>
          </w:tcPr>
          <w:p>
            <w:pPr>
              <w:ind w:left="860"/>
              <w:spacing w:after="0"/>
              <w:rPr>
                <w:sz w:val="20"/>
                <w:szCs w:val="20"/>
                <w:color w:val="auto"/>
              </w:rPr>
            </w:pPr>
            <w:r>
              <w:rPr>
                <w:rFonts w:ascii="Arial" w:cs="Arial" w:eastAsia="Arial" w:hAnsi="Arial"/>
                <w:sz w:val="18"/>
                <w:szCs w:val="18"/>
                <w:color w:val="auto"/>
              </w:rPr>
              <w:t>One Share per Option</w:t>
            </w:r>
          </w:p>
        </w:tc>
      </w:tr>
      <w:tr>
        <w:trPr>
          <w:trHeight w:val="430"/>
        </w:trPr>
        <w:tc>
          <w:tcPr>
            <w:tcW w:w="414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7320" w:type="dxa"/>
            <w:vAlign w:val="bottom"/>
          </w:tcPr>
          <w:p>
            <w:pPr>
              <w:ind w:left="860"/>
              <w:spacing w:after="0"/>
              <w:rPr>
                <w:sz w:val="20"/>
                <w:szCs w:val="20"/>
                <w:color w:val="auto"/>
              </w:rPr>
            </w:pPr>
            <w:r>
              <w:rPr>
                <w:rFonts w:ascii="Arial" w:cs="Arial" w:eastAsia="Arial" w:hAnsi="Arial"/>
                <w:sz w:val="18"/>
                <w:szCs w:val="18"/>
                <w:color w:val="auto"/>
              </w:rPr>
              <w:t>5.08375</w:t>
            </w:r>
          </w:p>
        </w:tc>
      </w:tr>
      <w:tr>
        <w:trPr>
          <w:trHeight w:val="430"/>
        </w:trPr>
        <w:tc>
          <w:tcPr>
            <w:tcW w:w="4140" w:type="dxa"/>
            <w:vAlign w:val="bottom"/>
          </w:tcPr>
          <w:p>
            <w:pPr>
              <w:spacing w:after="0"/>
              <w:rPr>
                <w:sz w:val="24"/>
                <w:szCs w:val="24"/>
                <w:color w:val="auto"/>
              </w:rPr>
            </w:pPr>
          </w:p>
        </w:tc>
        <w:tc>
          <w:tcPr>
            <w:tcW w:w="7320" w:type="dxa"/>
            <w:vAlign w:val="bottom"/>
          </w:tcPr>
          <w:p>
            <w:pPr>
              <w:ind w:left="1520"/>
              <w:spacing w:after="0"/>
              <w:rPr>
                <w:sz w:val="20"/>
                <w:szCs w:val="20"/>
                <w:color w:val="auto"/>
              </w:rPr>
            </w:pPr>
            <w:r>
              <w:rPr>
                <w:rFonts w:ascii="Arial" w:cs="Arial" w:eastAsia="Arial" w:hAnsi="Arial"/>
                <w:sz w:val="18"/>
                <w:szCs w:val="18"/>
                <w:color w:val="auto"/>
              </w:rPr>
              <w:t>2</w:t>
            </w:r>
          </w:p>
        </w:tc>
      </w:tr>
      <w:tr>
        <w:trPr>
          <w:trHeight w:val="131"/>
        </w:trPr>
        <w:tc>
          <w:tcPr>
            <w:tcW w:w="4140" w:type="dxa"/>
            <w:vAlign w:val="bottom"/>
            <w:tcBorders>
              <w:bottom w:val="single" w:sz="8" w:color="010101"/>
            </w:tcBorders>
          </w:tcPr>
          <w:p>
            <w:pPr>
              <w:spacing w:after="0"/>
              <w:rPr>
                <w:sz w:val="11"/>
                <w:szCs w:val="11"/>
                <w:color w:val="auto"/>
              </w:rPr>
            </w:pPr>
          </w:p>
        </w:tc>
        <w:tc>
          <w:tcPr>
            <w:tcW w:w="7320" w:type="dxa"/>
            <w:vAlign w:val="bottom"/>
            <w:tcBorders>
              <w:bottom w:val="single" w:sz="8" w:color="010101"/>
            </w:tcBorders>
          </w:tcPr>
          <w:p>
            <w:pPr>
              <w:spacing w:after="0"/>
              <w:rPr>
                <w:sz w:val="11"/>
                <w:szCs w:val="11"/>
                <w:color w:val="auto"/>
              </w:rPr>
            </w:pPr>
          </w:p>
        </w:tc>
      </w:tr>
      <w:tr>
        <w:trPr>
          <w:trHeight w:val="776"/>
        </w:trPr>
        <w:tc>
          <w:tcPr>
            <w:tcW w:w="4140" w:type="dxa"/>
            <w:vAlign w:val="bottom"/>
          </w:tcPr>
          <w:p>
            <w:pPr>
              <w:ind w:left="700"/>
              <w:spacing w:after="0"/>
              <w:rPr>
                <w:sz w:val="20"/>
                <w:szCs w:val="20"/>
                <w:color w:val="auto"/>
              </w:rPr>
            </w:pPr>
            <w:r>
              <w:rPr>
                <w:rFonts w:ascii="Arial" w:cs="Arial" w:eastAsia="Arial" w:hAnsi="Arial"/>
                <w:sz w:val="18"/>
                <w:szCs w:val="18"/>
                <w:color w:val="auto"/>
              </w:rPr>
              <w:t>Cap Price:</w:t>
            </w:r>
          </w:p>
        </w:tc>
        <w:tc>
          <w:tcPr>
            <w:tcW w:w="7320" w:type="dxa"/>
            <w:vAlign w:val="bottom"/>
          </w:tcPr>
          <w:p>
            <w:pPr>
              <w:ind w:left="860"/>
              <w:spacing w:after="0"/>
              <w:rPr>
                <w:sz w:val="20"/>
                <w:szCs w:val="20"/>
                <w:color w:val="auto"/>
              </w:rPr>
            </w:pPr>
            <w:r>
              <w:rPr>
                <w:rFonts w:ascii="Arial" w:cs="Arial" w:eastAsia="Arial" w:hAnsi="Arial"/>
                <w:sz w:val="18"/>
                <w:szCs w:val="18"/>
                <w:color w:val="auto"/>
              </w:rPr>
              <w:t>6.64000</w:t>
            </w:r>
          </w:p>
        </w:tc>
      </w:tr>
      <w:tr>
        <w:trPr>
          <w:trHeight w:val="415"/>
        </w:trPr>
        <w:tc>
          <w:tcPr>
            <w:tcW w:w="4140" w:type="dxa"/>
            <w:vAlign w:val="bottom"/>
          </w:tcPr>
          <w:p>
            <w:pPr>
              <w:ind w:left="700"/>
              <w:spacing w:after="0"/>
              <w:rPr>
                <w:sz w:val="20"/>
                <w:szCs w:val="20"/>
                <w:color w:val="auto"/>
              </w:rPr>
            </w:pPr>
            <w:r>
              <w:rPr>
                <w:rFonts w:ascii="Arial" w:cs="Arial" w:eastAsia="Arial" w:hAnsi="Arial"/>
                <w:sz w:val="18"/>
                <w:szCs w:val="18"/>
                <w:color w:val="auto"/>
              </w:rPr>
              <w:t>Premium:</w:t>
            </w:r>
          </w:p>
        </w:tc>
        <w:tc>
          <w:tcPr>
            <w:tcW w:w="7320" w:type="dxa"/>
            <w:vAlign w:val="bottom"/>
          </w:tcPr>
          <w:p>
            <w:pPr>
              <w:ind w:left="860"/>
              <w:spacing w:after="0"/>
              <w:rPr>
                <w:sz w:val="20"/>
                <w:szCs w:val="20"/>
                <w:color w:val="auto"/>
              </w:rPr>
            </w:pPr>
            <w:r>
              <w:rPr>
                <w:rFonts w:ascii="Arial" w:cs="Arial" w:eastAsia="Arial" w:hAnsi="Arial"/>
                <w:sz w:val="18"/>
                <w:szCs w:val="18"/>
                <w:color w:val="auto"/>
                <w:w w:val="93"/>
              </w:rPr>
              <w:t>The premium for each Component shall be as provided in Annex A to this Confirmation</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1"/>
              </w:rPr>
              <w:t xml:space="preserve">and the aggregate Premium for the Transaction is USD 9,675,000.00;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if the</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Number of Options is increased pursuant to the proviso to the definition of “Number of</w:t>
            </w:r>
          </w:p>
        </w:tc>
      </w:tr>
      <w:tr>
        <w:trPr>
          <w:trHeight w:val="211"/>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5"/>
              </w:rPr>
              <w:t>Options” above, Counterparty shall pay on the Additional Premium Payment Date an</w:t>
            </w:r>
          </w:p>
        </w:tc>
      </w:tr>
      <w:tr>
        <w:trPr>
          <w:trHeight w:val="21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additional Premium (the “</w:t>
            </w:r>
            <w:r>
              <w:rPr>
                <w:rFonts w:ascii="Arial" w:cs="Arial" w:eastAsia="Arial" w:hAnsi="Arial"/>
                <w:sz w:val="18"/>
                <w:szCs w:val="18"/>
                <w:b w:val="1"/>
                <w:bCs w:val="1"/>
                <w:color w:val="auto"/>
                <w:w w:val="94"/>
              </w:rPr>
              <w:t>Additional Premium</w:t>
            </w:r>
            <w:r>
              <w:rPr>
                <w:rFonts w:ascii="Arial" w:cs="Arial" w:eastAsia="Arial" w:hAnsi="Arial"/>
                <w:sz w:val="18"/>
                <w:szCs w:val="18"/>
                <w:color w:val="auto"/>
                <w:w w:val="94"/>
              </w:rPr>
              <w:t>”) equal to the product of the number of</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0"/>
              </w:rPr>
              <w:t>Options by which the aggregate Number of Options for such Components is so increased</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2"/>
              </w:rPr>
              <w:t>and USD 0.5465. Dealer and Counterparty hereby agree that, notwithstanding anything</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9"/>
              </w:rPr>
              <w:t>to the contrary herein or in the Agreement, following the payment of the Premium</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7"/>
              </w:rPr>
              <w:t>(including the Additional Premium, if any), in the event that (a) an Early Termination</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6"/>
              </w:rPr>
              <w:t>Date (whether as a result of an Event of Default or a Termination Event) occurs or is</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0"/>
              </w:rPr>
              <w:t>designated with respect to any Transaction and, as a result, Counterparty owes to Dealer</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the amount calculated under Section 6(e) of the Agreement (calculated as if the</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0"/>
              </w:rPr>
              <w:t>Transactions were terminated on such Early Termination Date were the sole Transactions</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under the Agreement) or (b) Counterparty owes to Dealer, pursuant to Section 12.7 or</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Section 12.9 or the Equity Definitions, an amount calculated under Section 12.8 of the</w:t>
            </w:r>
          </w:p>
        </w:tc>
      </w:tr>
      <w:tr>
        <w:trPr>
          <w:trHeight w:val="22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Equity Definitions, such amount shall be deemed to be zero.</w:t>
            </w:r>
          </w:p>
        </w:tc>
      </w:tr>
      <w:tr>
        <w:trPr>
          <w:trHeight w:val="430"/>
        </w:trPr>
        <w:tc>
          <w:tcPr>
            <w:tcW w:w="4140" w:type="dxa"/>
            <w:vAlign w:val="bottom"/>
          </w:tcPr>
          <w:p>
            <w:pPr>
              <w:ind w:left="700"/>
              <w:spacing w:after="0"/>
              <w:rPr>
                <w:sz w:val="20"/>
                <w:szCs w:val="20"/>
                <w:color w:val="auto"/>
              </w:rPr>
            </w:pPr>
            <w:r>
              <w:rPr>
                <w:rFonts w:ascii="Arial" w:cs="Arial" w:eastAsia="Arial" w:hAnsi="Arial"/>
                <w:sz w:val="18"/>
                <w:szCs w:val="18"/>
                <w:color w:val="auto"/>
              </w:rPr>
              <w:t>Premium Payment Date:</w:t>
            </w:r>
          </w:p>
        </w:tc>
        <w:tc>
          <w:tcPr>
            <w:tcW w:w="7320" w:type="dxa"/>
            <w:vAlign w:val="bottom"/>
          </w:tcPr>
          <w:p>
            <w:pPr>
              <w:ind w:left="860"/>
              <w:spacing w:after="0"/>
              <w:rPr>
                <w:sz w:val="20"/>
                <w:szCs w:val="20"/>
                <w:color w:val="auto"/>
              </w:rPr>
            </w:pPr>
            <w:r>
              <w:rPr>
                <w:rFonts w:ascii="Arial" w:cs="Arial" w:eastAsia="Arial" w:hAnsi="Arial"/>
                <w:sz w:val="18"/>
                <w:szCs w:val="18"/>
                <w:color w:val="auto"/>
              </w:rPr>
              <w:t>The Effective Date</w:t>
            </w:r>
          </w:p>
        </w:tc>
      </w:tr>
      <w:tr>
        <w:trPr>
          <w:trHeight w:val="430"/>
        </w:trPr>
        <w:tc>
          <w:tcPr>
            <w:tcW w:w="4140" w:type="dxa"/>
            <w:vAlign w:val="bottom"/>
          </w:tcPr>
          <w:p>
            <w:pPr>
              <w:ind w:left="700"/>
              <w:spacing w:after="0"/>
              <w:rPr>
                <w:sz w:val="20"/>
                <w:szCs w:val="20"/>
                <w:color w:val="auto"/>
              </w:rPr>
            </w:pPr>
            <w:r>
              <w:rPr>
                <w:rFonts w:ascii="Arial" w:cs="Arial" w:eastAsia="Arial" w:hAnsi="Arial"/>
                <w:sz w:val="18"/>
                <w:szCs w:val="18"/>
                <w:color w:val="auto"/>
              </w:rPr>
              <w:t>Effective Date:</w:t>
            </w:r>
          </w:p>
        </w:tc>
        <w:tc>
          <w:tcPr>
            <w:tcW w:w="7320" w:type="dxa"/>
            <w:vAlign w:val="bottom"/>
          </w:tcPr>
          <w:p>
            <w:pPr>
              <w:ind w:left="860"/>
              <w:spacing w:after="0"/>
              <w:rPr>
                <w:sz w:val="20"/>
                <w:szCs w:val="20"/>
                <w:color w:val="auto"/>
              </w:rPr>
            </w:pPr>
            <w:r>
              <w:rPr>
                <w:rFonts w:ascii="Arial" w:cs="Arial" w:eastAsia="Arial" w:hAnsi="Arial"/>
                <w:sz w:val="18"/>
                <w:szCs w:val="18"/>
                <w:color w:val="auto"/>
              </w:rPr>
              <w:t xml:space="preserve">April 15, 2009 </w:t>
            </w:r>
            <w:r>
              <w:rPr>
                <w:rFonts w:ascii="Arial" w:cs="Arial" w:eastAsia="Arial" w:hAnsi="Arial"/>
                <w:sz w:val="17"/>
                <w:szCs w:val="17"/>
                <w:color w:val="auto"/>
              </w:rPr>
              <w:t>or such other date as agreed by the parties.</w:t>
            </w:r>
          </w:p>
        </w:tc>
      </w:tr>
      <w:tr>
        <w:trPr>
          <w:trHeight w:val="430"/>
        </w:trPr>
        <w:tc>
          <w:tcPr>
            <w:tcW w:w="4140" w:type="dxa"/>
            <w:vAlign w:val="bottom"/>
          </w:tcPr>
          <w:p>
            <w:pPr>
              <w:ind w:left="700"/>
              <w:spacing w:after="0"/>
              <w:rPr>
                <w:sz w:val="20"/>
                <w:szCs w:val="20"/>
                <w:color w:val="auto"/>
              </w:rPr>
            </w:pPr>
            <w:r>
              <w:rPr>
                <w:rFonts w:ascii="Arial" w:cs="Arial" w:eastAsia="Arial" w:hAnsi="Arial"/>
                <w:sz w:val="18"/>
                <w:szCs w:val="18"/>
                <w:color w:val="auto"/>
              </w:rPr>
              <w:t>Additional Premium Payment Date:</w:t>
            </w:r>
          </w:p>
        </w:tc>
        <w:tc>
          <w:tcPr>
            <w:tcW w:w="7320" w:type="dxa"/>
            <w:vAlign w:val="bottom"/>
          </w:tcPr>
          <w:p>
            <w:pPr>
              <w:ind w:left="86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0"/>
        </w:trPr>
        <w:tc>
          <w:tcPr>
            <w:tcW w:w="4140" w:type="dxa"/>
            <w:vAlign w:val="bottom"/>
          </w:tcPr>
          <w:p>
            <w:pPr>
              <w:ind w:left="700"/>
              <w:spacing w:after="0"/>
              <w:rPr>
                <w:sz w:val="20"/>
                <w:szCs w:val="20"/>
                <w:color w:val="auto"/>
              </w:rPr>
            </w:pPr>
            <w:r>
              <w:rPr>
                <w:rFonts w:ascii="Arial" w:cs="Arial" w:eastAsia="Arial" w:hAnsi="Arial"/>
                <w:sz w:val="18"/>
                <w:szCs w:val="18"/>
                <w:color w:val="auto"/>
              </w:rPr>
              <w:t>Exchange:</w:t>
            </w:r>
          </w:p>
        </w:tc>
        <w:tc>
          <w:tcPr>
            <w:tcW w:w="7320" w:type="dxa"/>
            <w:vAlign w:val="bottom"/>
          </w:tcPr>
          <w:p>
            <w:pPr>
              <w:ind w:left="860"/>
              <w:spacing w:after="0"/>
              <w:rPr>
                <w:sz w:val="20"/>
                <w:szCs w:val="20"/>
                <w:color w:val="auto"/>
              </w:rPr>
            </w:pPr>
            <w:r>
              <w:rPr>
                <w:rFonts w:ascii="Arial" w:cs="Arial" w:eastAsia="Arial" w:hAnsi="Arial"/>
                <w:sz w:val="18"/>
                <w:szCs w:val="18"/>
                <w:color w:val="auto"/>
              </w:rPr>
              <w:t>New York Stock Exchange</w:t>
            </w:r>
          </w:p>
        </w:tc>
      </w:tr>
      <w:tr>
        <w:trPr>
          <w:trHeight w:val="415"/>
        </w:trPr>
        <w:tc>
          <w:tcPr>
            <w:tcW w:w="4140" w:type="dxa"/>
            <w:vAlign w:val="bottom"/>
          </w:tcPr>
          <w:p>
            <w:pPr>
              <w:ind w:left="700"/>
              <w:spacing w:after="0"/>
              <w:rPr>
                <w:sz w:val="20"/>
                <w:szCs w:val="20"/>
                <w:color w:val="auto"/>
              </w:rPr>
            </w:pPr>
            <w:r>
              <w:rPr>
                <w:rFonts w:ascii="Arial" w:cs="Arial" w:eastAsia="Arial" w:hAnsi="Arial"/>
                <w:sz w:val="18"/>
                <w:szCs w:val="18"/>
                <w:color w:val="auto"/>
              </w:rPr>
              <w:t>Related Exchange:</w:t>
            </w:r>
          </w:p>
        </w:tc>
        <w:tc>
          <w:tcPr>
            <w:tcW w:w="7320" w:type="dxa"/>
            <w:vAlign w:val="bottom"/>
          </w:tcPr>
          <w:p>
            <w:pPr>
              <w:ind w:left="860"/>
              <w:spacing w:after="0"/>
              <w:rPr>
                <w:sz w:val="20"/>
                <w:szCs w:val="20"/>
                <w:color w:val="auto"/>
              </w:rPr>
            </w:pPr>
            <w:r>
              <w:rPr>
                <w:rFonts w:ascii="Arial" w:cs="Arial" w:eastAsia="Arial" w:hAnsi="Arial"/>
                <w:sz w:val="18"/>
                <w:szCs w:val="18"/>
                <w:color w:val="auto"/>
                <w:w w:val="97"/>
              </w:rPr>
              <w:t>All Exchanges located in the United States on which the equity securities or equity-</w:t>
            </w:r>
          </w:p>
        </w:tc>
      </w:tr>
      <w:tr>
        <w:trPr>
          <w:trHeight w:val="22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linked securities of Counterparty are traded.</w:t>
            </w:r>
          </w:p>
        </w:tc>
      </w:tr>
      <w:tr>
        <w:trPr>
          <w:trHeight w:val="430"/>
        </w:trPr>
        <w:tc>
          <w:tcPr>
            <w:tcW w:w="414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7320" w:type="dxa"/>
            <w:vAlign w:val="bottom"/>
          </w:tcPr>
          <w:p>
            <w:pPr>
              <w:spacing w:after="0"/>
              <w:rPr>
                <w:sz w:val="24"/>
                <w:szCs w:val="24"/>
                <w:color w:val="auto"/>
              </w:rPr>
            </w:pPr>
          </w:p>
        </w:tc>
      </w:tr>
      <w:tr>
        <w:trPr>
          <w:trHeight w:val="430"/>
        </w:trPr>
        <w:tc>
          <w:tcPr>
            <w:tcW w:w="4140" w:type="dxa"/>
            <w:vAlign w:val="bottom"/>
          </w:tcPr>
          <w:p>
            <w:pPr>
              <w:ind w:left="660"/>
              <w:spacing w:after="0"/>
              <w:rPr>
                <w:sz w:val="20"/>
                <w:szCs w:val="20"/>
                <w:color w:val="auto"/>
              </w:rPr>
            </w:pPr>
            <w:r>
              <w:rPr>
                <w:rFonts w:ascii="Arial" w:cs="Arial" w:eastAsia="Arial" w:hAnsi="Arial"/>
                <w:sz w:val="18"/>
                <w:szCs w:val="18"/>
                <w:color w:val="auto"/>
              </w:rPr>
              <w:t>Expiration Time</w:t>
            </w:r>
            <w:r>
              <w:rPr>
                <w:rFonts w:ascii="Arial" w:cs="Arial" w:eastAsia="Arial" w:hAnsi="Arial"/>
                <w:sz w:val="17"/>
                <w:szCs w:val="17"/>
                <w:color w:val="auto"/>
              </w:rPr>
              <w:t>:</w:t>
            </w:r>
          </w:p>
        </w:tc>
        <w:tc>
          <w:tcPr>
            <w:tcW w:w="7320" w:type="dxa"/>
            <w:vAlign w:val="bottom"/>
          </w:tcPr>
          <w:p>
            <w:pPr>
              <w:ind w:left="860"/>
              <w:spacing w:after="0"/>
              <w:rPr>
                <w:sz w:val="20"/>
                <w:szCs w:val="20"/>
                <w:color w:val="auto"/>
              </w:rPr>
            </w:pPr>
            <w:r>
              <w:rPr>
                <w:rFonts w:ascii="Arial" w:cs="Arial" w:eastAsia="Arial" w:hAnsi="Arial"/>
                <w:sz w:val="18"/>
                <w:szCs w:val="18"/>
                <w:color w:val="auto"/>
              </w:rPr>
              <w:t>Valuation Time</w:t>
            </w:r>
          </w:p>
        </w:tc>
      </w:tr>
      <w:tr>
        <w:trPr>
          <w:trHeight w:val="415"/>
        </w:trPr>
        <w:tc>
          <w:tcPr>
            <w:tcW w:w="4140" w:type="dxa"/>
            <w:vAlign w:val="bottom"/>
          </w:tcPr>
          <w:p>
            <w:pPr>
              <w:ind w:left="660"/>
              <w:spacing w:after="0"/>
              <w:rPr>
                <w:sz w:val="20"/>
                <w:szCs w:val="20"/>
                <w:color w:val="auto"/>
              </w:rPr>
            </w:pPr>
            <w:r>
              <w:rPr>
                <w:rFonts w:ascii="Arial" w:cs="Arial" w:eastAsia="Arial" w:hAnsi="Arial"/>
                <w:sz w:val="18"/>
                <w:szCs w:val="18"/>
                <w:color w:val="auto"/>
              </w:rPr>
              <w:t xml:space="preserve">Expiration </w:t>
            </w:r>
            <w:r>
              <w:rPr>
                <w:rFonts w:ascii="Arial" w:cs="Arial" w:eastAsia="Arial" w:hAnsi="Arial"/>
                <w:sz w:val="17"/>
                <w:szCs w:val="17"/>
                <w:color w:val="auto"/>
              </w:rPr>
              <w:t>Date:</w:t>
            </w:r>
          </w:p>
        </w:tc>
        <w:tc>
          <w:tcPr>
            <w:tcW w:w="7320" w:type="dxa"/>
            <w:vAlign w:val="bottom"/>
          </w:tcPr>
          <w:p>
            <w:pPr>
              <w:ind w:left="860"/>
              <w:spacing w:after="0"/>
              <w:rPr>
                <w:sz w:val="20"/>
                <w:szCs w:val="20"/>
                <w:color w:val="auto"/>
              </w:rPr>
            </w:pPr>
            <w:r>
              <w:rPr>
                <w:rFonts w:ascii="Arial" w:cs="Arial" w:eastAsia="Arial" w:hAnsi="Arial"/>
                <w:sz w:val="18"/>
                <w:szCs w:val="18"/>
                <w:color w:val="auto"/>
                <w:w w:val="92"/>
              </w:rPr>
              <w:t>As provided in Annex A to this Confirmation (or, if such date is not a Scheduled Trading</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1"/>
              </w:rPr>
              <w:t>Day, the next following Scheduled Trading Day that is not already an Expiration Date for</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8"/>
              </w:rPr>
              <w:t xml:space="preserve">another Component);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notwithstanding anything to the contrary in the</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3"/>
              </w:rPr>
              <w:t>Equity Definitions, if that date is a Disrupted Day, the Calculation Agent may determine</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4"/>
              </w:rPr>
              <w:t>that the Expiration Date for such Component is a Disrupted Day in whole or in part, in</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9"/>
              </w:rPr>
              <w:t>which case the Calculation Agent shall, in its reasonable discretion, determine the</w:t>
            </w:r>
          </w:p>
        </w:tc>
      </w:tr>
      <w:tr>
        <w:trPr>
          <w:trHeight w:val="229"/>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number of Options for which such day shall be</w:t>
            </w:r>
          </w:p>
        </w:tc>
      </w:tr>
      <w:tr>
        <w:trPr>
          <w:trHeight w:val="430"/>
        </w:trPr>
        <w:tc>
          <w:tcPr>
            <w:tcW w:w="4140" w:type="dxa"/>
            <w:vAlign w:val="bottom"/>
          </w:tcPr>
          <w:p>
            <w:pPr>
              <w:spacing w:after="0"/>
              <w:rPr>
                <w:sz w:val="24"/>
                <w:szCs w:val="24"/>
                <w:color w:val="auto"/>
              </w:rPr>
            </w:pPr>
          </w:p>
        </w:tc>
        <w:tc>
          <w:tcPr>
            <w:tcW w:w="7320" w:type="dxa"/>
            <w:vAlign w:val="bottom"/>
          </w:tcPr>
          <w:p>
            <w:pPr>
              <w:ind w:left="1520"/>
              <w:spacing w:after="0"/>
              <w:rPr>
                <w:sz w:val="20"/>
                <w:szCs w:val="20"/>
                <w:color w:val="auto"/>
              </w:rPr>
            </w:pPr>
            <w:r>
              <w:rPr>
                <w:rFonts w:ascii="Arial" w:cs="Arial" w:eastAsia="Arial" w:hAnsi="Arial"/>
                <w:sz w:val="18"/>
                <w:szCs w:val="18"/>
                <w:color w:val="auto"/>
              </w:rPr>
              <w:t>3</w:t>
            </w:r>
          </w:p>
        </w:tc>
      </w:tr>
      <w:tr>
        <w:trPr>
          <w:trHeight w:val="131"/>
        </w:trPr>
        <w:tc>
          <w:tcPr>
            <w:tcW w:w="4140" w:type="dxa"/>
            <w:vAlign w:val="bottom"/>
            <w:tcBorders>
              <w:bottom w:val="single" w:sz="8" w:color="010101"/>
            </w:tcBorders>
          </w:tcPr>
          <w:p>
            <w:pPr>
              <w:spacing w:after="0"/>
              <w:rPr>
                <w:sz w:val="11"/>
                <w:szCs w:val="11"/>
                <w:color w:val="auto"/>
              </w:rPr>
            </w:pPr>
          </w:p>
        </w:tc>
        <w:tc>
          <w:tcPr>
            <w:tcW w:w="7320" w:type="dxa"/>
            <w:vAlign w:val="bottom"/>
            <w:tcBorders>
              <w:bottom w:val="single" w:sz="8" w:color="010101"/>
            </w:tcBorders>
          </w:tcPr>
          <w:p>
            <w:pPr>
              <w:spacing w:after="0"/>
              <w:rPr>
                <w:sz w:val="11"/>
                <w:szCs w:val="11"/>
                <w:color w:val="auto"/>
              </w:rPr>
            </w:pPr>
          </w:p>
        </w:tc>
      </w:tr>
      <w:tr>
        <w:trPr>
          <w:trHeight w:val="761"/>
        </w:trPr>
        <w:tc>
          <w:tcPr>
            <w:tcW w:w="4140" w:type="dxa"/>
            <w:vAlign w:val="bottom"/>
          </w:tcPr>
          <w:p>
            <w:pPr>
              <w:spacing w:after="0"/>
              <w:rPr>
                <w:sz w:val="24"/>
                <w:szCs w:val="24"/>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5"/>
              </w:rPr>
              <w:t>the Expiration Date and (i) allocate the remaining Options for such Expiration Date to</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one or more of the remaining Expiration Dates, (ii) designate the first succeeding</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2"/>
              </w:rPr>
              <w:t>Scheduled Trading Day that is not a Disrupted Day and is not or is not deemed to be an</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2"/>
              </w:rPr>
              <w:t>Expiration Date in respect of any other Component of the Transaction hereunder as the</w:t>
            </w:r>
          </w:p>
        </w:tc>
      </w:tr>
      <w:tr>
        <w:trPr>
          <w:trHeight w:val="221"/>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w w:val="98"/>
              </w:rPr>
              <w:t xml:space="preserve">Expiration Date for such remaining Options, or (iii) a combination thereof; </w:t>
            </w:r>
            <w:r>
              <w:rPr>
                <w:rFonts w:ascii="Arial" w:cs="Arial" w:eastAsia="Arial" w:hAnsi="Arial"/>
                <w:sz w:val="17"/>
                <w:szCs w:val="17"/>
                <w:i w:val="1"/>
                <w:iCs w:val="1"/>
                <w:color w:val="auto"/>
                <w:w w:val="98"/>
              </w:rPr>
              <w:t>provided</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7"/>
                <w:szCs w:val="17"/>
                <w:i w:val="1"/>
                <w:iCs w:val="1"/>
                <w:color w:val="auto"/>
                <w:w w:val="96"/>
              </w:rPr>
              <w:t xml:space="preserve">further </w:t>
            </w:r>
            <w:r>
              <w:rPr>
                <w:rFonts w:ascii="Arial" w:cs="Arial" w:eastAsia="Arial" w:hAnsi="Arial"/>
                <w:sz w:val="17"/>
                <w:szCs w:val="17"/>
                <w:color w:val="auto"/>
                <w:w w:val="96"/>
              </w:rPr>
              <w:t>that if the Expiration Date for a Component (including any portion of a Component</w:t>
            </w:r>
          </w:p>
        </w:tc>
      </w:tr>
      <w:tr>
        <w:trPr>
          <w:trHeight w:val="215"/>
        </w:trPr>
        <w:tc>
          <w:tcPr>
            <w:tcW w:w="414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7"/>
                <w:szCs w:val="17"/>
                <w:color w:val="auto"/>
              </w:rPr>
              <w:t>whose Expiration Date was postponed as a result of clause (ii) or (iii) above) has not</w:t>
            </w:r>
          </w:p>
        </w:tc>
      </w:tr>
      <w:tr>
        <w:trPr>
          <w:trHeight w:val="222"/>
        </w:trPr>
        <w:tc>
          <w:tcPr>
            <w:tcW w:w="4140" w:type="dxa"/>
            <w:vAlign w:val="bottom"/>
          </w:tcPr>
          <w:p>
            <w:pPr>
              <w:spacing w:after="0"/>
              <w:rPr>
                <w:sz w:val="19"/>
                <w:szCs w:val="19"/>
                <w:color w:val="auto"/>
              </w:rPr>
            </w:pPr>
          </w:p>
        </w:tc>
        <w:tc>
          <w:tcPr>
            <w:tcW w:w="7320" w:type="dxa"/>
            <w:vAlign w:val="bottom"/>
          </w:tcPr>
          <w:p>
            <w:pPr>
              <w:ind w:left="860"/>
              <w:spacing w:after="0"/>
              <w:rPr>
                <w:sz w:val="20"/>
                <w:szCs w:val="20"/>
                <w:color w:val="auto"/>
              </w:rPr>
            </w:pPr>
            <w:r>
              <w:rPr>
                <w:rFonts w:ascii="Arial" w:cs="Arial" w:eastAsia="Arial" w:hAnsi="Arial"/>
                <w:sz w:val="17"/>
                <w:szCs w:val="17"/>
                <w:color w:val="auto"/>
                <w:w w:val="94"/>
              </w:rPr>
              <w:t>occurred as of the Final Disruption Date, (a) such Final Disruption Date shall be deemed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-7793355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-7793355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-1475105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-1475105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7"/>
                <w:szCs w:val="17"/>
                <w:color w:val="auto"/>
                <w:w w:val="98"/>
              </w:rPr>
              <w:t>be the Expiration Date and Valuation Date for such Component, and (b) the Calculation</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7"/>
                <w:szCs w:val="17"/>
                <w:color w:val="auto"/>
                <w:w w:val="96"/>
              </w:rPr>
              <w:t>Agent shall determine the VWAP Price for such Component on the basis of its good faith</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7"/>
                <w:szCs w:val="17"/>
                <w:color w:val="auto"/>
                <w:w w:val="96"/>
              </w:rPr>
              <w:t>estimate of the trading value for the relevant Shares. Section 6.6 of the Equity Definitions</w:t>
            </w:r>
          </w:p>
        </w:tc>
      </w:tr>
      <w:tr>
        <w:trPr>
          <w:trHeight w:val="222"/>
        </w:trPr>
        <w:tc>
          <w:tcPr>
            <w:tcW w:w="428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7"/>
                <w:szCs w:val="17"/>
                <w:color w:val="auto"/>
              </w:rPr>
              <w:t>shall not apply to any Valuation Date occurring on an Expiration Date.</w:t>
            </w:r>
          </w:p>
        </w:tc>
      </w:tr>
      <w:tr>
        <w:trPr>
          <w:trHeight w:val="432"/>
        </w:trPr>
        <w:tc>
          <w:tcPr>
            <w:tcW w:w="428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7180" w:type="dxa"/>
            <w:vAlign w:val="bottom"/>
          </w:tcPr>
          <w:p>
            <w:pPr>
              <w:ind w:left="720"/>
              <w:spacing w:after="0"/>
              <w:rPr>
                <w:sz w:val="20"/>
                <w:szCs w:val="20"/>
                <w:color w:val="auto"/>
              </w:rPr>
            </w:pPr>
            <w:r>
              <w:rPr>
                <w:rFonts w:ascii="Arial" w:cs="Arial" w:eastAsia="Arial" w:hAnsi="Arial"/>
                <w:sz w:val="18"/>
                <w:szCs w:val="18"/>
                <w:color w:val="auto"/>
              </w:rPr>
              <w:t>November 30, 2012</w:t>
            </w:r>
          </w:p>
        </w:tc>
      </w:tr>
      <w:tr>
        <w:trPr>
          <w:trHeight w:val="415"/>
        </w:trPr>
        <w:tc>
          <w:tcPr>
            <w:tcW w:w="428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7180" w:type="dxa"/>
            <w:vAlign w:val="bottom"/>
          </w:tcPr>
          <w:p>
            <w:pPr>
              <w:ind w:left="720"/>
              <w:spacing w:after="0"/>
              <w:rPr>
                <w:sz w:val="20"/>
                <w:szCs w:val="20"/>
                <w:color w:val="auto"/>
              </w:rPr>
            </w:pPr>
            <w:r>
              <w:rPr>
                <w:rFonts w:ascii="Arial" w:cs="Arial" w:eastAsia="Arial" w:hAnsi="Arial"/>
                <w:sz w:val="18"/>
                <w:szCs w:val="18"/>
                <w:color w:val="auto"/>
              </w:rPr>
              <w:t>Section 6.3(a) of the Equity Definitions is hereby amended by replacing clause</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(ii) thereof in its entirety with the following: “(ii) an Exchange Disruption, or” and</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3"/>
              </w:rPr>
              <w:t>inserting immediately following clause (iii) thereof the following: “; in each case that the</w:t>
            </w:r>
          </w:p>
        </w:tc>
      </w:tr>
      <w:tr>
        <w:trPr>
          <w:trHeight w:val="229"/>
        </w:trPr>
        <w:tc>
          <w:tcPr>
            <w:tcW w:w="428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Calculation Agent determines is material.”</w:t>
            </w:r>
          </w:p>
        </w:tc>
      </w:tr>
      <w:tr>
        <w:trPr>
          <w:trHeight w:val="415"/>
        </w:trPr>
        <w:tc>
          <w:tcPr>
            <w:tcW w:w="4280" w:type="dxa"/>
            <w:vAlign w:val="bottom"/>
          </w:tcPr>
          <w:p>
            <w:pPr>
              <w:ind w:left="660"/>
              <w:spacing w:after="0"/>
              <w:rPr>
                <w:sz w:val="20"/>
                <w:szCs w:val="20"/>
                <w:color w:val="auto"/>
              </w:rPr>
            </w:pPr>
            <w:r>
              <w:rPr>
                <w:rFonts w:ascii="Arial" w:cs="Arial" w:eastAsia="Arial" w:hAnsi="Arial"/>
                <w:sz w:val="18"/>
                <w:szCs w:val="18"/>
                <w:color w:val="auto"/>
              </w:rPr>
              <w:t>Exchange Business Day; Disrupted Day:</w:t>
            </w: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Sections 1.29 and 6.4 of the Equity Definitions are hereby amended by adding “, unless</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9"/>
              </w:rPr>
              <w:t>the Calculation Agent reasonably determines that any failure of such Exchange or</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Related Exchange to open does not have a material effect on the trading market for the</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5"/>
              </w:rPr>
              <w:t>Shares” following the words “regular trading sessions” in the third line thereof and the</w:t>
            </w:r>
          </w:p>
        </w:tc>
      </w:tr>
      <w:tr>
        <w:trPr>
          <w:trHeight w:val="229"/>
        </w:trPr>
        <w:tc>
          <w:tcPr>
            <w:tcW w:w="428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words “regular trading session” in the second line thereof, respectively.</w:t>
            </w:r>
          </w:p>
        </w:tc>
      </w:tr>
      <w:tr>
        <w:trPr>
          <w:trHeight w:val="415"/>
        </w:trPr>
        <w:tc>
          <w:tcPr>
            <w:tcW w:w="4280" w:type="dxa"/>
            <w:vAlign w:val="bottom"/>
          </w:tcPr>
          <w:p>
            <w:pPr>
              <w:ind w:left="660"/>
              <w:spacing w:after="0"/>
              <w:rPr>
                <w:sz w:val="20"/>
                <w:szCs w:val="20"/>
                <w:color w:val="auto"/>
              </w:rPr>
            </w:pPr>
            <w:r>
              <w:rPr>
                <w:rFonts w:ascii="Arial" w:cs="Arial" w:eastAsia="Arial" w:hAnsi="Arial"/>
                <w:sz w:val="18"/>
                <w:szCs w:val="18"/>
                <w:color w:val="auto"/>
              </w:rPr>
              <w:t>Automatic Exercise:</w:t>
            </w:r>
          </w:p>
        </w:tc>
        <w:tc>
          <w:tcPr>
            <w:tcW w:w="7180" w:type="dxa"/>
            <w:vAlign w:val="bottom"/>
          </w:tcPr>
          <w:p>
            <w:pPr>
              <w:ind w:left="720"/>
              <w:spacing w:after="0"/>
              <w:rPr>
                <w:sz w:val="20"/>
                <w:szCs w:val="20"/>
                <w:color w:val="auto"/>
              </w:rPr>
            </w:pPr>
            <w:r>
              <w:rPr>
                <w:rFonts w:ascii="Arial" w:cs="Arial" w:eastAsia="Arial" w:hAnsi="Arial"/>
                <w:sz w:val="18"/>
                <w:szCs w:val="18"/>
                <w:color w:val="auto"/>
                <w:w w:val="94"/>
              </w:rPr>
              <w:t>Applicable; and means that the Number of Options for the relevant Component will be</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3"/>
              </w:rPr>
              <w:t>deemed to be automatically exercised at the Expiration Time on the Expiration Date for</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1"/>
              </w:rPr>
              <w:t>such Component if at such time such Component is In-the-Money, as determined by the</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5"/>
              </w:rPr>
              <w:t>Calculation Agent, unless Buyer notifies Seller (by telephone or in writing) prior to the</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6"/>
              </w:rPr>
              <w:t>Expiration Time on such Expiration Date that it does not wish Automatic Exercise to</w:t>
            </w:r>
          </w:p>
        </w:tc>
      </w:tr>
      <w:tr>
        <w:trPr>
          <w:trHeight w:val="211"/>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3"/>
              </w:rPr>
              <w:t>occur with respect to such Component, in which case Automatic Exercise will not apply</w:t>
            </w:r>
          </w:p>
        </w:tc>
      </w:tr>
      <w:tr>
        <w:trPr>
          <w:trHeight w:val="219"/>
        </w:trPr>
        <w:tc>
          <w:tcPr>
            <w:tcW w:w="428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with respect to such Component. “</w:t>
            </w:r>
            <w:r>
              <w:rPr>
                <w:rFonts w:ascii="Arial" w:cs="Arial" w:eastAsia="Arial" w:hAnsi="Arial"/>
                <w:sz w:val="18"/>
                <w:szCs w:val="18"/>
                <w:b w:val="1"/>
                <w:bCs w:val="1"/>
                <w:color w:val="auto"/>
                <w:w w:val="92"/>
              </w:rPr>
              <w:t>In-the-Money</w:t>
            </w:r>
            <w:r>
              <w:rPr>
                <w:rFonts w:ascii="Arial" w:cs="Arial" w:eastAsia="Arial" w:hAnsi="Arial"/>
                <w:sz w:val="18"/>
                <w:szCs w:val="18"/>
                <w:color w:val="auto"/>
                <w:w w:val="92"/>
              </w:rPr>
              <w:t>” means, in respect of any Component,</w:t>
            </w:r>
          </w:p>
        </w:tc>
      </w:tr>
      <w:tr>
        <w:trPr>
          <w:trHeight w:val="215"/>
        </w:trPr>
        <w:tc>
          <w:tcPr>
            <w:tcW w:w="428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6"/>
              </w:rPr>
              <w:t>that the VWAP Price on the Expiration Date for such Component is greater than the</w:t>
            </w:r>
          </w:p>
        </w:tc>
      </w:tr>
      <w:tr>
        <w:trPr>
          <w:trHeight w:val="229"/>
        </w:trPr>
        <w:tc>
          <w:tcPr>
            <w:tcW w:w="428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Strike Price for such Component.</w:t>
            </w:r>
          </w:p>
        </w:tc>
      </w:tr>
      <w:tr>
        <w:trPr>
          <w:trHeight w:val="430"/>
        </w:trPr>
        <w:tc>
          <w:tcPr>
            <w:tcW w:w="428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4</w:t>
            </w:r>
          </w:p>
        </w:tc>
      </w:tr>
      <w:tr>
        <w:trPr>
          <w:trHeight w:val="131"/>
        </w:trPr>
        <w:tc>
          <w:tcPr>
            <w:tcW w:w="4280" w:type="dxa"/>
            <w:vAlign w:val="bottom"/>
            <w:tcBorders>
              <w:bottom w:val="single" w:sz="8" w:color="010101"/>
            </w:tcBorders>
          </w:tcPr>
          <w:p>
            <w:pPr>
              <w:spacing w:after="0"/>
              <w:rPr>
                <w:sz w:val="11"/>
                <w:szCs w:val="11"/>
                <w:color w:val="auto"/>
              </w:rPr>
            </w:pPr>
          </w:p>
        </w:tc>
        <w:tc>
          <w:tcPr>
            <w:tcW w:w="71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660" w:right="80"/>
        <w:spacing w:after="0" w:line="268" w:lineRule="auto"/>
        <w:rPr>
          <w:sz w:val="20"/>
          <w:szCs w:val="20"/>
          <w:color w:val="auto"/>
        </w:rPr>
      </w:pPr>
      <w:r>
        <w:rPr>
          <w:rFonts w:ascii="Arial" w:cs="Arial" w:eastAsia="Arial" w:hAnsi="Arial"/>
          <w:sz w:val="18"/>
          <w:szCs w:val="18"/>
          <w:color w:val="auto"/>
        </w:rPr>
        <w:t>Seller</w:t>
      </w:r>
      <w:r>
        <w:rPr>
          <w:rFonts w:ascii="Arial" w:cs="Arial" w:eastAsia="Arial" w:hAnsi="Arial"/>
          <w:sz w:val="17"/>
          <w:szCs w:val="17"/>
          <w:color w:val="auto"/>
        </w:rPr>
        <w:t>’s Telephone Number and Telex and/or Facsimile</w:t>
      </w:r>
      <w:r>
        <w:rPr>
          <w:rFonts w:ascii="Arial" w:cs="Arial" w:eastAsia="Arial" w:hAnsi="Arial"/>
          <w:sz w:val="18"/>
          <w:szCs w:val="18"/>
          <w:color w:val="auto"/>
        </w:rPr>
        <w:t xml:space="preserve"> </w:t>
      </w:r>
      <w:r>
        <w:rPr>
          <w:rFonts w:ascii="Arial" w:cs="Arial" w:eastAsia="Arial" w:hAnsi="Arial"/>
          <w:sz w:val="17"/>
          <w:szCs w:val="17"/>
          <w:color w:val="auto"/>
        </w:rPr>
        <w:t>Number and Contact Details for purpose of Giving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Electing Party: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 Date:</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Settlement Method: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Currency: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VWAP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To:</w:t>
            </w: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w w:val="93"/>
              </w:rPr>
              <w:t>Goldman, Sachs &amp; Co.</w:t>
            </w:r>
          </w:p>
        </w:tc>
      </w:tr>
      <w:tr>
        <w:trPr>
          <w:trHeight w:val="215"/>
        </w:trPr>
        <w:tc>
          <w:tcPr>
            <w:tcW w:w="1460" w:type="dxa"/>
            <w:vAlign w:val="bottom"/>
          </w:tcPr>
          <w:p>
            <w:pPr>
              <w:spacing w:after="0"/>
              <w:rPr>
                <w:sz w:val="18"/>
                <w:szCs w:val="18"/>
                <w:color w:val="auto"/>
              </w:rPr>
            </w:pP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rPr>
              <w:t>One New York Plaza</w:t>
            </w:r>
          </w:p>
        </w:tc>
      </w:tr>
      <w:tr>
        <w:trPr>
          <w:trHeight w:val="229"/>
        </w:trPr>
        <w:tc>
          <w:tcPr>
            <w:tcW w:w="1460" w:type="dxa"/>
            <w:vAlign w:val="bottom"/>
          </w:tcPr>
          <w:p>
            <w:pPr>
              <w:spacing w:after="0"/>
              <w:rPr>
                <w:sz w:val="19"/>
                <w:szCs w:val="19"/>
                <w:color w:val="auto"/>
              </w:rPr>
            </w:pP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rPr>
              <w:t>New York, NY 10004</w:t>
            </w:r>
          </w:p>
        </w:tc>
      </w:tr>
      <w:tr>
        <w:trPr>
          <w:trHeight w:val="415"/>
        </w:trPr>
        <w:tc>
          <w:tcPr>
            <w:tcW w:w="1460" w:type="dxa"/>
            <w:vAlign w:val="bottom"/>
          </w:tcPr>
          <w:p>
            <w:pPr>
              <w:spacing w:after="0"/>
              <w:rPr>
                <w:sz w:val="20"/>
                <w:szCs w:val="20"/>
                <w:color w:val="auto"/>
              </w:rPr>
            </w:pPr>
            <w:r>
              <w:rPr>
                <w:rFonts w:ascii="Arial" w:cs="Arial" w:eastAsia="Arial" w:hAnsi="Arial"/>
                <w:sz w:val="18"/>
                <w:szCs w:val="18"/>
                <w:color w:val="auto"/>
              </w:rPr>
              <w:t>Attn:</w:t>
            </w: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rPr>
              <w:t>Equity Operations:</w:t>
            </w:r>
          </w:p>
        </w:tc>
      </w:tr>
      <w:tr>
        <w:trPr>
          <w:trHeight w:val="215"/>
        </w:trPr>
        <w:tc>
          <w:tcPr>
            <w:tcW w:w="1460" w:type="dxa"/>
            <w:vAlign w:val="bottom"/>
          </w:tcPr>
          <w:p>
            <w:pPr>
              <w:spacing w:after="0"/>
              <w:rPr>
                <w:sz w:val="18"/>
                <w:szCs w:val="18"/>
                <w:color w:val="auto"/>
              </w:rPr>
            </w:pP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w w:val="89"/>
              </w:rPr>
              <w:t>Options and Derivatives</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Telephone:</w:t>
            </w:r>
          </w:p>
        </w:tc>
        <w:tc>
          <w:tcPr>
            <w:tcW w:w="780" w:type="dxa"/>
            <w:vAlign w:val="bottom"/>
          </w:tcPr>
          <w:p>
            <w:pPr>
              <w:ind w:left="380"/>
              <w:spacing w:after="0"/>
              <w:rPr>
                <w:sz w:val="20"/>
                <w:szCs w:val="20"/>
                <w:color w:val="auto"/>
              </w:rPr>
            </w:pPr>
            <w:r>
              <w:rPr>
                <w:rFonts w:ascii="Arial" w:cs="Arial" w:eastAsia="Arial" w:hAnsi="Arial"/>
                <w:sz w:val="18"/>
                <w:szCs w:val="18"/>
                <w:color w:val="auto"/>
                <w:w w:val="90"/>
              </w:rPr>
              <w:t>(212)</w:t>
            </w:r>
          </w:p>
        </w:tc>
        <w:tc>
          <w:tcPr>
            <w:tcW w:w="1340" w:type="dxa"/>
            <w:vAlign w:val="bottom"/>
          </w:tcPr>
          <w:p>
            <w:pPr>
              <w:ind w:left="20"/>
              <w:spacing w:after="0"/>
              <w:rPr>
                <w:sz w:val="20"/>
                <w:szCs w:val="20"/>
                <w:color w:val="auto"/>
              </w:rPr>
            </w:pPr>
            <w:r>
              <w:rPr>
                <w:rFonts w:ascii="Arial" w:cs="Arial" w:eastAsia="Arial" w:hAnsi="Arial"/>
                <w:sz w:val="18"/>
                <w:szCs w:val="18"/>
                <w:color w:val="auto"/>
              </w:rPr>
              <w:t>902-1981</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Facsimile:</w:t>
            </w:r>
          </w:p>
        </w:tc>
        <w:tc>
          <w:tcPr>
            <w:tcW w:w="780" w:type="dxa"/>
            <w:vAlign w:val="bottom"/>
          </w:tcPr>
          <w:p>
            <w:pPr>
              <w:ind w:left="380"/>
              <w:spacing w:after="0"/>
              <w:rPr>
                <w:sz w:val="20"/>
                <w:szCs w:val="20"/>
                <w:color w:val="auto"/>
              </w:rPr>
            </w:pPr>
            <w:r>
              <w:rPr>
                <w:rFonts w:ascii="Arial" w:cs="Arial" w:eastAsia="Arial" w:hAnsi="Arial"/>
                <w:sz w:val="18"/>
                <w:szCs w:val="18"/>
                <w:color w:val="auto"/>
                <w:w w:val="90"/>
              </w:rPr>
              <w:t>(212)</w:t>
            </w:r>
          </w:p>
        </w:tc>
        <w:tc>
          <w:tcPr>
            <w:tcW w:w="1340" w:type="dxa"/>
            <w:vAlign w:val="bottom"/>
          </w:tcPr>
          <w:p>
            <w:pPr>
              <w:ind w:left="20"/>
              <w:spacing w:after="0"/>
              <w:rPr>
                <w:sz w:val="20"/>
                <w:szCs w:val="20"/>
                <w:color w:val="auto"/>
              </w:rPr>
            </w:pPr>
            <w:r>
              <w:rPr>
                <w:rFonts w:ascii="Arial" w:cs="Arial" w:eastAsia="Arial" w:hAnsi="Arial"/>
                <w:sz w:val="18"/>
                <w:szCs w:val="18"/>
                <w:color w:val="auto"/>
              </w:rPr>
              <w:t>428-1980/1983</w:t>
            </w:r>
          </w:p>
        </w:tc>
      </w:tr>
      <w:tr>
        <w:trPr>
          <w:trHeight w:val="430"/>
        </w:trPr>
        <w:tc>
          <w:tcPr>
            <w:tcW w:w="1460" w:type="dxa"/>
            <w:vAlign w:val="bottom"/>
          </w:tcPr>
          <w:p>
            <w:pPr>
              <w:spacing w:after="0"/>
              <w:rPr>
                <w:sz w:val="20"/>
                <w:szCs w:val="20"/>
                <w:color w:val="auto"/>
              </w:rPr>
            </w:pPr>
            <w:r>
              <w:rPr>
                <w:rFonts w:ascii="Arial" w:cs="Arial" w:eastAsia="Arial" w:hAnsi="Arial"/>
                <w:sz w:val="18"/>
                <w:szCs w:val="18"/>
                <w:color w:val="auto"/>
              </w:rPr>
              <w:t>With a copy to:</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5"/>
        </w:trPr>
        <w:tc>
          <w:tcPr>
            <w:tcW w:w="1460" w:type="dxa"/>
            <w:vAlign w:val="bottom"/>
          </w:tcPr>
          <w:p>
            <w:pPr>
              <w:spacing w:after="0"/>
              <w:rPr>
                <w:sz w:val="20"/>
                <w:szCs w:val="20"/>
                <w:color w:val="auto"/>
              </w:rPr>
            </w:pPr>
            <w:r>
              <w:rPr>
                <w:rFonts w:ascii="Arial" w:cs="Arial" w:eastAsia="Arial" w:hAnsi="Arial"/>
                <w:sz w:val="18"/>
                <w:szCs w:val="18"/>
                <w:color w:val="auto"/>
              </w:rPr>
              <w:t>Attn:</w:t>
            </w: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rPr>
              <w:t>Serge Marquié</w:t>
            </w:r>
          </w:p>
        </w:tc>
      </w:tr>
      <w:tr>
        <w:trPr>
          <w:trHeight w:val="215"/>
        </w:trPr>
        <w:tc>
          <w:tcPr>
            <w:tcW w:w="1460" w:type="dxa"/>
            <w:vAlign w:val="bottom"/>
          </w:tcPr>
          <w:p>
            <w:pPr>
              <w:spacing w:after="0"/>
              <w:rPr>
                <w:sz w:val="18"/>
                <w:szCs w:val="18"/>
                <w:color w:val="auto"/>
              </w:rPr>
            </w:pPr>
          </w:p>
        </w:tc>
        <w:tc>
          <w:tcPr>
            <w:tcW w:w="2120" w:type="dxa"/>
            <w:vAlign w:val="bottom"/>
            <w:gridSpan w:val="2"/>
          </w:tcPr>
          <w:p>
            <w:pPr>
              <w:ind w:left="380"/>
              <w:spacing w:after="0"/>
              <w:rPr>
                <w:sz w:val="20"/>
                <w:szCs w:val="20"/>
                <w:color w:val="auto"/>
              </w:rPr>
            </w:pPr>
            <w:r>
              <w:rPr>
                <w:rFonts w:ascii="Arial" w:cs="Arial" w:eastAsia="Arial" w:hAnsi="Arial"/>
                <w:sz w:val="18"/>
                <w:szCs w:val="18"/>
                <w:color w:val="auto"/>
                <w:w w:val="95"/>
              </w:rPr>
              <w:t>Equity Capital Markets</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Telephone:</w:t>
            </w:r>
          </w:p>
        </w:tc>
        <w:tc>
          <w:tcPr>
            <w:tcW w:w="780" w:type="dxa"/>
            <w:vAlign w:val="bottom"/>
          </w:tcPr>
          <w:p>
            <w:pPr>
              <w:ind w:left="380"/>
              <w:spacing w:after="0"/>
              <w:rPr>
                <w:sz w:val="20"/>
                <w:szCs w:val="20"/>
                <w:color w:val="auto"/>
              </w:rPr>
            </w:pPr>
            <w:r>
              <w:rPr>
                <w:rFonts w:ascii="Arial" w:cs="Arial" w:eastAsia="Arial" w:hAnsi="Arial"/>
                <w:sz w:val="18"/>
                <w:szCs w:val="18"/>
                <w:color w:val="auto"/>
                <w:w w:val="90"/>
              </w:rPr>
              <w:t>(212)</w:t>
            </w:r>
          </w:p>
        </w:tc>
        <w:tc>
          <w:tcPr>
            <w:tcW w:w="1340" w:type="dxa"/>
            <w:vAlign w:val="bottom"/>
          </w:tcPr>
          <w:p>
            <w:pPr>
              <w:ind w:left="20"/>
              <w:spacing w:after="0"/>
              <w:rPr>
                <w:sz w:val="20"/>
                <w:szCs w:val="20"/>
                <w:color w:val="auto"/>
              </w:rPr>
            </w:pPr>
            <w:r>
              <w:rPr>
                <w:rFonts w:ascii="Arial" w:cs="Arial" w:eastAsia="Arial" w:hAnsi="Arial"/>
                <w:sz w:val="18"/>
                <w:szCs w:val="18"/>
                <w:color w:val="auto"/>
              </w:rPr>
              <w:t>902-9779</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Facsimile:</w:t>
            </w:r>
          </w:p>
        </w:tc>
        <w:tc>
          <w:tcPr>
            <w:tcW w:w="780" w:type="dxa"/>
            <w:vAlign w:val="bottom"/>
          </w:tcPr>
          <w:p>
            <w:pPr>
              <w:ind w:left="380"/>
              <w:spacing w:after="0"/>
              <w:rPr>
                <w:sz w:val="20"/>
                <w:szCs w:val="20"/>
                <w:color w:val="auto"/>
              </w:rPr>
            </w:pPr>
            <w:r>
              <w:rPr>
                <w:rFonts w:ascii="Arial" w:cs="Arial" w:eastAsia="Arial" w:hAnsi="Arial"/>
                <w:sz w:val="18"/>
                <w:szCs w:val="18"/>
                <w:color w:val="auto"/>
                <w:w w:val="90"/>
              </w:rPr>
              <w:t>(212)</w:t>
            </w:r>
          </w:p>
        </w:tc>
        <w:tc>
          <w:tcPr>
            <w:tcW w:w="1340" w:type="dxa"/>
            <w:vAlign w:val="bottom"/>
          </w:tcPr>
          <w:p>
            <w:pPr>
              <w:ind w:left="20"/>
              <w:spacing w:after="0"/>
              <w:rPr>
                <w:sz w:val="20"/>
                <w:szCs w:val="20"/>
                <w:color w:val="auto"/>
              </w:rPr>
            </w:pPr>
            <w:r>
              <w:rPr>
                <w:rFonts w:ascii="Arial" w:cs="Arial" w:eastAsia="Arial" w:hAnsi="Arial"/>
                <w:sz w:val="18"/>
                <w:szCs w:val="18"/>
                <w:color w:val="auto"/>
              </w:rPr>
              <w:t>902-3000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right="80"/>
        <w:spacing w:after="0" w:line="269"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Section 7.1 of the Equity Definitions is hereby amended by replacing the term “Physical Settlement” with the term “Net Share Settlement”, (b) Counterparty must make a single irrevocable election for all Components and (c) such Settlement Method Election would be effective only if Counterparty represents and warrants to Dealer in writing on the date of such Settlement Method Election that none of Counterparty and its officers and directors is aware of any material nonpublic information regarding Counterparty or the Shares as of such date.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Counterparty</w:t>
      </w:r>
    </w:p>
    <w:p>
      <w:pPr>
        <w:spacing w:after="0" w:line="223" w:lineRule="exact"/>
        <w:rPr>
          <w:sz w:val="20"/>
          <w:szCs w:val="20"/>
          <w:color w:val="auto"/>
        </w:rPr>
      </w:pPr>
    </w:p>
    <w:p>
      <w:pPr>
        <w:ind w:left="20" w:right="140"/>
        <w:spacing w:after="0" w:line="275" w:lineRule="auto"/>
        <w:rPr>
          <w:sz w:val="20"/>
          <w:szCs w:val="20"/>
          <w:color w:val="auto"/>
        </w:rPr>
      </w:pPr>
      <w:r>
        <w:rPr>
          <w:rFonts w:ascii="Arial" w:cs="Arial" w:eastAsia="Arial" w:hAnsi="Arial"/>
          <w:sz w:val="18"/>
          <w:szCs w:val="18"/>
          <w:color w:val="auto"/>
        </w:rPr>
        <w:t>The fifth Scheduled Trading Day prior to the scheduled Expiration Date for the first Component.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Share Settlement</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USD</w:t>
      </w:r>
    </w:p>
    <w:p>
      <w:pPr>
        <w:spacing w:after="0" w:line="223" w:lineRule="exact"/>
        <w:rPr>
          <w:sz w:val="20"/>
          <w:szCs w:val="20"/>
          <w:color w:val="auto"/>
        </w:rPr>
      </w:pPr>
    </w:p>
    <w:p>
      <w:pPr>
        <w:ind w:left="20" w:right="140"/>
        <w:spacing w:after="0" w:line="295" w:lineRule="auto"/>
        <w:rPr>
          <w:sz w:val="20"/>
          <w:szCs w:val="20"/>
          <w:color w:val="auto"/>
        </w:rPr>
      </w:pPr>
      <w:r>
        <w:rPr>
          <w:rFonts w:ascii="Arial" w:cs="Arial" w:eastAsia="Arial" w:hAnsi="Arial"/>
          <w:sz w:val="16"/>
          <w:szCs w:val="16"/>
          <w:color w:val="auto"/>
        </w:rPr>
        <w:t>For any Expiration Date or other Exchange Business Day, as displayed on Bloomberg Page “MU.N &lt;Equity&gt; AQR” (or any successor thereto) for the Counterparty with respect to the period between 9:30 a.m. to 4:00 p.m. (New York City time) on such day, as determined by Calculation Agent. If no price is available, or there is a Market Disruption Event on such Expiration Date or other Exchange</w:t>
      </w:r>
    </w:p>
    <w:p>
      <w:pPr>
        <w:sectPr>
          <w:pgSz w:w="11900" w:h="16838" w:orient="portrait"/>
          <w:cols w:equalWidth="0" w:num="2">
            <w:col w:w="4580" w:space="720"/>
            <w:col w:w="6160"/>
          </w:cols>
          <w:pgMar w:left="240" w:top="131" w:right="199" w:bottom="0" w:gutter="0" w:footer="0" w:header="0"/>
          <w:type w:val="continuous"/>
        </w:sectPr>
      </w:pPr>
    </w:p>
    <w:bookmarkStart w:id="37" w:name="page38"/>
    <w:bookmarkEnd w:id="37"/>
    <w:p>
      <w:pPr>
        <w:ind w:left="5320"/>
        <w:spacing w:after="0"/>
        <w:rPr>
          <w:sz w:val="20"/>
          <w:szCs w:val="20"/>
          <w:color w:val="auto"/>
        </w:rPr>
      </w:pPr>
      <w:r>
        <w:rPr>
          <w:rFonts w:ascii="Arial" w:cs="Arial" w:eastAsia="Arial" w:hAnsi="Arial"/>
          <w:sz w:val="18"/>
          <w:szCs w:val="18"/>
          <w:color w:val="auto"/>
        </w:rPr>
        <w:t>Business Day, the Calculation Agent shall determine the VWAP Price in a</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commercially reasonable manner.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pacing w:after="0" w:line="223" w:lineRule="exact"/>
        <w:rPr>
          <w:sz w:val="20"/>
          <w:szCs w:val="20"/>
          <w:color w:val="auto"/>
        </w:rPr>
      </w:pPr>
    </w:p>
    <w:p>
      <w:pPr>
        <w:jc w:val="both"/>
        <w:ind w:left="5320" w:right="220" w:hanging="4658"/>
        <w:spacing w:after="0" w:line="262" w:lineRule="auto"/>
        <w:tabs>
          <w:tab w:leader="none" w:pos="530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8"/>
          <w:szCs w:val="18"/>
          <w:color w:val="auto"/>
        </w:rPr>
        <w:t>The Settlement Date shall be the third Scheduled Trading Day after the Expiration Date for the Component (or, in respect of all or part of its obligation to deliver the Number of Shares to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Settlement Payment Date:</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Delivered, such other earlier date or dates Dealer shall determine in its sole discretion).</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Net Share Settlement applies, on the Settlement Date for each Component, Dealer shall deliver to Counterparty a number of Shares equal to the Number of Shares to be Delivered for such Component to the account specified by Counterparty and cash in lieu of any fractional shares for such Component valued at the VWAP Price on the Expiration Date for such Component.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any Component, subject to the last sentence of Section 9.5 of the Equity Definitions:</w:t>
      </w:r>
    </w:p>
    <w:p>
      <w:pPr>
        <w:spacing w:after="0" w:line="246" w:lineRule="exact"/>
        <w:rPr>
          <w:sz w:val="20"/>
          <w:szCs w:val="20"/>
          <w:color w:val="auto"/>
        </w:rPr>
      </w:pPr>
    </w:p>
    <w:p>
      <w:pPr>
        <w:ind w:right="60" w:firstLine="2"/>
        <w:spacing w:after="0" w:line="255" w:lineRule="auto"/>
        <w:tabs>
          <w:tab w:leader="none" w:pos="2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exceeds the Strike Price for such Component but is less than the Cap Price for such Component, a number of Shares equal to (i) the product of (A) the excess of such VWAP Price over such Strike Price, (B) the Number of Options for such Component and (C) the Option Entitlement,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(ii) such VWAP Price;</w:t>
      </w:r>
    </w:p>
    <w:p>
      <w:pPr>
        <w:spacing w:after="0" w:line="189" w:lineRule="exact"/>
        <w:rPr>
          <w:rFonts w:ascii="Arial" w:cs="Arial" w:eastAsia="Arial" w:hAnsi="Arial"/>
          <w:sz w:val="18"/>
          <w:szCs w:val="18"/>
          <w:color w:val="auto"/>
        </w:rPr>
      </w:pPr>
    </w:p>
    <w:p>
      <w:pPr>
        <w:ind w:right="20" w:firstLine="2"/>
        <w:spacing w:after="0" w:line="255" w:lineRule="auto"/>
        <w:tabs>
          <w:tab w:leader="none" w:pos="3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if the VWAP Price on the Expiration Date for such Component equals or exceeds the Cap Price for such Component, a number of Shares equal to (i) the product of (A) the excess of such Cap Price over the Strike Price for such Component, (B) the Number of Options for such Component and (C) the Option 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p>
      <w:pPr>
        <w:spacing w:after="0" w:line="189" w:lineRule="exact"/>
        <w:rPr>
          <w:rFonts w:ascii="Arial" w:cs="Arial" w:eastAsia="Arial" w:hAnsi="Arial"/>
          <w:sz w:val="18"/>
          <w:szCs w:val="18"/>
          <w:color w:val="auto"/>
        </w:rPr>
      </w:pPr>
    </w:p>
    <w:p>
      <w:pPr>
        <w:ind w:right="100" w:firstLine="2"/>
        <w:spacing w:after="0" w:line="305" w:lineRule="auto"/>
        <w:tabs>
          <w:tab w:leader="none" w:pos="3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VWAP Price on the Expiration Date for such Component is less than or equal to the Strike Price for such Component, a number of Shares equal to zero.</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provisions of Sections 9.1(c), 9.8, 9.9, 9.10, 9.11 and 9.12 of the Equity Definitions will be applicable, as if Physical Settlement applied to the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Cash Settlement Payment Date shall be the third Scheduled Trading Day after the Expiration Date for each Component.</w:t>
      </w:r>
    </w:p>
    <w:p>
      <w:pPr>
        <w:spacing w:after="0" w:line="170"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If Cash Settlement applies, on the relevant Cash Settlement Payment Date for such Component, Dealer shall pay to Counterparty an amount equal to the sum of the Option Cash Settlement Amount for each Component to the account specified by Counterparty.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80010</wp:posOffset>
            </wp:positionV>
            <wp:extent cx="726884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420"/>
          </w:cols>
          <w:pgMar w:left="240" w:top="125" w:right="239" w:bottom="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660"/>
        <w:spacing w:after="0"/>
        <w:tabs>
          <w:tab w:leader="none" w:pos="5200" w:val="left"/>
        </w:tabs>
        <w:rPr>
          <w:sz w:val="20"/>
          <w:szCs w:val="20"/>
          <w:color w:val="auto"/>
        </w:rPr>
      </w:pPr>
      <w:r>
        <w:rPr>
          <w:rFonts w:ascii="Arial" w:cs="Arial" w:eastAsia="Arial" w:hAnsi="Arial"/>
          <w:sz w:val="18"/>
          <w:szCs w:val="18"/>
          <w:color w:val="auto"/>
        </w:rPr>
        <w:t>Strike Price Differential:</w:t>
      </w:r>
      <w:r>
        <w:rPr>
          <w:sz w:val="20"/>
          <w:szCs w:val="20"/>
          <w:color w:val="auto"/>
        </w:rPr>
        <w:tab/>
      </w:r>
      <w:r>
        <w:rPr>
          <w:rFonts w:ascii="Arial" w:cs="Arial" w:eastAsia="Arial" w:hAnsi="Arial"/>
          <w:sz w:val="16"/>
          <w:szCs w:val="16"/>
          <w:color w:val="auto"/>
        </w:rPr>
        <w:t>For any Component:</w:t>
      </w:r>
    </w:p>
    <w:p>
      <w:pPr>
        <w:spacing w:after="0" w:line="223" w:lineRule="exact"/>
        <w:rPr>
          <w:sz w:val="20"/>
          <w:szCs w:val="20"/>
          <w:color w:val="auto"/>
        </w:rPr>
      </w:pPr>
    </w:p>
    <w:p>
      <w:pPr>
        <w:ind w:left="5220" w:right="80" w:hanging="3"/>
        <w:spacing w:after="0" w:line="309" w:lineRule="auto"/>
        <w:tabs>
          <w:tab w:leader="none" w:pos="5478"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VWAP Price on the Expiration Date for such Component exceeds the Strike Price for such Component but is less than the Cap Price for such Component, an amount equal to the excess of such VWAP Price over such Strike Price.</w:t>
      </w:r>
    </w:p>
    <w:p>
      <w:pPr>
        <w:spacing w:after="0" w:line="148" w:lineRule="exact"/>
        <w:rPr>
          <w:rFonts w:ascii="Arial" w:cs="Arial" w:eastAsia="Arial" w:hAnsi="Arial"/>
          <w:sz w:val="16"/>
          <w:szCs w:val="16"/>
          <w:color w:val="auto"/>
        </w:rPr>
      </w:pPr>
    </w:p>
    <w:p>
      <w:pPr>
        <w:ind w:left="5220" w:right="80" w:hanging="3"/>
        <w:spacing w:after="0" w:line="262" w:lineRule="auto"/>
        <w:tabs>
          <w:tab w:leader="none" w:pos="55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VWAP Price on the Expiration Date for such Component equals or exceeds the Cap Price for such Component, an amount equal to the excess of such Cap Price over the Strike Price for such Component; or</w:t>
      </w:r>
    </w:p>
    <w:p>
      <w:pPr>
        <w:spacing w:after="0" w:line="181" w:lineRule="exact"/>
        <w:rPr>
          <w:rFonts w:ascii="Arial" w:cs="Arial" w:eastAsia="Arial" w:hAnsi="Arial"/>
          <w:sz w:val="18"/>
          <w:szCs w:val="18"/>
          <w:color w:val="auto"/>
        </w:rPr>
      </w:pPr>
    </w:p>
    <w:p>
      <w:pPr>
        <w:ind w:left="5220" w:right="300" w:hanging="3"/>
        <w:spacing w:after="0" w:line="275" w:lineRule="auto"/>
        <w:tabs>
          <w:tab w:leader="none" w:pos="55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VWAP Price on the Expiration Date for such Component is less than or equal to the Strike Price for such Component, zero.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Share </w:t>
      </w:r>
      <w:r>
        <w:rPr>
          <w:rFonts w:ascii="Arial" w:cs="Arial" w:eastAsia="Arial" w:hAnsi="Arial"/>
          <w:sz w:val="17"/>
          <w:szCs w:val="17"/>
          <w:color w:val="auto"/>
        </w:rPr>
        <w:t>Adjustments:</w:t>
      </w:r>
    </w:p>
    <w:p>
      <w:pPr>
        <w:spacing w:after="0" w:line="223" w:lineRule="exact"/>
        <w:rPr>
          <w:sz w:val="20"/>
          <w:szCs w:val="20"/>
          <w:color w:val="auto"/>
        </w:rPr>
      </w:pPr>
    </w:p>
    <w:p>
      <w:pPr>
        <w:ind w:left="5220" w:right="20" w:hanging="4564"/>
        <w:spacing w:after="0" w:line="262" w:lineRule="auto"/>
        <w:tabs>
          <w:tab w:leader="none" w:pos="5200" w:val="left"/>
        </w:tabs>
        <w:rPr>
          <w:sz w:val="20"/>
          <w:szCs w:val="20"/>
          <w:color w:val="auto"/>
        </w:rPr>
      </w:pPr>
      <w:r>
        <w:rPr>
          <w:rFonts w:ascii="Arial" w:cs="Arial" w:eastAsia="Arial" w:hAnsi="Arial"/>
          <w:sz w:val="18"/>
          <w:szCs w:val="18"/>
          <w:color w:val="auto"/>
        </w:rPr>
        <w:t>Method of Adjustment:</w:t>
      </w:r>
      <w:r>
        <w:rPr>
          <w:sz w:val="20"/>
          <w:szCs w:val="20"/>
          <w:color w:val="auto"/>
        </w:rPr>
        <w:tab/>
      </w:r>
      <w:r>
        <w:rPr>
          <w:rFonts w:ascii="Arial" w:cs="Arial" w:eastAsia="Arial" w:hAnsi="Arial"/>
          <w:sz w:val="18"/>
          <w:szCs w:val="18"/>
          <w:color w:val="auto"/>
        </w:rPr>
        <w:t>Calculation Agent Adjustment; provided that under Section 11.2(e)(v) of the definition of Potential Adjustment Event the word “repurchase” shall be replaced with the word “tender offer.”</w:t>
      </w:r>
    </w:p>
    <w:p>
      <w:pPr>
        <w:sectPr>
          <w:pgSz w:w="11900" w:h="16838" w:orient="portrait"/>
          <w:cols w:equalWidth="0" w:num="1">
            <w:col w:w="11420"/>
          </w:cols>
          <w:pgMar w:left="240" w:top="125" w:right="23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9"/>
        </w:trPr>
        <w:tc>
          <w:tcPr>
            <w:tcW w:w="4280" w:type="dxa"/>
            <w:vAlign w:val="bottom"/>
            <w:gridSpan w:val="2"/>
          </w:tcPr>
          <w:p>
            <w:pPr>
              <w:spacing w:after="0"/>
              <w:rPr>
                <w:sz w:val="20"/>
                <w:szCs w:val="20"/>
                <w:color w:val="auto"/>
              </w:rPr>
            </w:pPr>
            <w:r>
              <w:rPr>
                <w:rFonts w:ascii="Arial" w:cs="Arial" w:eastAsia="Arial" w:hAnsi="Arial"/>
                <w:sz w:val="18"/>
                <w:szCs w:val="18"/>
                <w:color w:val="auto"/>
              </w:rPr>
              <w:t>Extraordinary Events:</w:t>
            </w:r>
          </w:p>
        </w:tc>
        <w:tc>
          <w:tcPr>
            <w:tcW w:w="7180" w:type="dxa"/>
            <w:vAlign w:val="bottom"/>
          </w:tcPr>
          <w:p>
            <w:pPr>
              <w:spacing w:after="0"/>
              <w:rPr>
                <w:sz w:val="19"/>
                <w:szCs w:val="19"/>
                <w:color w:val="auto"/>
              </w:rPr>
            </w:pPr>
          </w:p>
        </w:tc>
      </w:tr>
      <w:tr>
        <w:trPr>
          <w:trHeight w:val="415"/>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New Shares:</w:t>
            </w:r>
          </w:p>
        </w:tc>
        <w:tc>
          <w:tcPr>
            <w:tcW w:w="7180" w:type="dxa"/>
            <w:vAlign w:val="bottom"/>
          </w:tcPr>
          <w:p>
            <w:pPr>
              <w:ind w:left="900"/>
              <w:spacing w:after="0"/>
              <w:rPr>
                <w:sz w:val="20"/>
                <w:szCs w:val="20"/>
                <w:color w:val="auto"/>
              </w:rPr>
            </w:pPr>
            <w:r>
              <w:rPr>
                <w:rFonts w:ascii="Arial" w:cs="Arial" w:eastAsia="Arial" w:hAnsi="Arial"/>
                <w:sz w:val="18"/>
                <w:szCs w:val="18"/>
                <w:color w:val="auto"/>
                <w:w w:val="94"/>
              </w:rPr>
              <w:t>In the definition of “New Shares” in Section 12.1(i) of the Equity Definitions, the text</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in subsection (i) shall be deleted in its entirety and replaced with: “publicly quoted,</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traded or listed on any of the New York Stock Exchange, the NASDAQ Global Select</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Market or the NASDAQ Global Market (or their respective successors).”</w:t>
            </w:r>
          </w:p>
        </w:tc>
      </w:tr>
      <w:tr>
        <w:trPr>
          <w:trHeight w:val="430"/>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Consequences of Merger Events:</w:t>
            </w:r>
          </w:p>
        </w:tc>
        <w:tc>
          <w:tcPr>
            <w:tcW w:w="7180" w:type="dxa"/>
            <w:vAlign w:val="bottom"/>
          </w:tcPr>
          <w:p>
            <w:pPr>
              <w:spacing w:after="0"/>
              <w:rPr>
                <w:sz w:val="24"/>
                <w:szCs w:val="24"/>
                <w:color w:val="auto"/>
              </w:rPr>
            </w:pPr>
          </w:p>
        </w:tc>
      </w:tr>
      <w:tr>
        <w:trPr>
          <w:trHeight w:val="415"/>
        </w:trPr>
        <w:tc>
          <w:tcPr>
            <w:tcW w:w="1240" w:type="dxa"/>
            <w:vAlign w:val="bottom"/>
          </w:tcPr>
          <w:p>
            <w:pPr>
              <w:ind w:left="980"/>
              <w:spacing w:after="0"/>
              <w:rPr>
                <w:sz w:val="20"/>
                <w:szCs w:val="20"/>
                <w:color w:val="auto"/>
              </w:rPr>
            </w:pPr>
            <w:r>
              <w:rPr>
                <w:rFonts w:ascii="Arial" w:cs="Arial" w:eastAsia="Arial" w:hAnsi="Arial"/>
                <w:sz w:val="18"/>
                <w:szCs w:val="18"/>
                <w:color w:val="auto"/>
              </w:rPr>
              <w:t>(a)</w:t>
            </w:r>
          </w:p>
        </w:tc>
        <w:tc>
          <w:tcPr>
            <w:tcW w:w="3040" w:type="dxa"/>
            <w:vAlign w:val="bottom"/>
          </w:tcPr>
          <w:p>
            <w:pPr>
              <w:ind w:left="60"/>
              <w:spacing w:after="0"/>
              <w:rPr>
                <w:sz w:val="20"/>
                <w:szCs w:val="20"/>
                <w:color w:val="auto"/>
              </w:rPr>
            </w:pPr>
            <w:r>
              <w:rPr>
                <w:rFonts w:ascii="Arial" w:cs="Arial" w:eastAsia="Arial" w:hAnsi="Arial"/>
                <w:sz w:val="18"/>
                <w:szCs w:val="18"/>
                <w:color w:val="auto"/>
              </w:rPr>
              <w:t>Share-for-Share:</w:t>
            </w:r>
          </w:p>
        </w:tc>
        <w:tc>
          <w:tcPr>
            <w:tcW w:w="7180" w:type="dxa"/>
            <w:vAlign w:val="bottom"/>
          </w:tcPr>
          <w:p>
            <w:pPr>
              <w:ind w:left="900"/>
              <w:spacing w:after="0"/>
              <w:rPr>
                <w:sz w:val="20"/>
                <w:szCs w:val="20"/>
                <w:color w:val="auto"/>
              </w:rPr>
            </w:pPr>
            <w:r>
              <w:rPr>
                <w:rFonts w:ascii="Arial" w:cs="Arial" w:eastAsia="Arial" w:hAnsi="Arial"/>
                <w:sz w:val="18"/>
                <w:szCs w:val="18"/>
                <w:color w:val="auto"/>
              </w:rPr>
              <w:t>Modified Calculation Agent Adjustment and, for the avoidance of doubt, if the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6"/>
              </w:rPr>
              <w:t>consideration for the Shares includes (or, at the option of a holder of Shares, may</w:t>
            </w:r>
          </w:p>
        </w:tc>
      </w:tr>
      <w:tr>
        <w:trPr>
          <w:trHeight w:val="211"/>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7"/>
              </w:rPr>
              <w:t>include) shares of an entity or person not organized under the laws of the United</w:t>
            </w:r>
          </w:p>
        </w:tc>
      </w:tr>
      <w:tr>
        <w:trPr>
          <w:trHeight w:val="21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States, any State thereof or the District of Columbia (“</w:t>
            </w:r>
            <w:r>
              <w:rPr>
                <w:rFonts w:ascii="Arial" w:cs="Arial" w:eastAsia="Arial" w:hAnsi="Arial"/>
                <w:sz w:val="18"/>
                <w:szCs w:val="18"/>
                <w:b w:val="1"/>
                <w:bCs w:val="1"/>
                <w:color w:val="auto"/>
                <w:w w:val="92"/>
              </w:rPr>
              <w:t>Foreign Issuer Shares</w:t>
            </w:r>
            <w:r>
              <w:rPr>
                <w:rFonts w:ascii="Arial" w:cs="Arial" w:eastAsia="Arial" w:hAnsi="Arial"/>
                <w:sz w:val="18"/>
                <w:szCs w:val="18"/>
                <w:color w:val="auto"/>
                <w:w w:val="92"/>
              </w:rPr>
              <w:t>”), then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the Calculation Agent may choose to apply Cancellation and Payment (Calculation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4"/>
              </w:rPr>
              <w:t>Agent Determination) to that portion of the consideration comprising Foreign Issuer</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Shares.</w:t>
            </w:r>
          </w:p>
        </w:tc>
      </w:tr>
      <w:tr>
        <w:trPr>
          <w:trHeight w:val="415"/>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3040" w:type="dxa"/>
            <w:vAlign w:val="bottom"/>
          </w:tcPr>
          <w:p>
            <w:pPr>
              <w:ind w:left="80"/>
              <w:spacing w:after="0"/>
              <w:rPr>
                <w:sz w:val="20"/>
                <w:szCs w:val="20"/>
                <w:color w:val="auto"/>
              </w:rPr>
            </w:pPr>
            <w:r>
              <w:rPr>
                <w:rFonts w:ascii="Arial" w:cs="Arial" w:eastAsia="Arial" w:hAnsi="Arial"/>
                <w:sz w:val="18"/>
                <w:szCs w:val="18"/>
                <w:color w:val="auto"/>
              </w:rPr>
              <w:t>Share-for-Other:</w:t>
            </w:r>
          </w:p>
        </w:tc>
        <w:tc>
          <w:tcPr>
            <w:tcW w:w="7180" w:type="dxa"/>
            <w:vAlign w:val="bottom"/>
          </w:tcPr>
          <w:p>
            <w:pPr>
              <w:ind w:left="900"/>
              <w:spacing w:after="0"/>
              <w:rPr>
                <w:sz w:val="20"/>
                <w:szCs w:val="20"/>
                <w:color w:val="auto"/>
              </w:rPr>
            </w:pPr>
            <w:r>
              <w:rPr>
                <w:rFonts w:ascii="Arial" w:cs="Arial" w:eastAsia="Arial" w:hAnsi="Arial"/>
                <w:sz w:val="18"/>
                <w:szCs w:val="18"/>
                <w:color w:val="auto"/>
                <w:w w:val="95"/>
              </w:rPr>
              <w:t>Cancellation and Payment (Calculation Agent Determination) on that portion of the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Other Consideration that consists of cash; Modified Calculation Agent Adjustment on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the remainder of the Other Consideration and, for the avoidance of doubt, if the Other</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3"/>
              </w:rPr>
              <w:t>Consideration includes (or, at the option of a holder of Shares, may include) Foreign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7"/>
              </w:rPr>
              <w:t>Issuer Shares, then the Calculation Agent may choose to apply Cancellation and</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w w:val="92"/>
              </w:rPr>
              <w:t>Payment (Calculation Agent Determination) to that portion of the Other Consideration</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900"/>
              <w:spacing w:after="0"/>
              <w:rPr>
                <w:sz w:val="20"/>
                <w:szCs w:val="20"/>
                <w:color w:val="auto"/>
              </w:rPr>
            </w:pPr>
            <w:r>
              <w:rPr>
                <w:rFonts w:ascii="Arial" w:cs="Arial" w:eastAsia="Arial" w:hAnsi="Arial"/>
                <w:sz w:val="18"/>
                <w:szCs w:val="18"/>
                <w:color w:val="auto"/>
              </w:rPr>
              <w:t>comprising Foreign Issuer Shares.</w:t>
            </w:r>
          </w:p>
        </w:tc>
      </w:tr>
      <w:tr>
        <w:trPr>
          <w:trHeight w:val="430"/>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3040" w:type="dxa"/>
            <w:vAlign w:val="bottom"/>
          </w:tcPr>
          <w:p>
            <w:pPr>
              <w:ind w:left="60"/>
              <w:spacing w:after="0"/>
              <w:rPr>
                <w:sz w:val="20"/>
                <w:szCs w:val="20"/>
                <w:color w:val="auto"/>
              </w:rPr>
            </w:pPr>
            <w:r>
              <w:rPr>
                <w:rFonts w:ascii="Arial" w:cs="Arial" w:eastAsia="Arial" w:hAnsi="Arial"/>
                <w:sz w:val="18"/>
                <w:szCs w:val="18"/>
                <w:color w:val="auto"/>
              </w:rPr>
              <w:t>Share-for-Combined:</w:t>
            </w:r>
          </w:p>
        </w:tc>
        <w:tc>
          <w:tcPr>
            <w:tcW w:w="7180" w:type="dxa"/>
            <w:vAlign w:val="bottom"/>
          </w:tcPr>
          <w:p>
            <w:pPr>
              <w:ind w:left="900"/>
              <w:spacing w:after="0"/>
              <w:rPr>
                <w:sz w:val="20"/>
                <w:szCs w:val="20"/>
                <w:color w:val="auto"/>
              </w:rPr>
            </w:pPr>
            <w:r>
              <w:rPr>
                <w:rFonts w:ascii="Arial" w:cs="Arial" w:eastAsia="Arial" w:hAnsi="Arial"/>
                <w:sz w:val="18"/>
                <w:szCs w:val="18"/>
                <w:color w:val="auto"/>
              </w:rPr>
              <w:t>Component Adjustment</w:t>
            </w:r>
          </w:p>
        </w:tc>
      </w:tr>
      <w:tr>
        <w:trPr>
          <w:trHeight w:val="430"/>
        </w:trPr>
        <w:tc>
          <w:tcPr>
            <w:tcW w:w="1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180" w:type="dxa"/>
            <w:vAlign w:val="bottom"/>
          </w:tcPr>
          <w:p>
            <w:pPr>
              <w:ind w:left="1380"/>
              <w:spacing w:after="0"/>
              <w:rPr>
                <w:sz w:val="20"/>
                <w:szCs w:val="20"/>
                <w:color w:val="auto"/>
              </w:rPr>
            </w:pPr>
            <w:r>
              <w:rPr>
                <w:rFonts w:ascii="Arial" w:cs="Arial" w:eastAsia="Arial" w:hAnsi="Arial"/>
                <w:sz w:val="18"/>
                <w:szCs w:val="18"/>
                <w:color w:val="auto"/>
              </w:rPr>
              <w:t>7</w:t>
            </w:r>
          </w:p>
        </w:tc>
      </w:tr>
      <w:tr>
        <w:trPr>
          <w:trHeight w:val="131"/>
        </w:trPr>
        <w:tc>
          <w:tcPr>
            <w:tcW w:w="4280" w:type="dxa"/>
            <w:vAlign w:val="bottom"/>
            <w:tcBorders>
              <w:bottom w:val="single" w:sz="8" w:color="010101"/>
            </w:tcBorders>
            <w:gridSpan w:val="2"/>
          </w:tcPr>
          <w:p>
            <w:pPr>
              <w:spacing w:after="0"/>
              <w:rPr>
                <w:sz w:val="11"/>
                <w:szCs w:val="11"/>
                <w:color w:val="auto"/>
              </w:rPr>
            </w:pPr>
          </w:p>
        </w:tc>
        <w:tc>
          <w:tcPr>
            <w:tcW w:w="7180" w:type="dxa"/>
            <w:vAlign w:val="bottom"/>
            <w:tcBorders>
              <w:bottom w:val="single" w:sz="8" w:color="010101"/>
            </w:tcBorders>
          </w:tcPr>
          <w:p>
            <w:pPr>
              <w:spacing w:after="0"/>
              <w:rPr>
                <w:sz w:val="11"/>
                <w:szCs w:val="11"/>
                <w:color w:val="auto"/>
              </w:rPr>
            </w:pPr>
          </w:p>
        </w:tc>
      </w:tr>
      <w:tr>
        <w:trPr>
          <w:trHeight w:val="761"/>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Tender Offer:</w:t>
            </w:r>
          </w:p>
        </w:tc>
        <w:tc>
          <w:tcPr>
            <w:tcW w:w="7180" w:type="dxa"/>
            <w:vAlign w:val="bottom"/>
          </w:tcPr>
          <w:p>
            <w:pPr>
              <w:ind w:left="720"/>
              <w:spacing w:after="0"/>
              <w:rPr>
                <w:sz w:val="20"/>
                <w:szCs w:val="20"/>
                <w:color w:val="auto"/>
              </w:rPr>
            </w:pPr>
            <w:r>
              <w:rPr>
                <w:rFonts w:ascii="Arial" w:cs="Arial" w:eastAsia="Arial" w:hAnsi="Arial"/>
                <w:sz w:val="18"/>
                <w:szCs w:val="18"/>
                <w:color w:val="auto"/>
              </w:rPr>
              <w:t>Applicable; provided that (a) Section 12.1(d) of the Equity Definitions is hereby</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amended by replacing the words “10%” in the third line with “50%”.</w:t>
            </w:r>
          </w:p>
        </w:tc>
      </w:tr>
      <w:tr>
        <w:trPr>
          <w:trHeight w:val="430"/>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Consequences of Tender Offers:</w:t>
            </w:r>
          </w:p>
        </w:tc>
        <w:tc>
          <w:tcPr>
            <w:tcW w:w="7180" w:type="dxa"/>
            <w:vAlign w:val="bottom"/>
          </w:tcPr>
          <w:p>
            <w:pPr>
              <w:spacing w:after="0"/>
              <w:rPr>
                <w:sz w:val="24"/>
                <w:szCs w:val="24"/>
                <w:color w:val="auto"/>
              </w:rPr>
            </w:pPr>
          </w:p>
        </w:tc>
      </w:tr>
      <w:tr>
        <w:trPr>
          <w:trHeight w:val="430"/>
        </w:trPr>
        <w:tc>
          <w:tcPr>
            <w:tcW w:w="4280" w:type="dxa"/>
            <w:vAlign w:val="bottom"/>
            <w:gridSpan w:val="2"/>
          </w:tcPr>
          <w:p>
            <w:pPr>
              <w:ind w:left="980"/>
              <w:spacing w:after="0"/>
              <w:rPr>
                <w:sz w:val="20"/>
                <w:szCs w:val="20"/>
                <w:color w:val="auto"/>
              </w:rPr>
            </w:pPr>
            <w:r>
              <w:rPr>
                <w:rFonts w:ascii="Arial" w:cs="Arial" w:eastAsia="Arial" w:hAnsi="Arial"/>
                <w:sz w:val="18"/>
                <w:szCs w:val="18"/>
                <w:color w:val="auto"/>
              </w:rPr>
              <w:t>(a)  Share-for-Share:</w:t>
            </w:r>
          </w:p>
        </w:tc>
        <w:tc>
          <w:tcPr>
            <w:tcW w:w="7180" w:type="dxa"/>
            <w:vAlign w:val="bottom"/>
          </w:tcPr>
          <w:p>
            <w:pPr>
              <w:ind w:left="720"/>
              <w:spacing w:after="0"/>
              <w:rPr>
                <w:sz w:val="20"/>
                <w:szCs w:val="20"/>
                <w:color w:val="auto"/>
              </w:rPr>
            </w:pPr>
            <w:r>
              <w:rPr>
                <w:rFonts w:ascii="Arial" w:cs="Arial" w:eastAsia="Arial" w:hAnsi="Arial"/>
                <w:sz w:val="18"/>
                <w:szCs w:val="18"/>
                <w:color w:val="auto"/>
              </w:rPr>
              <w:t>Modified Calculation Agent Adjustment</w:t>
            </w:r>
          </w:p>
        </w:tc>
      </w:tr>
      <w:tr>
        <w:trPr>
          <w:trHeight w:val="415"/>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3040" w:type="dxa"/>
            <w:vAlign w:val="bottom"/>
          </w:tcPr>
          <w:p>
            <w:pPr>
              <w:ind w:left="80"/>
              <w:spacing w:after="0"/>
              <w:rPr>
                <w:sz w:val="20"/>
                <w:szCs w:val="20"/>
                <w:color w:val="auto"/>
              </w:rPr>
            </w:pPr>
            <w:r>
              <w:rPr>
                <w:rFonts w:ascii="Arial" w:cs="Arial" w:eastAsia="Arial" w:hAnsi="Arial"/>
                <w:sz w:val="18"/>
                <w:szCs w:val="18"/>
                <w:color w:val="auto"/>
              </w:rPr>
              <w:t>Share-for-Other:</w:t>
            </w:r>
          </w:p>
        </w:tc>
        <w:tc>
          <w:tcPr>
            <w:tcW w:w="7180" w:type="dxa"/>
            <w:vAlign w:val="bottom"/>
          </w:tcPr>
          <w:p>
            <w:pPr>
              <w:ind w:left="720"/>
              <w:spacing w:after="0"/>
              <w:rPr>
                <w:sz w:val="20"/>
                <w:szCs w:val="20"/>
                <w:color w:val="auto"/>
              </w:rPr>
            </w:pPr>
            <w:r>
              <w:rPr>
                <w:rFonts w:ascii="Arial" w:cs="Arial" w:eastAsia="Arial" w:hAnsi="Arial"/>
                <w:sz w:val="18"/>
                <w:szCs w:val="18"/>
                <w:color w:val="auto"/>
                <w:w w:val="98"/>
              </w:rPr>
              <w:t>Cancellation and Payment (Calculation Agent Determination) on that portion of the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1"/>
              </w:rPr>
              <w:t>Other Consideration that consists of cash; Modified Calculation Agent Adjustment on the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9"/>
              </w:rPr>
              <w:t>remainder of the Other Consideration and, for the avoidance of doubt, if the Other</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6"/>
              </w:rPr>
              <w:t>Consideration includes (or, at the option of a holder of Shares, may include) Foreign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89"/>
              </w:rPr>
              <w:t>Issuer Shares, then the Calculation Agent may choose to apply Cancellation and Payment</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(Calculation Agent Determination) to that portion of the Other Consideration comprising</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Foreign Issuer Shares.</w:t>
            </w:r>
          </w:p>
        </w:tc>
      </w:tr>
      <w:tr>
        <w:trPr>
          <w:trHeight w:val="430"/>
        </w:trPr>
        <w:tc>
          <w:tcPr>
            <w:tcW w:w="4280" w:type="dxa"/>
            <w:vAlign w:val="bottom"/>
            <w:gridSpan w:val="2"/>
          </w:tcPr>
          <w:p>
            <w:pPr>
              <w:ind w:left="980"/>
              <w:spacing w:after="0"/>
              <w:rPr>
                <w:sz w:val="20"/>
                <w:szCs w:val="20"/>
                <w:color w:val="auto"/>
              </w:rPr>
            </w:pPr>
            <w:r>
              <w:rPr>
                <w:rFonts w:ascii="Arial" w:cs="Arial" w:eastAsia="Arial" w:hAnsi="Arial"/>
                <w:sz w:val="18"/>
                <w:szCs w:val="18"/>
                <w:color w:val="auto"/>
              </w:rPr>
              <w:t>(c)  Share-for-Combined:</w:t>
            </w:r>
          </w:p>
        </w:tc>
        <w:tc>
          <w:tcPr>
            <w:tcW w:w="7180" w:type="dxa"/>
            <w:vAlign w:val="bottom"/>
          </w:tcPr>
          <w:p>
            <w:pPr>
              <w:ind w:left="720"/>
              <w:spacing w:after="0"/>
              <w:rPr>
                <w:sz w:val="20"/>
                <w:szCs w:val="20"/>
                <w:color w:val="auto"/>
              </w:rPr>
            </w:pPr>
            <w:r>
              <w:rPr>
                <w:rFonts w:ascii="Arial" w:cs="Arial" w:eastAsia="Arial" w:hAnsi="Arial"/>
                <w:sz w:val="18"/>
                <w:szCs w:val="18"/>
                <w:color w:val="auto"/>
              </w:rPr>
              <w:t>Component Adjustment</w:t>
            </w:r>
          </w:p>
        </w:tc>
      </w:tr>
      <w:tr>
        <w:trPr>
          <w:trHeight w:val="415"/>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Nationalization, Insolvency or Delisting:</w:t>
            </w:r>
          </w:p>
        </w:tc>
        <w:tc>
          <w:tcPr>
            <w:tcW w:w="7180" w:type="dxa"/>
            <w:vAlign w:val="bottom"/>
          </w:tcPr>
          <w:p>
            <w:pPr>
              <w:ind w:left="720"/>
              <w:spacing w:after="0"/>
              <w:rPr>
                <w:sz w:val="20"/>
                <w:szCs w:val="20"/>
                <w:color w:val="auto"/>
              </w:rPr>
            </w:pPr>
            <w:r>
              <w:rPr>
                <w:rFonts w:ascii="Arial" w:cs="Arial" w:eastAsia="Arial" w:hAnsi="Arial"/>
                <w:sz w:val="18"/>
                <w:szCs w:val="18"/>
                <w:color w:val="auto"/>
                <w:w w:val="93"/>
              </w:rPr>
              <w:t>Cancellation and Payment (Calculation Agent Determination); provided that in addition</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3"/>
              </w:rPr>
              <w:t>to the provisions of Section 12.6(a)(iii) of the Equity Definitions, it shall also constitute a</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Delisting if the Exchange is located in the United States and the Shares are not</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4"/>
              </w:rPr>
              <w:t>immediately re-listed, re-traded or re-quoted on any of the New York Stock Exchange,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4"/>
              </w:rPr>
              <w:t>the NASDAQ Global Select Market or the NASDAQ Global Market (or their respective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successors); if the Shares are immediately re-listed, re-traded or re-quoted on any such</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0"/>
              </w:rPr>
              <w:t>exchange or quotation system, such exchange or quotation system shall be deemed to be</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the Exchange.</w:t>
            </w:r>
          </w:p>
        </w:tc>
      </w:tr>
      <w:tr>
        <w:trPr>
          <w:trHeight w:val="430"/>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180" w:type="dxa"/>
            <w:vAlign w:val="bottom"/>
          </w:tcPr>
          <w:p>
            <w:pPr>
              <w:spacing w:after="0"/>
              <w:rPr>
                <w:sz w:val="24"/>
                <w:szCs w:val="24"/>
                <w:color w:val="auto"/>
              </w:rPr>
            </w:pPr>
          </w:p>
        </w:tc>
      </w:tr>
      <w:tr>
        <w:trPr>
          <w:trHeight w:val="415"/>
        </w:trPr>
        <w:tc>
          <w:tcPr>
            <w:tcW w:w="1240" w:type="dxa"/>
            <w:vAlign w:val="bottom"/>
          </w:tcPr>
          <w:p>
            <w:pPr>
              <w:ind w:left="980"/>
              <w:spacing w:after="0"/>
              <w:rPr>
                <w:sz w:val="20"/>
                <w:szCs w:val="20"/>
                <w:color w:val="auto"/>
              </w:rPr>
            </w:pPr>
            <w:r>
              <w:rPr>
                <w:rFonts w:ascii="Arial" w:cs="Arial" w:eastAsia="Arial" w:hAnsi="Arial"/>
                <w:sz w:val="18"/>
                <w:szCs w:val="18"/>
                <w:color w:val="auto"/>
              </w:rPr>
              <w:t>(a)</w:t>
            </w:r>
          </w:p>
        </w:tc>
        <w:tc>
          <w:tcPr>
            <w:tcW w:w="3040" w:type="dxa"/>
            <w:vAlign w:val="bottom"/>
          </w:tcPr>
          <w:p>
            <w:pPr>
              <w:ind w:left="60"/>
              <w:spacing w:after="0"/>
              <w:rPr>
                <w:sz w:val="20"/>
                <w:szCs w:val="20"/>
                <w:color w:val="auto"/>
              </w:rPr>
            </w:pPr>
            <w:r>
              <w:rPr>
                <w:rFonts w:ascii="Arial" w:cs="Arial" w:eastAsia="Arial" w:hAnsi="Arial"/>
                <w:sz w:val="18"/>
                <w:szCs w:val="18"/>
                <w:color w:val="auto"/>
              </w:rPr>
              <w:t>Change in Law:</w:t>
            </w: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 xml:space="preserve">Applicable;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Section 12.9(a)(ii) of the Equity Definitions is hereby amended</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2"/>
              </w:rPr>
              <w:t>by (i) replacing the phrase “the interpretation” in the third line thereof with the phrase “or</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6"/>
              </w:rPr>
              <w:t>announcement or statement of the formal or informal interpretation”, (ii) immediately</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w w:val="94"/>
              </w:rPr>
              <w:t>following the word “that” in the sixth line thereof, adding the phrase “as a result of one</w:t>
            </w:r>
          </w:p>
        </w:tc>
      </w:tr>
      <w:tr>
        <w:trPr>
          <w:trHeight w:val="215"/>
        </w:trPr>
        <w:tc>
          <w:tcPr>
            <w:tcW w:w="1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or more of the circumstances listed in (A) and (B) above” and (iii) deleting clause</w:t>
            </w:r>
          </w:p>
        </w:tc>
      </w:tr>
      <w:tr>
        <w:trPr>
          <w:trHeight w:val="229"/>
        </w:trPr>
        <w:tc>
          <w:tcPr>
            <w:tcW w:w="1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180" w:type="dxa"/>
            <w:vAlign w:val="bottom"/>
          </w:tcPr>
          <w:p>
            <w:pPr>
              <w:ind w:left="720"/>
              <w:spacing w:after="0"/>
              <w:rPr>
                <w:sz w:val="20"/>
                <w:szCs w:val="20"/>
                <w:color w:val="auto"/>
              </w:rPr>
            </w:pPr>
            <w:r>
              <w:rPr>
                <w:rFonts w:ascii="Arial" w:cs="Arial" w:eastAsia="Arial" w:hAnsi="Arial"/>
                <w:sz w:val="18"/>
                <w:szCs w:val="18"/>
                <w:color w:val="auto"/>
              </w:rPr>
              <w:t>(Y) thereof in its entirety.</w:t>
            </w:r>
          </w:p>
        </w:tc>
      </w:tr>
      <w:tr>
        <w:trPr>
          <w:trHeight w:val="430"/>
        </w:trPr>
        <w:tc>
          <w:tcPr>
            <w:tcW w:w="1240" w:type="dxa"/>
            <w:vAlign w:val="bottom"/>
          </w:tcPr>
          <w:p>
            <w:pPr>
              <w:ind w:left="980"/>
              <w:spacing w:after="0"/>
              <w:rPr>
                <w:sz w:val="20"/>
                <w:szCs w:val="20"/>
                <w:color w:val="auto"/>
              </w:rPr>
            </w:pPr>
            <w:r>
              <w:rPr>
                <w:rFonts w:ascii="Arial" w:cs="Arial" w:eastAsia="Arial" w:hAnsi="Arial"/>
                <w:sz w:val="18"/>
                <w:szCs w:val="18"/>
                <w:color w:val="auto"/>
              </w:rPr>
              <w:t>(b)</w:t>
            </w:r>
          </w:p>
        </w:tc>
        <w:tc>
          <w:tcPr>
            <w:tcW w:w="3040" w:type="dxa"/>
            <w:vAlign w:val="bottom"/>
          </w:tcPr>
          <w:p>
            <w:pPr>
              <w:ind w:left="80"/>
              <w:spacing w:after="0"/>
              <w:rPr>
                <w:sz w:val="20"/>
                <w:szCs w:val="20"/>
                <w:color w:val="auto"/>
              </w:rPr>
            </w:pPr>
            <w:r>
              <w:rPr>
                <w:rFonts w:ascii="Arial" w:cs="Arial" w:eastAsia="Arial" w:hAnsi="Arial"/>
                <w:sz w:val="18"/>
                <w:szCs w:val="18"/>
                <w:color w:val="auto"/>
              </w:rPr>
              <w:t>Failure to Deliver:</w:t>
            </w:r>
          </w:p>
        </w:tc>
        <w:tc>
          <w:tcPr>
            <w:tcW w:w="7180" w:type="dxa"/>
            <w:vAlign w:val="bottom"/>
          </w:tcPr>
          <w:p>
            <w:pPr>
              <w:ind w:left="720"/>
              <w:spacing w:after="0"/>
              <w:rPr>
                <w:sz w:val="20"/>
                <w:szCs w:val="20"/>
                <w:color w:val="auto"/>
              </w:rPr>
            </w:pPr>
            <w:r>
              <w:rPr>
                <w:rFonts w:ascii="Arial" w:cs="Arial" w:eastAsia="Arial" w:hAnsi="Arial"/>
                <w:sz w:val="18"/>
                <w:szCs w:val="18"/>
                <w:color w:val="auto"/>
              </w:rPr>
              <w:t>Not Applicable</w:t>
            </w:r>
          </w:p>
        </w:tc>
      </w:tr>
      <w:tr>
        <w:trPr>
          <w:trHeight w:val="430"/>
        </w:trPr>
        <w:tc>
          <w:tcPr>
            <w:tcW w:w="1240" w:type="dxa"/>
            <w:vAlign w:val="bottom"/>
          </w:tcPr>
          <w:p>
            <w:pPr>
              <w:ind w:left="980"/>
              <w:spacing w:after="0"/>
              <w:rPr>
                <w:sz w:val="20"/>
                <w:szCs w:val="20"/>
                <w:color w:val="auto"/>
              </w:rPr>
            </w:pPr>
            <w:r>
              <w:rPr>
                <w:rFonts w:ascii="Arial" w:cs="Arial" w:eastAsia="Arial" w:hAnsi="Arial"/>
                <w:sz w:val="18"/>
                <w:szCs w:val="18"/>
                <w:color w:val="auto"/>
              </w:rPr>
              <w:t>(c)</w:t>
            </w:r>
          </w:p>
        </w:tc>
        <w:tc>
          <w:tcPr>
            <w:tcW w:w="3040" w:type="dxa"/>
            <w:vAlign w:val="bottom"/>
          </w:tcPr>
          <w:p>
            <w:pPr>
              <w:ind w:left="60"/>
              <w:spacing w:after="0"/>
              <w:rPr>
                <w:sz w:val="20"/>
                <w:szCs w:val="20"/>
                <w:color w:val="auto"/>
              </w:rPr>
            </w:pPr>
            <w:r>
              <w:rPr>
                <w:rFonts w:ascii="Arial" w:cs="Arial" w:eastAsia="Arial" w:hAnsi="Arial"/>
                <w:sz w:val="18"/>
                <w:szCs w:val="18"/>
                <w:color w:val="auto"/>
              </w:rPr>
              <w:t>Insolvency Filing:</w:t>
            </w:r>
          </w:p>
        </w:tc>
        <w:tc>
          <w:tcPr>
            <w:tcW w:w="7180" w:type="dxa"/>
            <w:vAlign w:val="bottom"/>
          </w:tcPr>
          <w:p>
            <w:pPr>
              <w:ind w:left="720"/>
              <w:spacing w:after="0"/>
              <w:rPr>
                <w:sz w:val="20"/>
                <w:szCs w:val="20"/>
                <w:color w:val="auto"/>
              </w:rPr>
            </w:pPr>
            <w:r>
              <w:rPr>
                <w:rFonts w:ascii="Arial" w:cs="Arial" w:eastAsia="Arial" w:hAnsi="Arial"/>
                <w:sz w:val="18"/>
                <w:szCs w:val="18"/>
                <w:color w:val="auto"/>
              </w:rPr>
              <w:t>Applicable</w:t>
            </w:r>
          </w:p>
        </w:tc>
      </w:tr>
      <w:tr>
        <w:trPr>
          <w:trHeight w:val="430"/>
        </w:trPr>
        <w:tc>
          <w:tcPr>
            <w:tcW w:w="1240" w:type="dxa"/>
            <w:vAlign w:val="bottom"/>
          </w:tcPr>
          <w:p>
            <w:pPr>
              <w:ind w:left="980"/>
              <w:spacing w:after="0"/>
              <w:rPr>
                <w:sz w:val="20"/>
                <w:szCs w:val="20"/>
                <w:color w:val="auto"/>
              </w:rPr>
            </w:pPr>
            <w:r>
              <w:rPr>
                <w:rFonts w:ascii="Arial" w:cs="Arial" w:eastAsia="Arial" w:hAnsi="Arial"/>
                <w:sz w:val="18"/>
                <w:szCs w:val="18"/>
                <w:color w:val="auto"/>
              </w:rPr>
              <w:t>(d)</w:t>
            </w:r>
          </w:p>
        </w:tc>
        <w:tc>
          <w:tcPr>
            <w:tcW w:w="3040" w:type="dxa"/>
            <w:vAlign w:val="bottom"/>
          </w:tcPr>
          <w:p>
            <w:pPr>
              <w:ind w:left="80"/>
              <w:spacing w:after="0"/>
              <w:rPr>
                <w:sz w:val="20"/>
                <w:szCs w:val="20"/>
                <w:color w:val="auto"/>
              </w:rPr>
            </w:pPr>
            <w:r>
              <w:rPr>
                <w:rFonts w:ascii="Arial" w:cs="Arial" w:eastAsia="Arial" w:hAnsi="Arial"/>
                <w:sz w:val="18"/>
                <w:szCs w:val="18"/>
                <w:color w:val="auto"/>
              </w:rPr>
              <w:t>Hedging Disruption:</w:t>
            </w:r>
          </w:p>
        </w:tc>
        <w:tc>
          <w:tcPr>
            <w:tcW w:w="7180" w:type="dxa"/>
            <w:vAlign w:val="bottom"/>
          </w:tcPr>
          <w:p>
            <w:pPr>
              <w:ind w:left="720"/>
              <w:spacing w:after="0"/>
              <w:rPr>
                <w:sz w:val="20"/>
                <w:szCs w:val="20"/>
                <w:color w:val="auto"/>
              </w:rPr>
            </w:pPr>
            <w:r>
              <w:rPr>
                <w:rFonts w:ascii="Arial" w:cs="Arial" w:eastAsia="Arial" w:hAnsi="Arial"/>
                <w:sz w:val="18"/>
                <w:szCs w:val="18"/>
                <w:color w:val="auto"/>
              </w:rPr>
              <w:t>Applicable</w:t>
            </w:r>
          </w:p>
        </w:tc>
      </w:tr>
      <w:tr>
        <w:trPr>
          <w:trHeight w:val="430"/>
        </w:trPr>
        <w:tc>
          <w:tcPr>
            <w:tcW w:w="4280" w:type="dxa"/>
            <w:vAlign w:val="bottom"/>
            <w:gridSpan w:val="2"/>
          </w:tcPr>
          <w:p>
            <w:pPr>
              <w:ind w:left="980"/>
              <w:spacing w:after="0"/>
              <w:rPr>
                <w:sz w:val="20"/>
                <w:szCs w:val="20"/>
                <w:color w:val="auto"/>
              </w:rPr>
            </w:pPr>
            <w:r>
              <w:rPr>
                <w:rFonts w:ascii="Arial" w:cs="Arial" w:eastAsia="Arial" w:hAnsi="Arial"/>
                <w:sz w:val="18"/>
                <w:szCs w:val="18"/>
                <w:color w:val="auto"/>
              </w:rPr>
              <w:t>(e)  Increased Cost of Hedging:</w:t>
            </w:r>
          </w:p>
        </w:tc>
        <w:tc>
          <w:tcPr>
            <w:tcW w:w="7180" w:type="dxa"/>
            <w:vAlign w:val="bottom"/>
          </w:tcPr>
          <w:p>
            <w:pPr>
              <w:ind w:left="720"/>
              <w:spacing w:after="0"/>
              <w:rPr>
                <w:sz w:val="20"/>
                <w:szCs w:val="20"/>
                <w:color w:val="auto"/>
              </w:rPr>
            </w:pPr>
            <w:r>
              <w:rPr>
                <w:rFonts w:ascii="Arial" w:cs="Arial" w:eastAsia="Arial" w:hAnsi="Arial"/>
                <w:sz w:val="18"/>
                <w:szCs w:val="18"/>
                <w:color w:val="auto"/>
              </w:rPr>
              <w:t xml:space="preserve">Not </w:t>
            </w:r>
            <w:r>
              <w:rPr>
                <w:rFonts w:ascii="Arial" w:cs="Arial" w:eastAsia="Arial" w:hAnsi="Arial"/>
                <w:sz w:val="17"/>
                <w:szCs w:val="17"/>
                <w:color w:val="auto"/>
              </w:rPr>
              <w:t>Applicable</w:t>
            </w:r>
          </w:p>
        </w:tc>
      </w:tr>
      <w:tr>
        <w:trPr>
          <w:trHeight w:val="430"/>
        </w:trPr>
        <w:tc>
          <w:tcPr>
            <w:tcW w:w="4280" w:type="dxa"/>
            <w:vAlign w:val="bottom"/>
            <w:gridSpan w:val="2"/>
          </w:tcPr>
          <w:p>
            <w:pPr>
              <w:ind w:left="660"/>
              <w:spacing w:after="0"/>
              <w:rPr>
                <w:sz w:val="20"/>
                <w:szCs w:val="20"/>
                <w:color w:val="auto"/>
              </w:rPr>
            </w:pPr>
            <w:r>
              <w:rPr>
                <w:rFonts w:ascii="Arial" w:cs="Arial" w:eastAsia="Arial" w:hAnsi="Arial"/>
                <w:sz w:val="18"/>
                <w:szCs w:val="18"/>
                <w:color w:val="auto"/>
              </w:rPr>
              <w:t>Hedging Party:</w:t>
            </w:r>
          </w:p>
        </w:tc>
        <w:tc>
          <w:tcPr>
            <w:tcW w:w="7180" w:type="dxa"/>
            <w:vAlign w:val="bottom"/>
          </w:tcPr>
          <w:p>
            <w:pPr>
              <w:ind w:left="720"/>
              <w:spacing w:after="0"/>
              <w:rPr>
                <w:sz w:val="20"/>
                <w:szCs w:val="20"/>
                <w:color w:val="auto"/>
              </w:rPr>
            </w:pPr>
            <w:r>
              <w:rPr>
                <w:rFonts w:ascii="Arial" w:cs="Arial" w:eastAsia="Arial" w:hAnsi="Arial"/>
                <w:sz w:val="18"/>
                <w:szCs w:val="18"/>
                <w:color w:val="auto"/>
              </w:rPr>
              <w:t>Dealer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-6388100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-6388100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9"/>
        </w:trPr>
        <w:tc>
          <w:tcPr>
            <w:tcW w:w="4120" w:type="dxa"/>
            <w:vAlign w:val="bottom"/>
          </w:tcPr>
          <w:p>
            <w:pPr>
              <w:ind w:left="660"/>
              <w:spacing w:after="0"/>
              <w:rPr>
                <w:sz w:val="20"/>
                <w:szCs w:val="20"/>
                <w:color w:val="auto"/>
              </w:rPr>
            </w:pPr>
            <w:r>
              <w:rPr>
                <w:rFonts w:ascii="Arial" w:cs="Arial" w:eastAsia="Arial" w:hAnsi="Arial"/>
                <w:sz w:val="18"/>
                <w:szCs w:val="18"/>
                <w:color w:val="auto"/>
              </w:rPr>
              <w:t>Determining Party:</w:t>
            </w:r>
          </w:p>
        </w:tc>
        <w:tc>
          <w:tcPr>
            <w:tcW w:w="7340" w:type="dxa"/>
            <w:vAlign w:val="bottom"/>
          </w:tcPr>
          <w:p>
            <w:pPr>
              <w:ind w:left="880"/>
              <w:spacing w:after="0"/>
              <w:rPr>
                <w:sz w:val="20"/>
                <w:szCs w:val="20"/>
                <w:color w:val="auto"/>
              </w:rPr>
            </w:pPr>
            <w:r>
              <w:rPr>
                <w:rFonts w:ascii="Arial" w:cs="Arial" w:eastAsia="Arial" w:hAnsi="Arial"/>
                <w:sz w:val="18"/>
                <w:szCs w:val="18"/>
                <w:color w:val="auto"/>
              </w:rPr>
              <w:t>Dealer</w:t>
            </w:r>
          </w:p>
        </w:tc>
      </w:tr>
      <w:tr>
        <w:trPr>
          <w:trHeight w:val="430"/>
        </w:trPr>
        <w:tc>
          <w:tcPr>
            <w:tcW w:w="4120" w:type="dxa"/>
            <w:vAlign w:val="bottom"/>
          </w:tcPr>
          <w:p>
            <w:pPr>
              <w:ind w:left="660"/>
              <w:spacing w:after="0"/>
              <w:rPr>
                <w:sz w:val="20"/>
                <w:szCs w:val="20"/>
                <w:color w:val="auto"/>
              </w:rPr>
            </w:pPr>
            <w:r>
              <w:rPr>
                <w:rFonts w:ascii="Arial" w:cs="Arial" w:eastAsia="Arial" w:hAnsi="Arial"/>
                <w:sz w:val="18"/>
                <w:szCs w:val="18"/>
                <w:color w:val="auto"/>
              </w:rPr>
              <w:t>Non-Reliance:</w:t>
            </w:r>
          </w:p>
        </w:tc>
        <w:tc>
          <w:tcPr>
            <w:tcW w:w="7340" w:type="dxa"/>
            <w:vAlign w:val="bottom"/>
          </w:tcPr>
          <w:p>
            <w:pPr>
              <w:ind w:left="880"/>
              <w:spacing w:after="0"/>
              <w:rPr>
                <w:sz w:val="20"/>
                <w:szCs w:val="20"/>
                <w:color w:val="auto"/>
              </w:rPr>
            </w:pPr>
            <w:r>
              <w:rPr>
                <w:rFonts w:ascii="Arial" w:cs="Arial" w:eastAsia="Arial" w:hAnsi="Arial"/>
                <w:sz w:val="18"/>
                <w:szCs w:val="18"/>
                <w:color w:val="auto"/>
              </w:rPr>
              <w:t>Applicable</w:t>
            </w:r>
          </w:p>
        </w:tc>
      </w:tr>
      <w:tr>
        <w:trPr>
          <w:trHeight w:val="430"/>
        </w:trPr>
        <w:tc>
          <w:tcPr>
            <w:tcW w:w="4120" w:type="dxa"/>
            <w:vAlign w:val="bottom"/>
          </w:tcPr>
          <w:p>
            <w:pPr>
              <w:ind w:left="660"/>
              <w:spacing w:after="0"/>
              <w:rPr>
                <w:sz w:val="20"/>
                <w:szCs w:val="20"/>
                <w:color w:val="auto"/>
              </w:rPr>
            </w:pPr>
            <w:r>
              <w:rPr>
                <w:rFonts w:ascii="Arial" w:cs="Arial" w:eastAsia="Arial" w:hAnsi="Arial"/>
                <w:sz w:val="18"/>
                <w:szCs w:val="18"/>
                <w:color w:val="auto"/>
              </w:rPr>
              <w:t>Agreements and Acknowledgments</w:t>
            </w:r>
          </w:p>
        </w:tc>
        <w:tc>
          <w:tcPr>
            <w:tcW w:w="7340" w:type="dxa"/>
            <w:vAlign w:val="bottom"/>
          </w:tcPr>
          <w:p>
            <w:pPr>
              <w:spacing w:after="0"/>
              <w:rPr>
                <w:sz w:val="24"/>
                <w:szCs w:val="24"/>
                <w:color w:val="auto"/>
              </w:rPr>
            </w:pPr>
          </w:p>
        </w:tc>
      </w:tr>
      <w:tr>
        <w:trPr>
          <w:trHeight w:val="430"/>
        </w:trPr>
        <w:tc>
          <w:tcPr>
            <w:tcW w:w="4120" w:type="dxa"/>
            <w:vAlign w:val="bottom"/>
          </w:tcPr>
          <w:p>
            <w:pPr>
              <w:spacing w:after="0"/>
              <w:rPr>
                <w:sz w:val="24"/>
                <w:szCs w:val="24"/>
                <w:color w:val="auto"/>
              </w:rPr>
            </w:pPr>
          </w:p>
        </w:tc>
        <w:tc>
          <w:tcPr>
            <w:tcW w:w="7340" w:type="dxa"/>
            <w:vAlign w:val="bottom"/>
          </w:tcPr>
          <w:p>
            <w:pPr>
              <w:ind w:left="1540"/>
              <w:spacing w:after="0"/>
              <w:rPr>
                <w:sz w:val="20"/>
                <w:szCs w:val="20"/>
                <w:color w:val="auto"/>
              </w:rPr>
            </w:pPr>
            <w:r>
              <w:rPr>
                <w:rFonts w:ascii="Arial" w:cs="Arial" w:eastAsia="Arial" w:hAnsi="Arial"/>
                <w:sz w:val="18"/>
                <w:szCs w:val="18"/>
                <w:color w:val="auto"/>
              </w:rPr>
              <w:t>8</w:t>
            </w:r>
          </w:p>
        </w:tc>
      </w:tr>
      <w:tr>
        <w:trPr>
          <w:trHeight w:val="131"/>
        </w:trPr>
        <w:tc>
          <w:tcPr>
            <w:tcW w:w="412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tcPr>
          <w:p>
            <w:pPr>
              <w:spacing w:after="0"/>
              <w:rPr>
                <w:sz w:val="11"/>
                <w:szCs w:val="11"/>
                <w:color w:val="auto"/>
              </w:rPr>
            </w:pPr>
          </w:p>
        </w:tc>
      </w:tr>
      <w:tr>
        <w:trPr>
          <w:trHeight w:val="776"/>
        </w:trPr>
        <w:tc>
          <w:tcPr>
            <w:tcW w:w="4120" w:type="dxa"/>
            <w:vAlign w:val="bottom"/>
          </w:tcPr>
          <w:p>
            <w:pPr>
              <w:ind w:left="660"/>
              <w:spacing w:after="0"/>
              <w:rPr>
                <w:sz w:val="20"/>
                <w:szCs w:val="20"/>
                <w:color w:val="auto"/>
              </w:rPr>
            </w:pPr>
            <w:r>
              <w:rPr>
                <w:rFonts w:ascii="Arial" w:cs="Arial" w:eastAsia="Arial" w:hAnsi="Arial"/>
                <w:sz w:val="18"/>
                <w:szCs w:val="18"/>
                <w:color w:val="auto"/>
              </w:rPr>
              <w:t>Regarding Hedging Activities:</w:t>
            </w:r>
          </w:p>
        </w:tc>
        <w:tc>
          <w:tcPr>
            <w:tcW w:w="7340" w:type="dxa"/>
            <w:vAlign w:val="bottom"/>
          </w:tcPr>
          <w:p>
            <w:pPr>
              <w:ind w:left="880"/>
              <w:spacing w:after="0"/>
              <w:rPr>
                <w:sz w:val="20"/>
                <w:szCs w:val="20"/>
                <w:color w:val="auto"/>
              </w:rPr>
            </w:pPr>
            <w:r>
              <w:rPr>
                <w:rFonts w:ascii="Arial" w:cs="Arial" w:eastAsia="Arial" w:hAnsi="Arial"/>
                <w:sz w:val="18"/>
                <w:szCs w:val="18"/>
                <w:color w:val="auto"/>
              </w:rPr>
              <w:t>Applicable</w:t>
            </w:r>
          </w:p>
        </w:tc>
      </w:tr>
      <w:tr>
        <w:trPr>
          <w:trHeight w:val="430"/>
        </w:trPr>
        <w:tc>
          <w:tcPr>
            <w:tcW w:w="4120" w:type="dxa"/>
            <w:vAlign w:val="bottom"/>
          </w:tcPr>
          <w:p>
            <w:pPr>
              <w:ind w:left="660"/>
              <w:spacing w:after="0"/>
              <w:rPr>
                <w:sz w:val="20"/>
                <w:szCs w:val="20"/>
                <w:color w:val="auto"/>
              </w:rPr>
            </w:pPr>
            <w:r>
              <w:rPr>
                <w:rFonts w:ascii="Arial" w:cs="Arial" w:eastAsia="Arial" w:hAnsi="Arial"/>
                <w:sz w:val="18"/>
                <w:szCs w:val="18"/>
                <w:color w:val="auto"/>
              </w:rPr>
              <w:t>Additional Acknowledgments:</w:t>
            </w:r>
          </w:p>
        </w:tc>
        <w:tc>
          <w:tcPr>
            <w:tcW w:w="7340" w:type="dxa"/>
            <w:vAlign w:val="bottom"/>
          </w:tcPr>
          <w:p>
            <w:pPr>
              <w:ind w:left="880"/>
              <w:spacing w:after="0"/>
              <w:rPr>
                <w:sz w:val="20"/>
                <w:szCs w:val="20"/>
                <w:color w:val="auto"/>
              </w:rPr>
            </w:pPr>
            <w:r>
              <w:rPr>
                <w:rFonts w:ascii="Arial" w:cs="Arial" w:eastAsia="Arial" w:hAnsi="Arial"/>
                <w:sz w:val="18"/>
                <w:szCs w:val="18"/>
                <w:color w:val="auto"/>
              </w:rPr>
              <w:t>Applicable</w:t>
            </w:r>
          </w:p>
        </w:tc>
      </w:tr>
      <w:tr>
        <w:trPr>
          <w:trHeight w:val="415"/>
        </w:trPr>
        <w:tc>
          <w:tcPr>
            <w:tcW w:w="4120" w:type="dxa"/>
            <w:vAlign w:val="bottom"/>
          </w:tcPr>
          <w:p>
            <w:pPr>
              <w:ind w:left="660"/>
              <w:spacing w:after="0"/>
              <w:rPr>
                <w:sz w:val="20"/>
                <w:szCs w:val="20"/>
                <w:color w:val="auto"/>
              </w:rPr>
            </w:pPr>
            <w:r>
              <w:rPr>
                <w:rFonts w:ascii="Arial" w:cs="Arial" w:eastAsia="Arial" w:hAnsi="Arial"/>
                <w:sz w:val="18"/>
                <w:szCs w:val="18"/>
                <w:color w:val="auto"/>
              </w:rPr>
              <w:t xml:space="preserve">Dealer Payment </w:t>
            </w:r>
            <w:r>
              <w:rPr>
                <w:rFonts w:ascii="Arial" w:cs="Arial" w:eastAsia="Arial" w:hAnsi="Arial"/>
                <w:sz w:val="17"/>
                <w:szCs w:val="17"/>
                <w:color w:val="auto"/>
              </w:rPr>
              <w:t>Instructions</w:t>
            </w:r>
            <w:r>
              <w:rPr>
                <w:rFonts w:ascii="Arial" w:cs="Arial" w:eastAsia="Arial" w:hAnsi="Arial"/>
                <w:sz w:val="18"/>
                <w:szCs w:val="18"/>
                <w:color w:val="auto"/>
              </w:rPr>
              <w:t>:</w:t>
            </w:r>
          </w:p>
        </w:tc>
        <w:tc>
          <w:tcPr>
            <w:tcW w:w="7340" w:type="dxa"/>
            <w:vAlign w:val="bottom"/>
          </w:tcPr>
          <w:p>
            <w:pPr>
              <w:ind w:left="880"/>
              <w:spacing w:after="0"/>
              <w:rPr>
                <w:sz w:val="20"/>
                <w:szCs w:val="20"/>
                <w:color w:val="auto"/>
              </w:rPr>
            </w:pPr>
            <w:r>
              <w:rPr>
                <w:rFonts w:ascii="Arial" w:cs="Arial" w:eastAsia="Arial" w:hAnsi="Arial"/>
                <w:sz w:val="18"/>
                <w:szCs w:val="18"/>
                <w:color w:val="auto"/>
              </w:rPr>
              <w:t>Chase Manhattan Bank New York</w:t>
            </w:r>
          </w:p>
        </w:tc>
      </w:tr>
      <w:tr>
        <w:trPr>
          <w:trHeight w:val="215"/>
        </w:trPr>
        <w:tc>
          <w:tcPr>
            <w:tcW w:w="4120" w:type="dxa"/>
            <w:vAlign w:val="bottom"/>
          </w:tcPr>
          <w:p>
            <w:pPr>
              <w:spacing w:after="0"/>
              <w:rPr>
                <w:sz w:val="18"/>
                <w:szCs w:val="18"/>
                <w:color w:val="auto"/>
              </w:rPr>
            </w:pPr>
          </w:p>
        </w:tc>
        <w:tc>
          <w:tcPr>
            <w:tcW w:w="7340" w:type="dxa"/>
            <w:vAlign w:val="bottom"/>
          </w:tcPr>
          <w:p>
            <w:pPr>
              <w:ind w:left="880"/>
              <w:spacing w:after="0"/>
              <w:rPr>
                <w:sz w:val="20"/>
                <w:szCs w:val="20"/>
                <w:color w:val="auto"/>
              </w:rPr>
            </w:pPr>
            <w:r>
              <w:rPr>
                <w:rFonts w:ascii="Arial" w:cs="Arial" w:eastAsia="Arial" w:hAnsi="Arial"/>
                <w:sz w:val="18"/>
                <w:szCs w:val="18"/>
                <w:color w:val="auto"/>
              </w:rPr>
              <w:t>For A/C Goldman, Sachs &amp; Co.</w:t>
            </w:r>
          </w:p>
        </w:tc>
      </w:tr>
      <w:tr>
        <w:trPr>
          <w:trHeight w:val="215"/>
        </w:trPr>
        <w:tc>
          <w:tcPr>
            <w:tcW w:w="4120" w:type="dxa"/>
            <w:vAlign w:val="bottom"/>
          </w:tcPr>
          <w:p>
            <w:pPr>
              <w:spacing w:after="0"/>
              <w:rPr>
                <w:sz w:val="18"/>
                <w:szCs w:val="18"/>
                <w:color w:val="auto"/>
              </w:rPr>
            </w:pPr>
          </w:p>
        </w:tc>
        <w:tc>
          <w:tcPr>
            <w:tcW w:w="7340" w:type="dxa"/>
            <w:vAlign w:val="bottom"/>
          </w:tcPr>
          <w:p>
            <w:pPr>
              <w:ind w:left="880"/>
              <w:spacing w:after="0"/>
              <w:rPr>
                <w:sz w:val="20"/>
                <w:szCs w:val="20"/>
                <w:color w:val="auto"/>
              </w:rPr>
            </w:pPr>
            <w:r>
              <w:rPr>
                <w:rFonts w:ascii="Arial" w:cs="Arial" w:eastAsia="Arial" w:hAnsi="Arial"/>
                <w:sz w:val="18"/>
                <w:szCs w:val="18"/>
                <w:color w:val="auto"/>
              </w:rPr>
              <w:t>A/C #930-1-011483</w:t>
            </w:r>
          </w:p>
        </w:tc>
      </w:tr>
      <w:tr>
        <w:trPr>
          <w:trHeight w:val="229"/>
        </w:trPr>
        <w:tc>
          <w:tcPr>
            <w:tcW w:w="4120" w:type="dxa"/>
            <w:vAlign w:val="bottom"/>
          </w:tcPr>
          <w:p>
            <w:pPr>
              <w:spacing w:after="0"/>
              <w:rPr>
                <w:sz w:val="19"/>
                <w:szCs w:val="19"/>
                <w:color w:val="auto"/>
              </w:rPr>
            </w:pPr>
          </w:p>
        </w:tc>
        <w:tc>
          <w:tcPr>
            <w:tcW w:w="7340" w:type="dxa"/>
            <w:vAlign w:val="bottom"/>
          </w:tcPr>
          <w:p>
            <w:pPr>
              <w:ind w:left="880"/>
              <w:spacing w:after="0"/>
              <w:rPr>
                <w:sz w:val="20"/>
                <w:szCs w:val="20"/>
                <w:color w:val="auto"/>
              </w:rPr>
            </w:pPr>
            <w:r>
              <w:rPr>
                <w:rFonts w:ascii="Arial" w:cs="Arial" w:eastAsia="Arial" w:hAnsi="Arial"/>
                <w:sz w:val="18"/>
                <w:szCs w:val="18"/>
                <w:color w:val="auto"/>
              </w:rPr>
              <w:t>ABA: 021-000021</w:t>
            </w:r>
          </w:p>
        </w:tc>
      </w:tr>
      <w:tr>
        <w:trPr>
          <w:trHeight w:val="415"/>
        </w:trPr>
        <w:tc>
          <w:tcPr>
            <w:tcW w:w="4120" w:type="dxa"/>
            <w:vAlign w:val="bottom"/>
          </w:tcPr>
          <w:p>
            <w:pPr>
              <w:ind w:left="660"/>
              <w:spacing w:after="0"/>
              <w:rPr>
                <w:sz w:val="20"/>
                <w:szCs w:val="20"/>
                <w:color w:val="auto"/>
              </w:rPr>
            </w:pPr>
            <w:r>
              <w:rPr>
                <w:rFonts w:ascii="Arial" w:cs="Arial" w:eastAsia="Arial" w:hAnsi="Arial"/>
                <w:sz w:val="18"/>
                <w:szCs w:val="18"/>
                <w:color w:val="auto"/>
              </w:rPr>
              <w:t>Counterparty Payment and Delivery</w:t>
            </w:r>
          </w:p>
        </w:tc>
        <w:tc>
          <w:tcPr>
            <w:tcW w:w="7340" w:type="dxa"/>
            <w:vAlign w:val="bottom"/>
          </w:tcPr>
          <w:p>
            <w:pPr>
              <w:spacing w:after="0"/>
              <w:rPr>
                <w:sz w:val="24"/>
                <w:szCs w:val="24"/>
                <w:color w:val="auto"/>
              </w:rPr>
            </w:pPr>
          </w:p>
        </w:tc>
      </w:tr>
      <w:tr>
        <w:trPr>
          <w:trHeight w:val="229"/>
        </w:trPr>
        <w:tc>
          <w:tcPr>
            <w:tcW w:w="4120" w:type="dxa"/>
            <w:vAlign w:val="bottom"/>
          </w:tcPr>
          <w:p>
            <w:pPr>
              <w:ind w:left="660"/>
              <w:spacing w:after="0"/>
              <w:rPr>
                <w:sz w:val="20"/>
                <w:szCs w:val="20"/>
                <w:color w:val="auto"/>
              </w:rPr>
            </w:pPr>
            <w:r>
              <w:rPr>
                <w:rFonts w:ascii="Arial" w:cs="Arial" w:eastAsia="Arial" w:hAnsi="Arial"/>
                <w:sz w:val="18"/>
                <w:szCs w:val="18"/>
                <w:color w:val="auto"/>
              </w:rPr>
              <w:t>Instructions:</w:t>
            </w:r>
          </w:p>
        </w:tc>
        <w:tc>
          <w:tcPr>
            <w:tcW w:w="7340" w:type="dxa"/>
            <w:vAlign w:val="bottom"/>
          </w:tcPr>
          <w:p>
            <w:pPr>
              <w:ind w:left="880"/>
              <w:spacing w:after="0"/>
              <w:rPr>
                <w:sz w:val="20"/>
                <w:szCs w:val="20"/>
                <w:color w:val="auto"/>
              </w:rPr>
            </w:pPr>
            <w:r>
              <w:rPr>
                <w:rFonts w:ascii="Arial" w:cs="Arial" w:eastAsia="Arial" w:hAnsi="Arial"/>
                <w:sz w:val="18"/>
                <w:szCs w:val="18"/>
                <w:color w:val="auto"/>
              </w:rPr>
              <w:t>To be provided by Counterparty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-1885950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ind w:right="40" w:firstLine="652"/>
        <w:spacing w:after="0" w:line="254" w:lineRule="auto"/>
        <w:tabs>
          <w:tab w:leader="none" w:pos="100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Dealer;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transferee of the Transaction in accordance with the terms of this Confirmation shall act as Calculation Agent with respect to such transferred Transaction without the prior consent of Counterparty, such consent not to be unreasonably withheld.</w:t>
      </w:r>
    </w:p>
    <w:p>
      <w:pPr>
        <w:spacing w:after="0" w:line="189"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340" w:hanging="340"/>
        <w:spacing w:after="0"/>
        <w:tabs>
          <w:tab w:leader="none" w:pos="13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Office of Dealer for this Transaction is: One New York Plaza, New York, New York 10004</w:t>
      </w:r>
    </w:p>
    <w:p>
      <w:pPr>
        <w:spacing w:after="0" w:line="222" w:lineRule="exact"/>
        <w:rPr>
          <w:rFonts w:ascii="Arial" w:cs="Arial" w:eastAsia="Arial" w:hAnsi="Arial"/>
          <w:sz w:val="18"/>
          <w:szCs w:val="18"/>
          <w:color w:val="auto"/>
        </w:rPr>
      </w:pPr>
    </w:p>
    <w:p>
      <w:pPr>
        <w:ind w:left="1340" w:hanging="340"/>
        <w:spacing w:after="0"/>
        <w:tabs>
          <w:tab w:leader="none" w:pos="13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Way, Boise, Idaho 83716-9632.</w:t>
      </w:r>
    </w:p>
    <w:p>
      <w:pPr>
        <w:spacing w:after="0" w:line="222"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2" w:lineRule="exact"/>
        <w:rPr>
          <w:rFonts w:ascii="Arial" w:cs="Arial" w:eastAsia="Arial" w:hAnsi="Arial"/>
          <w:sz w:val="18"/>
          <w:szCs w:val="18"/>
          <w:color w:val="auto"/>
        </w:rPr>
      </w:pPr>
    </w:p>
    <w:p>
      <w:pPr>
        <w:ind w:left="1340" w:hanging="340"/>
        <w:spacing w:after="0"/>
        <w:tabs>
          <w:tab w:leader="none" w:pos="13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60"/>
          </w:cols>
          <w:pgMar w:left="240" w:top="340" w:right="199" w:bottom="0" w:gutter="0" w:footer="0" w:header="0"/>
        </w:sectPr>
      </w:pPr>
    </w:p>
    <w:p>
      <w:pPr>
        <w:spacing w:after="0" w:line="2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Telephone:</w:t>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3460" w:space="720"/>
            <w:col w:w="7280"/>
          </w:cols>
          <w:pgMar w:left="240" w:top="340" w:right="199" w:bottom="0" w:gutter="0" w:footer="0" w:header="0"/>
          <w:type w:val="continuous"/>
        </w:sectPr>
      </w:pPr>
    </w:p>
    <w:p>
      <w:pPr>
        <w:spacing w:after="0" w:line="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w:t>
      </w:r>
    </w:p>
    <w:p>
      <w:pPr>
        <w:spacing w:after="0" w:line="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Corporation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650 Page Mill Road</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3460" w:space="720"/>
            <w:col w:w="7280"/>
          </w:cols>
          <w:pgMar w:left="240" w:top="340" w:right="199" w:bottom="0" w:gutter="0" w:footer="0" w:header="0"/>
          <w:type w:val="continuous"/>
        </w:sectPr>
      </w:pPr>
    </w:p>
    <w:p>
      <w:pPr>
        <w:spacing w:after="0" w:line="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  Address for notices or communications to Dealer: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1320"/>
              <w:spacing w:after="0"/>
              <w:rPr>
                <w:sz w:val="20"/>
                <w:szCs w:val="20"/>
                <w:color w:val="auto"/>
              </w:rPr>
            </w:pPr>
            <w:r>
              <w:rPr>
                <w:rFonts w:ascii="Arial" w:cs="Arial" w:eastAsia="Arial" w:hAnsi="Arial"/>
                <w:sz w:val="18"/>
                <w:szCs w:val="18"/>
                <w:color w:val="auto"/>
              </w:rPr>
              <w:t>To:</w:t>
            </w:r>
          </w:p>
        </w:tc>
        <w:tc>
          <w:tcPr>
            <w:tcW w:w="8160" w:type="dxa"/>
            <w:vAlign w:val="bottom"/>
          </w:tcPr>
          <w:p>
            <w:pPr>
              <w:ind w:left="880"/>
              <w:spacing w:after="0"/>
              <w:rPr>
                <w:sz w:val="20"/>
                <w:szCs w:val="20"/>
                <w:color w:val="auto"/>
              </w:rPr>
            </w:pPr>
            <w:r>
              <w:rPr>
                <w:rFonts w:ascii="Arial" w:cs="Arial" w:eastAsia="Arial" w:hAnsi="Arial"/>
                <w:sz w:val="18"/>
                <w:szCs w:val="18"/>
                <w:color w:val="auto"/>
              </w:rPr>
              <w:t>Goldman, Sachs &amp; Co.</w:t>
            </w:r>
          </w:p>
        </w:tc>
      </w:tr>
      <w:tr>
        <w:trPr>
          <w:trHeight w:val="215"/>
        </w:trPr>
        <w:tc>
          <w:tcPr>
            <w:tcW w:w="330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One New York Plaza</w:t>
            </w:r>
          </w:p>
        </w:tc>
      </w:tr>
      <w:tr>
        <w:trPr>
          <w:trHeight w:val="215"/>
        </w:trPr>
        <w:tc>
          <w:tcPr>
            <w:tcW w:w="330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New York, NY 10004</w:t>
            </w:r>
          </w:p>
        </w:tc>
      </w:tr>
      <w:tr>
        <w:trPr>
          <w:trHeight w:val="215"/>
        </w:trPr>
        <w:tc>
          <w:tcPr>
            <w:tcW w:w="3300" w:type="dxa"/>
            <w:vAlign w:val="bottom"/>
          </w:tcPr>
          <w:p>
            <w:pPr>
              <w:ind w:left="1320"/>
              <w:spacing w:after="0"/>
              <w:rPr>
                <w:sz w:val="20"/>
                <w:szCs w:val="20"/>
                <w:color w:val="auto"/>
              </w:rPr>
            </w:pPr>
            <w:r>
              <w:rPr>
                <w:rFonts w:ascii="Arial" w:cs="Arial" w:eastAsia="Arial" w:hAnsi="Arial"/>
                <w:sz w:val="18"/>
                <w:szCs w:val="18"/>
                <w:color w:val="auto"/>
              </w:rPr>
              <w:t>Attn:</w:t>
            </w:r>
          </w:p>
        </w:tc>
        <w:tc>
          <w:tcPr>
            <w:tcW w:w="8160" w:type="dxa"/>
            <w:vAlign w:val="bottom"/>
          </w:tcPr>
          <w:p>
            <w:pPr>
              <w:ind w:left="880"/>
              <w:spacing w:after="0"/>
              <w:rPr>
                <w:sz w:val="20"/>
                <w:szCs w:val="20"/>
                <w:color w:val="auto"/>
              </w:rPr>
            </w:pPr>
            <w:r>
              <w:rPr>
                <w:rFonts w:ascii="Arial" w:cs="Arial" w:eastAsia="Arial" w:hAnsi="Arial"/>
                <w:sz w:val="18"/>
                <w:szCs w:val="18"/>
                <w:color w:val="auto"/>
              </w:rPr>
              <w:t>Serge Marquié</w:t>
            </w:r>
          </w:p>
        </w:tc>
      </w:tr>
      <w:tr>
        <w:trPr>
          <w:trHeight w:val="215"/>
        </w:trPr>
        <w:tc>
          <w:tcPr>
            <w:tcW w:w="330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Equity Capital Markets</w:t>
            </w:r>
          </w:p>
        </w:tc>
      </w:tr>
      <w:tr>
        <w:trPr>
          <w:trHeight w:val="215"/>
        </w:trPr>
        <w:tc>
          <w:tcPr>
            <w:tcW w:w="3300" w:type="dxa"/>
            <w:vAlign w:val="bottom"/>
          </w:tcPr>
          <w:p>
            <w:pPr>
              <w:ind w:left="1320"/>
              <w:spacing w:after="0"/>
              <w:rPr>
                <w:sz w:val="20"/>
                <w:szCs w:val="20"/>
                <w:color w:val="auto"/>
              </w:rPr>
            </w:pPr>
            <w:r>
              <w:rPr>
                <w:rFonts w:ascii="Arial" w:cs="Arial" w:eastAsia="Arial" w:hAnsi="Arial"/>
                <w:sz w:val="18"/>
                <w:szCs w:val="18"/>
                <w:color w:val="auto"/>
              </w:rPr>
              <w:t>Telephone:</w:t>
            </w:r>
          </w:p>
        </w:tc>
        <w:tc>
          <w:tcPr>
            <w:tcW w:w="8160" w:type="dxa"/>
            <w:vAlign w:val="bottom"/>
          </w:tcPr>
          <w:p>
            <w:pPr>
              <w:ind w:left="880"/>
              <w:spacing w:after="0"/>
              <w:rPr>
                <w:sz w:val="20"/>
                <w:szCs w:val="20"/>
                <w:color w:val="auto"/>
              </w:rPr>
            </w:pPr>
            <w:r>
              <w:rPr>
                <w:rFonts w:ascii="Arial" w:cs="Arial" w:eastAsia="Arial" w:hAnsi="Arial"/>
                <w:sz w:val="18"/>
                <w:szCs w:val="18"/>
                <w:color w:val="auto"/>
              </w:rPr>
              <w:t>(212) 902-9779</w:t>
            </w:r>
          </w:p>
        </w:tc>
      </w:tr>
      <w:tr>
        <w:trPr>
          <w:trHeight w:val="215"/>
        </w:trPr>
        <w:tc>
          <w:tcPr>
            <w:tcW w:w="3300" w:type="dxa"/>
            <w:vAlign w:val="bottom"/>
          </w:tcPr>
          <w:p>
            <w:pPr>
              <w:ind w:left="1320"/>
              <w:spacing w:after="0"/>
              <w:rPr>
                <w:sz w:val="20"/>
                <w:szCs w:val="20"/>
                <w:color w:val="auto"/>
              </w:rPr>
            </w:pPr>
            <w:r>
              <w:rPr>
                <w:rFonts w:ascii="Arial" w:cs="Arial" w:eastAsia="Arial" w:hAnsi="Arial"/>
                <w:sz w:val="18"/>
                <w:szCs w:val="18"/>
                <w:color w:val="auto"/>
              </w:rPr>
              <w:t>Facsimile:</w:t>
            </w:r>
          </w:p>
        </w:tc>
        <w:tc>
          <w:tcPr>
            <w:tcW w:w="8160" w:type="dxa"/>
            <w:vAlign w:val="bottom"/>
          </w:tcPr>
          <w:p>
            <w:pPr>
              <w:ind w:left="880"/>
              <w:spacing w:after="0"/>
              <w:rPr>
                <w:sz w:val="20"/>
                <w:szCs w:val="20"/>
                <w:color w:val="auto"/>
              </w:rPr>
            </w:pPr>
            <w:r>
              <w:rPr>
                <w:rFonts w:ascii="Arial" w:cs="Arial" w:eastAsia="Arial" w:hAnsi="Arial"/>
                <w:sz w:val="18"/>
                <w:szCs w:val="18"/>
                <w:color w:val="auto"/>
              </w:rPr>
              <w:t>(212) 977-4253</w:t>
            </w:r>
          </w:p>
        </w:tc>
      </w:tr>
      <w:tr>
        <w:trPr>
          <w:trHeight w:val="229"/>
        </w:trPr>
        <w:tc>
          <w:tcPr>
            <w:tcW w:w="3300" w:type="dxa"/>
            <w:vAlign w:val="bottom"/>
          </w:tcPr>
          <w:p>
            <w:pPr>
              <w:ind w:left="1320"/>
              <w:spacing w:after="0"/>
              <w:rPr>
                <w:sz w:val="20"/>
                <w:szCs w:val="20"/>
                <w:color w:val="auto"/>
              </w:rPr>
            </w:pPr>
            <w:r>
              <w:rPr>
                <w:rFonts w:ascii="Arial" w:cs="Arial" w:eastAsia="Arial" w:hAnsi="Arial"/>
                <w:sz w:val="18"/>
                <w:szCs w:val="18"/>
                <w:color w:val="auto"/>
              </w:rPr>
              <w:t>Email:</w:t>
            </w:r>
          </w:p>
        </w:tc>
        <w:tc>
          <w:tcPr>
            <w:tcW w:w="8160" w:type="dxa"/>
            <w:vAlign w:val="bottom"/>
          </w:tcPr>
          <w:p>
            <w:pPr>
              <w:ind w:left="880"/>
              <w:spacing w:after="0"/>
              <w:rPr>
                <w:sz w:val="20"/>
                <w:szCs w:val="20"/>
                <w:color w:val="auto"/>
              </w:rPr>
            </w:pPr>
            <w:r>
              <w:rPr>
                <w:rFonts w:ascii="Arial" w:cs="Arial" w:eastAsia="Arial" w:hAnsi="Arial"/>
                <w:sz w:val="18"/>
                <w:szCs w:val="18"/>
                <w:color w:val="auto"/>
              </w:rPr>
              <w:t>marqse@am.ibd.gs.com</w:t>
            </w:r>
          </w:p>
        </w:tc>
      </w:tr>
      <w:tr>
        <w:trPr>
          <w:trHeight w:val="430"/>
        </w:trPr>
        <w:tc>
          <w:tcPr>
            <w:tcW w:w="3300" w:type="dxa"/>
            <w:vAlign w:val="bottom"/>
          </w:tcPr>
          <w:p>
            <w:pPr>
              <w:spacing w:after="0"/>
              <w:rPr>
                <w:sz w:val="24"/>
                <w:szCs w:val="24"/>
                <w:color w:val="auto"/>
              </w:rPr>
            </w:pPr>
          </w:p>
        </w:tc>
        <w:tc>
          <w:tcPr>
            <w:tcW w:w="8160" w:type="dxa"/>
            <w:vAlign w:val="bottom"/>
          </w:tcPr>
          <w:p>
            <w:pPr>
              <w:ind w:left="2360"/>
              <w:spacing w:after="0"/>
              <w:rPr>
                <w:sz w:val="20"/>
                <w:szCs w:val="20"/>
                <w:color w:val="auto"/>
              </w:rPr>
            </w:pPr>
            <w:r>
              <w:rPr>
                <w:rFonts w:ascii="Arial" w:cs="Arial" w:eastAsia="Arial" w:hAnsi="Arial"/>
                <w:sz w:val="18"/>
                <w:szCs w:val="18"/>
                <w:color w:val="auto"/>
              </w:rPr>
              <w:t>9</w:t>
            </w:r>
          </w:p>
        </w:tc>
      </w:tr>
      <w:tr>
        <w:trPr>
          <w:trHeight w:val="131"/>
        </w:trPr>
        <w:tc>
          <w:tcPr>
            <w:tcW w:w="3300" w:type="dxa"/>
            <w:vAlign w:val="bottom"/>
            <w:tcBorders>
              <w:bottom w:val="single" w:sz="8" w:color="010101"/>
            </w:tcBorders>
          </w:tcPr>
          <w:p>
            <w:pPr>
              <w:spacing w:after="0"/>
              <w:rPr>
                <w:sz w:val="11"/>
                <w:szCs w:val="11"/>
                <w:color w:val="auto"/>
              </w:rPr>
            </w:pPr>
          </w:p>
        </w:tc>
        <w:tc>
          <w:tcPr>
            <w:tcW w:w="8160" w:type="dxa"/>
            <w:vAlign w:val="bottom"/>
            <w:tcBorders>
              <w:bottom w:val="single" w:sz="8" w:color="010101"/>
            </w:tcBorders>
          </w:tcPr>
          <w:p>
            <w:pPr>
              <w:spacing w:after="0"/>
              <w:rPr>
                <w:sz w:val="11"/>
                <w:szCs w:val="11"/>
                <w:color w:val="auto"/>
              </w:rPr>
            </w:pPr>
          </w:p>
        </w:tc>
      </w:tr>
      <w:tr>
        <w:trPr>
          <w:trHeight w:val="776"/>
        </w:trPr>
        <w:tc>
          <w:tcPr>
            <w:tcW w:w="3300" w:type="dxa"/>
            <w:vAlign w:val="bottom"/>
          </w:tcPr>
          <w:p>
            <w:pPr>
              <w:ind w:left="1300"/>
              <w:spacing w:after="0"/>
              <w:rPr>
                <w:sz w:val="20"/>
                <w:szCs w:val="20"/>
                <w:color w:val="auto"/>
              </w:rPr>
            </w:pPr>
            <w:r>
              <w:rPr>
                <w:rFonts w:ascii="Arial" w:cs="Arial" w:eastAsia="Arial" w:hAnsi="Arial"/>
                <w:sz w:val="18"/>
                <w:szCs w:val="18"/>
                <w:color w:val="auto"/>
              </w:rPr>
              <w:t>With a copy to:</w:t>
            </w:r>
          </w:p>
        </w:tc>
        <w:tc>
          <w:tcPr>
            <w:tcW w:w="8160" w:type="dxa"/>
            <w:vAlign w:val="bottom"/>
          </w:tcPr>
          <w:p>
            <w:pPr>
              <w:spacing w:after="0"/>
              <w:rPr>
                <w:sz w:val="24"/>
                <w:szCs w:val="24"/>
                <w:color w:val="auto"/>
              </w:rPr>
            </w:pPr>
          </w:p>
        </w:tc>
      </w:tr>
      <w:tr>
        <w:trPr>
          <w:trHeight w:val="415"/>
        </w:trPr>
        <w:tc>
          <w:tcPr>
            <w:tcW w:w="3300" w:type="dxa"/>
            <w:vAlign w:val="bottom"/>
          </w:tcPr>
          <w:p>
            <w:pPr>
              <w:ind w:left="1300"/>
              <w:spacing w:after="0"/>
              <w:rPr>
                <w:sz w:val="20"/>
                <w:szCs w:val="20"/>
                <w:color w:val="auto"/>
              </w:rPr>
            </w:pPr>
            <w:r>
              <w:rPr>
                <w:rFonts w:ascii="Arial" w:cs="Arial" w:eastAsia="Arial" w:hAnsi="Arial"/>
                <w:sz w:val="18"/>
                <w:szCs w:val="18"/>
                <w:color w:val="auto"/>
              </w:rPr>
              <w:t>Attn:</w:t>
            </w:r>
          </w:p>
        </w:tc>
        <w:tc>
          <w:tcPr>
            <w:tcW w:w="8160" w:type="dxa"/>
            <w:vAlign w:val="bottom"/>
          </w:tcPr>
          <w:p>
            <w:pPr>
              <w:ind w:left="880"/>
              <w:spacing w:after="0"/>
              <w:rPr>
                <w:sz w:val="20"/>
                <w:szCs w:val="20"/>
                <w:color w:val="auto"/>
              </w:rPr>
            </w:pPr>
            <w:r>
              <w:rPr>
                <w:rFonts w:ascii="Arial" w:cs="Arial" w:eastAsia="Arial" w:hAnsi="Arial"/>
                <w:sz w:val="18"/>
                <w:szCs w:val="18"/>
                <w:color w:val="auto"/>
              </w:rPr>
              <w:t>Brian Smith</w:t>
            </w:r>
          </w:p>
        </w:tc>
      </w:tr>
      <w:tr>
        <w:trPr>
          <w:trHeight w:val="215"/>
        </w:trPr>
        <w:tc>
          <w:tcPr>
            <w:tcW w:w="3300" w:type="dxa"/>
            <w:vAlign w:val="bottom"/>
          </w:tcPr>
          <w:p>
            <w:pPr>
              <w:spacing w:after="0"/>
              <w:rPr>
                <w:sz w:val="18"/>
                <w:szCs w:val="18"/>
                <w:color w:val="auto"/>
              </w:rPr>
            </w:pPr>
          </w:p>
        </w:tc>
        <w:tc>
          <w:tcPr>
            <w:tcW w:w="8160" w:type="dxa"/>
            <w:vAlign w:val="bottom"/>
          </w:tcPr>
          <w:p>
            <w:pPr>
              <w:ind w:left="880"/>
              <w:spacing w:after="0"/>
              <w:rPr>
                <w:sz w:val="20"/>
                <w:szCs w:val="20"/>
                <w:color w:val="auto"/>
              </w:rPr>
            </w:pPr>
            <w:r>
              <w:rPr>
                <w:rFonts w:ascii="Arial" w:cs="Arial" w:eastAsia="Arial" w:hAnsi="Arial"/>
                <w:sz w:val="18"/>
                <w:szCs w:val="18"/>
                <w:color w:val="auto"/>
              </w:rPr>
              <w:t>Equity Capital Markets</w:t>
            </w:r>
          </w:p>
        </w:tc>
      </w:tr>
      <w:tr>
        <w:trPr>
          <w:trHeight w:val="215"/>
        </w:trPr>
        <w:tc>
          <w:tcPr>
            <w:tcW w:w="3300" w:type="dxa"/>
            <w:vAlign w:val="bottom"/>
          </w:tcPr>
          <w:p>
            <w:pPr>
              <w:ind w:left="1300"/>
              <w:spacing w:after="0"/>
              <w:rPr>
                <w:sz w:val="20"/>
                <w:szCs w:val="20"/>
                <w:color w:val="auto"/>
              </w:rPr>
            </w:pPr>
            <w:r>
              <w:rPr>
                <w:rFonts w:ascii="Arial" w:cs="Arial" w:eastAsia="Arial" w:hAnsi="Arial"/>
                <w:sz w:val="18"/>
                <w:szCs w:val="18"/>
                <w:color w:val="auto"/>
              </w:rPr>
              <w:t>Telephone:</w:t>
            </w:r>
          </w:p>
        </w:tc>
        <w:tc>
          <w:tcPr>
            <w:tcW w:w="8160" w:type="dxa"/>
            <w:vAlign w:val="bottom"/>
          </w:tcPr>
          <w:p>
            <w:pPr>
              <w:ind w:left="880"/>
              <w:spacing w:after="0"/>
              <w:rPr>
                <w:sz w:val="20"/>
                <w:szCs w:val="20"/>
                <w:color w:val="auto"/>
              </w:rPr>
            </w:pPr>
            <w:r>
              <w:rPr>
                <w:rFonts w:ascii="Arial" w:cs="Arial" w:eastAsia="Arial" w:hAnsi="Arial"/>
                <w:sz w:val="18"/>
                <w:szCs w:val="18"/>
                <w:color w:val="auto"/>
              </w:rPr>
              <w:t>(212) 902-0058</w:t>
            </w:r>
          </w:p>
        </w:tc>
      </w:tr>
      <w:tr>
        <w:trPr>
          <w:trHeight w:val="229"/>
        </w:trPr>
        <w:tc>
          <w:tcPr>
            <w:tcW w:w="3300" w:type="dxa"/>
            <w:vAlign w:val="bottom"/>
          </w:tcPr>
          <w:p>
            <w:pPr>
              <w:ind w:left="1300"/>
              <w:spacing w:after="0"/>
              <w:rPr>
                <w:sz w:val="20"/>
                <w:szCs w:val="20"/>
                <w:color w:val="auto"/>
              </w:rPr>
            </w:pPr>
            <w:r>
              <w:rPr>
                <w:rFonts w:ascii="Arial" w:cs="Arial" w:eastAsia="Arial" w:hAnsi="Arial"/>
                <w:sz w:val="18"/>
                <w:szCs w:val="18"/>
                <w:color w:val="auto"/>
              </w:rPr>
              <w:t>Facsimile:</w:t>
            </w:r>
          </w:p>
        </w:tc>
        <w:tc>
          <w:tcPr>
            <w:tcW w:w="8160" w:type="dxa"/>
            <w:vAlign w:val="bottom"/>
          </w:tcPr>
          <w:p>
            <w:pPr>
              <w:ind w:left="880"/>
              <w:spacing w:after="0"/>
              <w:rPr>
                <w:sz w:val="20"/>
                <w:szCs w:val="20"/>
                <w:color w:val="auto"/>
              </w:rPr>
            </w:pPr>
            <w:r>
              <w:rPr>
                <w:rFonts w:ascii="Arial" w:cs="Arial" w:eastAsia="Arial" w:hAnsi="Arial"/>
                <w:sz w:val="18"/>
                <w:szCs w:val="18"/>
                <w:color w:val="auto"/>
              </w:rPr>
              <w:t>(212) 412-9881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-1203960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-1203960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0" w:gutter="0" w:footer="0" w:header="0"/>
          <w:type w:val="continuous"/>
        </w:sectPr>
      </w:pPr>
    </w:p>
    <w:bookmarkStart w:id="40" w:name="page41"/>
    <w:bookmarkEnd w:id="40"/>
    <w:p>
      <w:pPr>
        <w:ind w:left="1293"/>
        <w:spacing w:after="0"/>
        <w:tabs>
          <w:tab w:leader="none" w:pos="4152"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smibri@am.ibd.gs.com</w:t>
      </w:r>
    </w:p>
    <w:p>
      <w:pPr>
        <w:spacing w:after="0" w:line="223" w:lineRule="exact"/>
        <w:rPr>
          <w:sz w:val="20"/>
          <w:szCs w:val="20"/>
          <w:color w:val="auto"/>
        </w:rPr>
      </w:pPr>
    </w:p>
    <w:p>
      <w:pPr>
        <w:ind w:left="1293"/>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7"/>
          <w:szCs w:val="17"/>
          <w:color w:val="auto"/>
        </w:rPr>
        <w:t>email</w:t>
      </w:r>
    </w:p>
    <w:p>
      <w:pPr>
        <w:spacing w:after="0" w:line="22" w:lineRule="exact"/>
        <w:rPr>
          <w:sz w:val="20"/>
          <w:szCs w:val="20"/>
          <w:color w:val="auto"/>
        </w:rPr>
      </w:pPr>
    </w:p>
    <w:p>
      <w:pPr>
        <w:ind w:left="1293"/>
        <w:spacing w:after="0"/>
        <w:rPr>
          <w:sz w:val="20"/>
          <w:szCs w:val="20"/>
          <w:color w:val="auto"/>
        </w:rPr>
      </w:pPr>
      <w:r>
        <w:rPr>
          <w:rFonts w:ascii="Arial" w:cs="Arial" w:eastAsia="Arial" w:hAnsi="Arial"/>
          <w:sz w:val="18"/>
          <w:szCs w:val="18"/>
          <w:color w:val="auto"/>
        </w:rPr>
        <w:t>notification to</w:t>
      </w:r>
    </w:p>
    <w:p>
      <w:pPr>
        <w:spacing w:after="0" w:line="8" w:lineRule="exact"/>
        <w:rPr>
          <w:sz w:val="20"/>
          <w:szCs w:val="20"/>
          <w:color w:val="auto"/>
        </w:rPr>
      </w:pPr>
    </w:p>
    <w:p>
      <w:pPr>
        <w:ind w:left="1293"/>
        <w:spacing w:after="0"/>
        <w:rPr>
          <w:sz w:val="20"/>
          <w:szCs w:val="20"/>
          <w:color w:val="auto"/>
        </w:rPr>
      </w:pPr>
      <w:r>
        <w:rPr>
          <w:rFonts w:ascii="Arial" w:cs="Arial" w:eastAsia="Arial" w:hAnsi="Arial"/>
          <w:sz w:val="18"/>
          <w:szCs w:val="18"/>
          <w:color w:val="auto"/>
        </w:rPr>
        <w:t>the following</w:t>
      </w:r>
    </w:p>
    <w:p>
      <w:pPr>
        <w:spacing w:after="0" w:line="8" w:lineRule="exact"/>
        <w:rPr>
          <w:sz w:val="20"/>
          <w:szCs w:val="20"/>
          <w:color w:val="auto"/>
        </w:rPr>
      </w:pPr>
    </w:p>
    <w:p>
      <w:pPr>
        <w:ind w:left="1293"/>
        <w:spacing w:after="0"/>
        <w:tabs>
          <w:tab w:leader="none" w:pos="4152" w:val="left"/>
        </w:tabs>
        <w:rPr>
          <w:sz w:val="20"/>
          <w:szCs w:val="20"/>
          <w:color w:val="auto"/>
        </w:rPr>
      </w:pPr>
      <w:r>
        <w:rPr>
          <w:rFonts w:ascii="Arial" w:cs="Arial" w:eastAsia="Arial" w:hAnsi="Arial"/>
          <w:sz w:val="18"/>
          <w:szCs w:val="18"/>
          <w:color w:val="auto"/>
        </w:rPr>
        <w:t>a</w:t>
      </w:r>
      <w:r>
        <w:rPr>
          <w:rFonts w:ascii="Arial" w:cs="Arial" w:eastAsia="Arial" w:hAnsi="Arial"/>
          <w:sz w:val="17"/>
          <w:szCs w:val="17"/>
          <w:color w:val="auto"/>
        </w:rPr>
        <w:t>ddress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Eq-derivs-notifications@am.ibd.gs.com</w:t>
      </w:r>
    </w:p>
    <w:p>
      <w:pPr>
        <w:spacing w:after="0" w:line="208" w:lineRule="exact"/>
        <w:rPr>
          <w:sz w:val="20"/>
          <w:szCs w:val="20"/>
          <w:color w:val="auto"/>
        </w:rPr>
      </w:pPr>
    </w:p>
    <w:p>
      <w:pPr>
        <w:ind w:left="993" w:hanging="348"/>
        <w:spacing w:after="0"/>
        <w:tabs>
          <w:tab w:leader="none" w:pos="99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3" w:lineRule="exact"/>
        <w:rPr>
          <w:sz w:val="20"/>
          <w:szCs w:val="20"/>
          <w:color w:val="auto"/>
        </w:rPr>
      </w:pPr>
    </w:p>
    <w:p>
      <w:pPr>
        <w:ind w:left="-7" w:right="680" w:firstLine="652"/>
        <w:spacing w:after="0" w:line="275" w:lineRule="auto"/>
        <w:tabs>
          <w:tab w:leader="none" w:pos="13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53" w:right="60" w:firstLine="636"/>
        <w:spacing w:after="0" w:line="254" w:lineRule="auto"/>
        <w:tabs>
          <w:tab w:leader="none" w:pos="20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53" w:right="100" w:firstLine="636"/>
        <w:spacing w:after="0" w:line="300" w:lineRule="auto"/>
        <w:tabs>
          <w:tab w:leader="none" w:pos="2008" w:val="left"/>
        </w:tabs>
        <w:numPr>
          <w:ilvl w:val="1"/>
          <w:numId w:val="93"/>
        </w:numPr>
        <w:rPr>
          <w:rFonts w:ascii="Arial" w:cs="Arial" w:eastAsia="Arial" w:hAnsi="Arial"/>
          <w:sz w:val="16"/>
          <w:szCs w:val="16"/>
          <w:color w:val="auto"/>
        </w:rPr>
      </w:pPr>
      <w:r>
        <w:rPr>
          <w:rFonts w:ascii="Arial" w:cs="Arial" w:eastAsia="Arial" w:hAnsi="Arial"/>
          <w:sz w:val="16"/>
          <w:szCs w:val="16"/>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(as amended), 149 or 150, EITF Issue No. 00-19, 01-6, 03-6 or 07-5 (or any successor issue statements) or under FASB’s Liabilities &amp; Equity Project.</w:t>
      </w:r>
    </w:p>
    <w:p>
      <w:pPr>
        <w:spacing w:after="0" w:line="154" w:lineRule="exact"/>
        <w:rPr>
          <w:rFonts w:ascii="Arial" w:cs="Arial" w:eastAsia="Arial" w:hAnsi="Arial"/>
          <w:sz w:val="16"/>
          <w:szCs w:val="16"/>
          <w:color w:val="auto"/>
        </w:rPr>
      </w:pPr>
    </w:p>
    <w:p>
      <w:pPr>
        <w:ind w:left="653" w:right="320" w:firstLine="636"/>
        <w:spacing w:after="0" w:line="305" w:lineRule="auto"/>
        <w:tabs>
          <w:tab w:leader="none" w:pos="2013" w:val="left"/>
        </w:tabs>
        <w:numPr>
          <w:ilvl w:val="1"/>
          <w:numId w:val="93"/>
        </w:numPr>
        <w:rPr>
          <w:rFonts w:ascii="Arial" w:cs="Arial" w:eastAsia="Arial" w:hAnsi="Arial"/>
          <w:sz w:val="17"/>
          <w:szCs w:val="17"/>
          <w:color w:val="auto"/>
        </w:rPr>
      </w:pPr>
      <w:r>
        <w:rPr>
          <w:rFonts w:ascii="Arial" w:cs="Arial" w:eastAsia="Arial" w:hAnsi="Arial"/>
          <w:sz w:val="17"/>
          <w:szCs w:val="17"/>
          <w:color w:val="auto"/>
        </w:rPr>
        <w:t>Prior to the Trade Date, Counterparty shall deliver to Dealer a resolution of Counterparty’s board of directors (or an authorized committee thereof) authorizing the Transaction and such other certificate or certificates as Dealer shall reasonably request.</w:t>
      </w:r>
    </w:p>
    <w:p>
      <w:pPr>
        <w:spacing w:after="0" w:line="147" w:lineRule="exact"/>
        <w:rPr>
          <w:rFonts w:ascii="Arial" w:cs="Arial" w:eastAsia="Arial" w:hAnsi="Arial"/>
          <w:sz w:val="17"/>
          <w:szCs w:val="17"/>
          <w:color w:val="auto"/>
        </w:rPr>
      </w:pPr>
    </w:p>
    <w:p>
      <w:pPr>
        <w:ind w:left="653" w:right="140" w:firstLine="636"/>
        <w:spacing w:after="0" w:line="275" w:lineRule="auto"/>
        <w:tabs>
          <w:tab w:leader="none" w:pos="20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53" w:right="140" w:firstLine="636"/>
        <w:spacing w:after="0" w:line="262" w:lineRule="auto"/>
        <w:tabs>
          <w:tab w:leader="none" w:pos="1998"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53" w:right="160" w:firstLine="636"/>
        <w:spacing w:after="0" w:line="275" w:lineRule="auto"/>
        <w:tabs>
          <w:tab w:leader="none" w:pos="2003"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653" w:right="260" w:firstLine="636"/>
        <w:spacing w:after="0" w:line="262" w:lineRule="auto"/>
        <w:tabs>
          <w:tab w:leader="none" w:pos="2008" w:val="left"/>
        </w:tabs>
        <w:numPr>
          <w:ilvl w:val="1"/>
          <w:numId w:val="93"/>
        </w:numPr>
        <w:rPr>
          <w:rFonts w:ascii="Arial" w:cs="Arial" w:eastAsia="Arial" w:hAnsi="Arial"/>
          <w:sz w:val="18"/>
          <w:szCs w:val="18"/>
          <w:color w:val="auto"/>
        </w:rPr>
      </w:pPr>
      <w:r>
        <w:rPr>
          <w:rFonts w:ascii="Arial" w:cs="Arial" w:eastAsia="Arial" w:hAnsi="Arial"/>
          <w:sz w:val="18"/>
          <w:szCs w:val="18"/>
          <w:color w:val="auto"/>
        </w:rPr>
        <w:t>On the Trade Date, the Premium Payment Date and on any Additional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w:t>
      </w:r>
    </w:p>
    <w:p>
      <w:pPr>
        <w:spacing w:after="0" w:line="18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726884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3"/>
        <w:spacing w:after="0"/>
        <w:rPr>
          <w:sz w:val="20"/>
          <w:szCs w:val="20"/>
          <w:color w:val="auto"/>
        </w:rPr>
      </w:pPr>
      <w:r>
        <w:rPr>
          <w:rFonts w:ascii="Arial" w:cs="Arial" w:eastAsia="Arial" w:hAnsi="Arial"/>
          <w:sz w:val="16"/>
          <w:szCs w:val="16"/>
          <w:color w:val="auto"/>
        </w:rPr>
        <w:t>obligations as such debts mature and does not intend to, or does not believe that it will, incur debt beyond its ability to pay as such debts mature.</w:t>
      </w:r>
    </w:p>
    <w:p>
      <w:pPr>
        <w:spacing w:after="0" w:line="246" w:lineRule="exact"/>
        <w:rPr>
          <w:sz w:val="20"/>
          <w:szCs w:val="20"/>
          <w:color w:val="auto"/>
        </w:rPr>
      </w:pPr>
    </w:p>
    <w:p>
      <w:pPr>
        <w:ind w:left="653" w:right="300" w:firstLine="636"/>
        <w:spacing w:after="0" w:line="286" w:lineRule="auto"/>
        <w:tabs>
          <w:tab w:leader="none" w:pos="2013" w:val="left"/>
        </w:tabs>
        <w:numPr>
          <w:ilvl w:val="1"/>
          <w:numId w:val="94"/>
        </w:numPr>
        <w:rPr>
          <w:rFonts w:ascii="Arial" w:cs="Arial" w:eastAsia="Arial" w:hAnsi="Arial"/>
          <w:sz w:val="16"/>
          <w:szCs w:val="16"/>
          <w:color w:val="auto"/>
        </w:rPr>
      </w:pPr>
      <w:r>
        <w:rPr>
          <w:rFonts w:ascii="Arial" w:cs="Arial" w:eastAsia="Arial" w:hAnsi="Arial"/>
          <w:sz w:val="16"/>
          <w:szCs w:val="16"/>
          <w:color w:val="auto"/>
        </w:rPr>
        <w:t>(A) During each period starting on the first Expiration Date and ending on the last Expiration Date, in each case sharing a common Final Disruption Date (each a “</w:t>
      </w:r>
      <w:r>
        <w:rPr>
          <w:rFonts w:ascii="Arial" w:cs="Arial" w:eastAsia="Arial" w:hAnsi="Arial"/>
          <w:sz w:val="16"/>
          <w:szCs w:val="16"/>
          <w:b w:val="1"/>
          <w:bCs w:val="1"/>
          <w:color w:val="auto"/>
        </w:rPr>
        <w:t>Settlement Period</w:t>
      </w:r>
      <w:r>
        <w:rPr>
          <w:rFonts w:ascii="Arial" w:cs="Arial" w:eastAsia="Arial" w:hAnsi="Arial"/>
          <w:sz w:val="16"/>
          <w:szCs w:val="16"/>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653" w:hanging="8"/>
        <w:spacing w:after="0" w:line="253" w:lineRule="auto"/>
        <w:tabs>
          <w:tab w:leader="none" w:pos="936"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190" w:lineRule="exact"/>
        <w:rPr>
          <w:rFonts w:ascii="Arial" w:cs="Arial" w:eastAsia="Arial" w:hAnsi="Arial"/>
          <w:sz w:val="18"/>
          <w:szCs w:val="18"/>
          <w:color w:val="auto"/>
        </w:rPr>
      </w:pPr>
    </w:p>
    <w:p>
      <w:pPr>
        <w:ind w:left="653" w:right="140" w:firstLine="636"/>
        <w:spacing w:after="0" w:line="255" w:lineRule="auto"/>
        <w:tabs>
          <w:tab w:leader="none" w:pos="204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9" w:lineRule="exact"/>
        <w:rPr>
          <w:sz w:val="20"/>
          <w:szCs w:val="20"/>
          <w:color w:val="auto"/>
        </w:rPr>
      </w:pPr>
    </w:p>
    <w:p>
      <w:pPr>
        <w:ind w:left="-7" w:right="240" w:firstLine="652"/>
        <w:spacing w:after="0" w:line="275" w:lineRule="auto"/>
        <w:tabs>
          <w:tab w:leader="none" w:pos="133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left="-7" w:firstLine="652"/>
        <w:spacing w:after="0" w:line="284" w:lineRule="auto"/>
        <w:tabs>
          <w:tab w:leader="none" w:pos="1328" w:val="left"/>
        </w:tabs>
        <w:numPr>
          <w:ilvl w:val="1"/>
          <w:numId w:val="96"/>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w:t>
      </w:r>
    </w:p>
    <w:p>
      <w:pPr>
        <w:ind w:left="-7" w:right="140" w:firstLine="7"/>
        <w:spacing w:after="0" w:line="268" w:lineRule="auto"/>
        <w:tabs>
          <w:tab w:leader="none" w:pos="256" w:val="left"/>
        </w:tabs>
        <w:numPr>
          <w:ilvl w:val="0"/>
          <w:numId w:val="97"/>
        </w:numPr>
        <w:rPr>
          <w:rFonts w:ascii="Arial" w:cs="Arial" w:eastAsia="Arial" w:hAnsi="Arial"/>
          <w:sz w:val="17"/>
          <w:szCs w:val="17"/>
          <w:color w:val="auto"/>
        </w:rPr>
      </w:pPr>
      <w:r>
        <w:rPr>
          <w:rFonts w:ascii="Arial" w:cs="Arial" w:eastAsia="Arial" w:hAnsi="Arial"/>
          <w:sz w:val="17"/>
          <w:szCs w:val="17"/>
          <w:color w:val="auto"/>
        </w:rPr>
        <w:t>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ectPr>
          <w:pgSz w:w="11900" w:h="16838" w:orient="portrait"/>
          <w:cols w:equalWidth="0" w:num="1">
            <w:col w:w="11413"/>
          </w:cols>
          <w:pgMar w:left="247" w:top="125" w:right="239" w:bottom="148" w:gutter="0" w:footer="0" w:header="0"/>
        </w:sectPr>
      </w:pPr>
    </w:p>
    <w:bookmarkStart w:id="41" w:name="page42"/>
    <w:bookmarkEnd w:id="41"/>
    <w:p>
      <w:pPr>
        <w:ind w:right="320" w:firstLine="652"/>
        <w:spacing w:after="0" w:line="290" w:lineRule="auto"/>
        <w:tabs>
          <w:tab w:leader="none" w:pos="1345"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2" w:lineRule="exact"/>
        <w:rPr>
          <w:rFonts w:ascii="Arial" w:cs="Arial" w:eastAsia="Arial" w:hAnsi="Arial"/>
          <w:sz w:val="16"/>
          <w:szCs w:val="16"/>
          <w:color w:val="auto"/>
        </w:rPr>
      </w:pPr>
    </w:p>
    <w:p>
      <w:pPr>
        <w:ind w:right="20" w:firstLine="652"/>
        <w:spacing w:after="0" w:line="300" w:lineRule="auto"/>
        <w:tabs>
          <w:tab w:leader="none" w:pos="13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0" w:lineRule="exact"/>
        <w:rPr>
          <w:sz w:val="20"/>
          <w:szCs w:val="20"/>
          <w:color w:val="auto"/>
        </w:rPr>
      </w:pPr>
    </w:p>
    <w:p>
      <w:pPr>
        <w:ind w:right="240" w:firstLine="652"/>
        <w:spacing w:after="0" w:line="275" w:lineRule="auto"/>
        <w:tabs>
          <w:tab w:leader="none" w:pos="1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right="200" w:firstLine="652"/>
        <w:spacing w:after="0" w:line="289" w:lineRule="auto"/>
        <w:tabs>
          <w:tab w:leader="none" w:pos="100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b w:val="1"/>
          <w:bCs w:val="1"/>
          <w:color w:val="auto"/>
        </w:rPr>
        <w:t>Repurchase Notice</w:t>
      </w:r>
      <w:r>
        <w:rPr>
          <w:rFonts w:ascii="Arial" w:cs="Arial" w:eastAsia="Arial" w:hAnsi="Arial"/>
          <w:sz w:val="16"/>
          <w:szCs w:val="16"/>
          <w:color w:val="auto"/>
        </w:rPr>
        <w:t>”) on such day if following such repurchase, the Notice Percentage as determined on such day is greater by</w:t>
      </w:r>
    </w:p>
    <w:p>
      <w:pPr>
        <w:spacing w:after="0" w:line="1" w:lineRule="exact"/>
        <w:rPr>
          <w:rFonts w:ascii="Arial" w:cs="Arial" w:eastAsia="Arial" w:hAnsi="Arial"/>
          <w:sz w:val="16"/>
          <w:szCs w:val="16"/>
          <w:color w:val="auto"/>
        </w:rPr>
      </w:pPr>
    </w:p>
    <w:p>
      <w:pPr>
        <w:ind w:right="40"/>
        <w:spacing w:after="0" w:line="282" w:lineRule="auto"/>
        <w:rPr>
          <w:rFonts w:ascii="Arial" w:cs="Arial" w:eastAsia="Arial" w:hAnsi="Arial"/>
          <w:sz w:val="16"/>
          <w:szCs w:val="16"/>
          <w:color w:val="auto"/>
        </w:rPr>
      </w:pPr>
      <w:r>
        <w:rPr>
          <w:rFonts w:ascii="Arial" w:cs="Arial" w:eastAsia="Arial" w:hAnsi="Arial"/>
          <w:sz w:val="16"/>
          <w:szCs w:val="16"/>
          <w:color w:val="auto"/>
        </w:rPr>
        <w:t>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6"/>
          <w:szCs w:val="16"/>
          <w:b w:val="1"/>
          <w:bCs w:val="1"/>
          <w:color w:val="auto"/>
        </w:rPr>
        <w:t>Notice Percentage</w:t>
      </w:r>
      <w:r>
        <w:rPr>
          <w:rFonts w:ascii="Arial" w:cs="Arial" w:eastAsia="Arial" w:hAnsi="Arial"/>
          <w:sz w:val="16"/>
          <w:szCs w:val="16"/>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w:t>
      </w:r>
      <w:r>
        <w:rPr>
          <w:rFonts w:ascii="Arial" w:cs="Arial" w:eastAsia="Arial" w:hAnsi="Arial"/>
          <w:sz w:val="16"/>
          <w:szCs w:val="16"/>
          <w:b w:val="1"/>
          <w:bCs w:val="1"/>
          <w:color w:val="auto"/>
        </w:rPr>
        <w:t>Indemnified Person</w:t>
      </w:r>
      <w:r>
        <w:rPr>
          <w:rFonts w:ascii="Arial" w:cs="Arial" w:eastAsia="Arial" w:hAnsi="Arial"/>
          <w:sz w:val="16"/>
          <w:szCs w:val="16"/>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74" w:lineRule="exact"/>
        <w:rPr>
          <w:rFonts w:ascii="Arial" w:cs="Arial" w:eastAsia="Arial" w:hAnsi="Arial"/>
          <w:sz w:val="16"/>
          <w:szCs w:val="16"/>
          <w:color w:val="auto"/>
        </w:rPr>
      </w:pPr>
    </w:p>
    <w:p>
      <w:pPr>
        <w:ind w:firstLine="652"/>
        <w:spacing w:after="0" w:line="286" w:lineRule="auto"/>
        <w:tabs>
          <w:tab w:leader="none" w:pos="100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Transfer or Assignment</w:t>
      </w:r>
      <w:r>
        <w:rPr>
          <w:rFonts w:ascii="Arial" w:cs="Arial" w:eastAsia="Arial" w:hAnsi="Arial"/>
          <w:sz w:val="16"/>
          <w:szCs w:val="16"/>
          <w:color w:val="auto"/>
        </w:rPr>
        <w:t>. Neither party may transfer any of its rights or obligations under this Transaction without the prior written consent of the non-transferring party (such consent not to be unreasonably withheld); provided that if at any time the Equity Percentage exceeds 9%, Dealer may immediately, in its sole discretion, transfer or assign a number of Options sufficient to reduce the Equity Percentage to 8.5% to any affiliate of Dealer whose obligations are guaranteed by The Goldman Sachs Group, Inc. or any third party with (or with a guarantor (a “</w:t>
      </w:r>
      <w:r>
        <w:rPr>
          <w:rFonts w:ascii="Arial" w:cs="Arial" w:eastAsia="Arial" w:hAnsi="Arial"/>
          <w:sz w:val="16"/>
          <w:szCs w:val="16"/>
          <w:b w:val="1"/>
          <w:bCs w:val="1"/>
          <w:color w:val="auto"/>
        </w:rPr>
        <w:t>Third Party Guarantor</w:t>
      </w:r>
      <w:r>
        <w:rPr>
          <w:rFonts w:ascii="Arial" w:cs="Arial" w:eastAsia="Arial" w:hAnsi="Arial"/>
          <w:sz w:val="16"/>
          <w:szCs w:val="16"/>
          <w:color w:val="auto"/>
        </w:rPr>
        <w:t>”) that has) a rating for its long-term, unsecured and unsubordinated indebtedness of A- or better by Standard &amp; Poor’s Ratings Services or its successor (“</w:t>
      </w:r>
      <w:r>
        <w:rPr>
          <w:rFonts w:ascii="Arial" w:cs="Arial" w:eastAsia="Arial" w:hAnsi="Arial"/>
          <w:sz w:val="16"/>
          <w:szCs w:val="16"/>
          <w:b w:val="1"/>
          <w:bCs w:val="1"/>
          <w:color w:val="auto"/>
        </w:rPr>
        <w:t>S&amp;P</w:t>
      </w:r>
      <w:r>
        <w:rPr>
          <w:rFonts w:ascii="Arial" w:cs="Arial" w:eastAsia="Arial" w:hAnsi="Arial"/>
          <w:sz w:val="16"/>
          <w:szCs w:val="16"/>
          <w:color w:val="auto"/>
        </w:rPr>
        <w:t>”), or A3 or better by Moody’s Investors Service, Inc. (“</w:t>
      </w:r>
      <w:r>
        <w:rPr>
          <w:rFonts w:ascii="Arial" w:cs="Arial" w:eastAsia="Arial" w:hAnsi="Arial"/>
          <w:sz w:val="16"/>
          <w:szCs w:val="16"/>
          <w:b w:val="1"/>
          <w:bCs w:val="1"/>
          <w:color w:val="auto"/>
        </w:rPr>
        <w:t>Moody’s</w:t>
      </w:r>
      <w:r>
        <w:rPr>
          <w:rFonts w:ascii="Arial" w:cs="Arial" w:eastAsia="Arial" w:hAnsi="Arial"/>
          <w:sz w:val="16"/>
          <w:szCs w:val="16"/>
          <w:color w:val="auto"/>
        </w:rPr>
        <w:t>”) or, if either S&amp;P or Moody’s ceases to rate such debt, at least an equivalent rating or better by a substitute agency rating mutually agreed by Counterparty and Dealer; provided however such Third Party Guarantor shall provide a guarantee in a form reasonably satisfactory to the Counterparty in connection with such transfer or assignment. If, in the discretion of Dealer, Dealer is unable to effect such transfer or assignment after its commercially reasonable efforts on pricing terms reasonably acceptable to Dealer, Dealer may designate any Scheduled Trading Day as an Early Termination Date and an Additional Termination Date shall be deemed to occur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this Transaction, allocated to Components as Dealer determines in its discretion, such that the Equity Percentage following such partial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termination will be equal to or less than 8.5%. In the event that Dealer so designates an Early Termination Date with respect to a portion of this Transaction, a payment shall be made pursuant to Section 6 of the Agreement as if (i) an Early Termination Date had been designated in respect of a Transaction having terms identical to this Transaction and a Number of Options equal to the Terminated Portion, (ii) Counterparty shall be the Affected Party with respect to such partial termination and (iii) such portion of this Transaction shall be the only Affected Transaction. The “</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w:t>
      </w:r>
    </w:p>
    <w:p>
      <w:pPr>
        <w:ind w:right="20" w:firstLine="7"/>
        <w:spacing w:after="0" w:line="252" w:lineRule="auto"/>
        <w:tabs>
          <w:tab w:leader="none" w:pos="29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numerator of which is the number of Shares that Dealer or any of its affiliates that are subject to aggregation with Dealer beneficially own (within the meaning of Section 13 of the Exchange Act) on such day and (B) the denominator of which is the number of Shares outstanding on such day. Notwithstanding Section 7 of the Agreement, Counterparty may assign its rights and obligations under this Transaction, in whole or in part, on terms reasonably acceptable to both parties, without any payment being owed from Counterparty to Dealer.</w:t>
      </w:r>
    </w:p>
    <w:p>
      <w:pPr>
        <w:spacing w:after="0" w:line="190" w:lineRule="exact"/>
        <w:rPr>
          <w:rFonts w:ascii="Arial" w:cs="Arial" w:eastAsia="Arial" w:hAnsi="Arial"/>
          <w:sz w:val="18"/>
          <w:szCs w:val="18"/>
          <w:color w:val="auto"/>
        </w:rPr>
      </w:pPr>
    </w:p>
    <w:p>
      <w:pPr>
        <w:ind w:right="80" w:firstLine="652"/>
        <w:spacing w:after="0" w:line="255" w:lineRule="auto"/>
        <w:tabs>
          <w:tab w:leader="none" w:pos="1002"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ectPr>
          <w:pgSz w:w="11900" w:h="16838" w:orient="portrait"/>
          <w:cols w:equalWidth="0" w:num="1">
            <w:col w:w="11420"/>
          </w:cols>
          <w:pgMar w:left="240" w:top="125" w:right="239" w:bottom="0" w:gutter="0" w:footer="0" w:header="0"/>
        </w:sectPr>
      </w:pPr>
    </w:p>
    <w:bookmarkStart w:id="42" w:name="page43"/>
    <w:bookmarkEnd w:id="42"/>
    <w:p>
      <w:pPr>
        <w:ind w:right="100" w:firstLine="652"/>
        <w:spacing w:after="0" w:line="262" w:lineRule="auto"/>
        <w:tabs>
          <w:tab w:leader="none" w:pos="100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180" w:firstLine="652"/>
        <w:spacing w:after="0" w:line="295" w:lineRule="auto"/>
        <w:tabs>
          <w:tab w:leader="none" w:pos="99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100" w:firstLine="652"/>
        <w:spacing w:after="0" w:line="267" w:lineRule="auto"/>
        <w:tabs>
          <w:tab w:leader="none" w:pos="100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b w:val="1"/>
          <w:bCs w:val="1"/>
          <w:color w:val="auto"/>
        </w:rPr>
        <w:t>Payment</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w:t>
      </w:r>
      <w:r>
        <w:rPr>
          <w:rFonts w:ascii="Arial" w:cs="Arial" w:eastAsia="Arial" w:hAnsi="Arial"/>
          <w:sz w:val="17"/>
          <w:szCs w:val="17"/>
          <w:color w:val="auto"/>
        </w:rPr>
        <w:t>”), Counterparty shall have the right, in its sole discretion, to require Dealer to satisfy any such Payment Obligation by the Share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b w:val="1"/>
          <w:bCs w:val="1"/>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b w:val="1"/>
          <w:bCs w:val="1"/>
          <w:color w:val="auto"/>
        </w:rPr>
        <w:t>Share Termination Alternative</w:t>
      </w:r>
      <w:r>
        <w:rPr>
          <w:rFonts w:ascii="Arial" w:cs="Arial" w:eastAsia="Arial" w:hAnsi="Arial"/>
          <w:sz w:val="17"/>
          <w:szCs w:val="17"/>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Share Termination Delivery Unit:</w:t>
            </w:r>
          </w:p>
        </w:tc>
        <w:tc>
          <w:tcPr>
            <w:tcW w:w="8200" w:type="dxa"/>
            <w:vAlign w:val="bottom"/>
          </w:tcPr>
          <w:p>
            <w:pPr>
              <w:ind w:left="820"/>
              <w:spacing w:after="0"/>
              <w:rPr>
                <w:sz w:val="20"/>
                <w:szCs w:val="20"/>
                <w:color w:val="auto"/>
              </w:rPr>
            </w:pPr>
            <w:r>
              <w:rPr>
                <w:rFonts w:ascii="Arial" w:cs="Arial" w:eastAsia="Arial" w:hAnsi="Arial"/>
                <w:sz w:val="18"/>
                <w:szCs w:val="18"/>
                <w:color w:val="auto"/>
                <w:w w:val="95"/>
              </w:rPr>
              <w:t>In the case of a Termination Event, Event of Default, Delisting or Additional Disruption Event, one</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1"/>
              </w:rPr>
              <w:t>Share or, in the case of an Insolvency, Nationalization, Merger Event or Tender Offer, one Share or a</w:t>
            </w:r>
          </w:p>
        </w:tc>
      </w:tr>
      <w:tr>
        <w:trPr>
          <w:trHeight w:val="229"/>
        </w:trPr>
        <w:tc>
          <w:tcPr>
            <w:tcW w:w="3260" w:type="dxa"/>
            <w:vAlign w:val="bottom"/>
          </w:tcPr>
          <w:p>
            <w:pPr>
              <w:spacing w:after="0"/>
              <w:rPr>
                <w:sz w:val="19"/>
                <w:szCs w:val="19"/>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unit consisting of the number or amount of each type of property</w:t>
            </w:r>
          </w:p>
        </w:tc>
      </w:tr>
      <w:tr>
        <w:trPr>
          <w:trHeight w:val="430"/>
        </w:trPr>
        <w:tc>
          <w:tcPr>
            <w:tcW w:w="3260" w:type="dxa"/>
            <w:vAlign w:val="bottom"/>
          </w:tcPr>
          <w:p>
            <w:pPr>
              <w:spacing w:after="0"/>
              <w:rPr>
                <w:sz w:val="24"/>
                <w:szCs w:val="24"/>
                <w:color w:val="auto"/>
              </w:rPr>
            </w:pPr>
          </w:p>
        </w:tc>
        <w:tc>
          <w:tcPr>
            <w:tcW w:w="8200" w:type="dxa"/>
            <w:vAlign w:val="bottom"/>
          </w:tcPr>
          <w:p>
            <w:pPr>
              <w:ind w:left="2360"/>
              <w:spacing w:after="0"/>
              <w:rPr>
                <w:sz w:val="20"/>
                <w:szCs w:val="20"/>
                <w:color w:val="auto"/>
              </w:rPr>
            </w:pPr>
            <w:r>
              <w:rPr>
                <w:rFonts w:ascii="Arial" w:cs="Arial" w:eastAsia="Arial" w:hAnsi="Arial"/>
                <w:sz w:val="18"/>
                <w:szCs w:val="18"/>
                <w:color w:val="auto"/>
              </w:rPr>
              <w:t>13</w:t>
            </w:r>
          </w:p>
        </w:tc>
      </w:tr>
      <w:tr>
        <w:trPr>
          <w:trHeight w:val="131"/>
        </w:trPr>
        <w:tc>
          <w:tcPr>
            <w:tcW w:w="326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r>
        <w:trPr>
          <w:trHeight w:val="761"/>
        </w:trPr>
        <w:tc>
          <w:tcPr>
            <w:tcW w:w="3260" w:type="dxa"/>
            <w:vAlign w:val="bottom"/>
          </w:tcPr>
          <w:p>
            <w:pPr>
              <w:spacing w:after="0"/>
              <w:rPr>
                <w:sz w:val="24"/>
                <w:szCs w:val="24"/>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5"/>
              </w:rPr>
              <w:t>received by a holder of one Share (without consideration of any requirement to pay cash or other</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7"/>
              </w:rPr>
              <w:t>consideration in lieu of fractional amounts of any securities) in such Insolvency, Nationalization,</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6"/>
              </w:rPr>
              <w:t>Merger Event or Tender Offer. If such Insolvency, Nationalization, Merger Event or Tender Offer</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4"/>
              </w:rPr>
              <w:t>involves a choice of consideration to be received by holders, such holder shall be deemed to have</w:t>
            </w:r>
          </w:p>
        </w:tc>
      </w:tr>
      <w:tr>
        <w:trPr>
          <w:trHeight w:val="229"/>
        </w:trPr>
        <w:tc>
          <w:tcPr>
            <w:tcW w:w="3260" w:type="dxa"/>
            <w:vAlign w:val="bottom"/>
          </w:tcPr>
          <w:p>
            <w:pPr>
              <w:spacing w:after="0"/>
              <w:rPr>
                <w:sz w:val="19"/>
                <w:szCs w:val="19"/>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elected to receive the maximum possible amount of cash.</w:t>
            </w:r>
          </w:p>
        </w:tc>
      </w:tr>
      <w:tr>
        <w:trPr>
          <w:trHeight w:val="430"/>
        </w:trPr>
        <w:tc>
          <w:tcPr>
            <w:tcW w:w="3260" w:type="dxa"/>
            <w:vAlign w:val="bottom"/>
          </w:tcPr>
          <w:p>
            <w:pPr>
              <w:spacing w:after="0"/>
              <w:rPr>
                <w:sz w:val="20"/>
                <w:szCs w:val="20"/>
                <w:color w:val="auto"/>
              </w:rPr>
            </w:pPr>
            <w:r>
              <w:rPr>
                <w:rFonts w:ascii="Arial" w:cs="Arial" w:eastAsia="Arial" w:hAnsi="Arial"/>
                <w:sz w:val="18"/>
                <w:szCs w:val="18"/>
                <w:color w:val="auto"/>
              </w:rPr>
              <w:t>Failure to Deliver:</w:t>
            </w:r>
          </w:p>
        </w:tc>
        <w:tc>
          <w:tcPr>
            <w:tcW w:w="8200" w:type="dxa"/>
            <w:vAlign w:val="bottom"/>
          </w:tcPr>
          <w:p>
            <w:pPr>
              <w:ind w:left="820"/>
              <w:spacing w:after="0"/>
              <w:rPr>
                <w:sz w:val="20"/>
                <w:szCs w:val="20"/>
                <w:color w:val="auto"/>
              </w:rPr>
            </w:pPr>
            <w:r>
              <w:rPr>
                <w:rFonts w:ascii="Arial" w:cs="Arial" w:eastAsia="Arial" w:hAnsi="Arial"/>
                <w:sz w:val="18"/>
                <w:szCs w:val="18"/>
                <w:color w:val="auto"/>
              </w:rPr>
              <w:t>Applicable</w:t>
            </w:r>
          </w:p>
        </w:tc>
      </w:tr>
      <w:tr>
        <w:trPr>
          <w:trHeight w:val="415"/>
        </w:trPr>
        <w:tc>
          <w:tcPr>
            <w:tcW w:w="3260" w:type="dxa"/>
            <w:vAlign w:val="bottom"/>
          </w:tcPr>
          <w:p>
            <w:pPr>
              <w:spacing w:after="0"/>
              <w:rPr>
                <w:sz w:val="20"/>
                <w:szCs w:val="20"/>
                <w:color w:val="auto"/>
              </w:rPr>
            </w:pPr>
            <w:r>
              <w:rPr>
                <w:rFonts w:ascii="Arial" w:cs="Arial" w:eastAsia="Arial" w:hAnsi="Arial"/>
                <w:sz w:val="18"/>
                <w:szCs w:val="18"/>
                <w:color w:val="auto"/>
              </w:rPr>
              <w:t>Other applicable provisions:</w:t>
            </w:r>
          </w:p>
        </w:tc>
        <w:tc>
          <w:tcPr>
            <w:tcW w:w="8200" w:type="dxa"/>
            <w:vAlign w:val="bottom"/>
          </w:tcPr>
          <w:p>
            <w:pPr>
              <w:ind w:left="820"/>
              <w:spacing w:after="0"/>
              <w:rPr>
                <w:sz w:val="20"/>
                <w:szCs w:val="20"/>
                <w:color w:val="auto"/>
              </w:rPr>
            </w:pPr>
            <w:r>
              <w:rPr>
                <w:rFonts w:ascii="Arial" w:cs="Arial" w:eastAsia="Arial" w:hAnsi="Arial"/>
                <w:sz w:val="18"/>
                <w:szCs w:val="18"/>
                <w:color w:val="auto"/>
                <w:w w:val="91"/>
              </w:rPr>
              <w:t>If Share Termination Alternative is applicable, the provisions of Sections 9.8, 9.9, 9.10, 9.11 and 9.12</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3"/>
              </w:rPr>
              <w:t>of the Equity Definitions will be applicable as if Physical Settlement applied to the termination of the</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1"/>
              </w:rPr>
              <w:t>Transaction, except that all references to “Shares” shall be read as references to “Share Termination</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1"/>
              </w:rPr>
              <w:t xml:space="preserve">Delivery Units”; and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the Representation and Agreement contained in Section 9.11 of the</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3"/>
              </w:rPr>
              <w:t>Equity Definitions shall be modified by excluding any representations therein relating to restrictions,</w:t>
            </w:r>
          </w:p>
        </w:tc>
      </w:tr>
      <w:tr>
        <w:trPr>
          <w:trHeight w:val="215"/>
        </w:trPr>
        <w:tc>
          <w:tcPr>
            <w:tcW w:w="3260" w:type="dxa"/>
            <w:vAlign w:val="bottom"/>
          </w:tcPr>
          <w:p>
            <w:pPr>
              <w:spacing w:after="0"/>
              <w:rPr>
                <w:sz w:val="18"/>
                <w:szCs w:val="18"/>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w w:val="95"/>
              </w:rPr>
              <w:t>obligations, limitations or requirements under applicable securities laws as a result of the fact that</w:t>
            </w:r>
          </w:p>
        </w:tc>
      </w:tr>
      <w:tr>
        <w:trPr>
          <w:trHeight w:val="229"/>
        </w:trPr>
        <w:tc>
          <w:tcPr>
            <w:tcW w:w="3260" w:type="dxa"/>
            <w:vAlign w:val="bottom"/>
          </w:tcPr>
          <w:p>
            <w:pPr>
              <w:spacing w:after="0"/>
              <w:rPr>
                <w:sz w:val="19"/>
                <w:szCs w:val="19"/>
                <w:color w:val="auto"/>
              </w:rPr>
            </w:pPr>
          </w:p>
        </w:tc>
        <w:tc>
          <w:tcPr>
            <w:tcW w:w="8200" w:type="dxa"/>
            <w:vAlign w:val="bottom"/>
          </w:tcPr>
          <w:p>
            <w:pPr>
              <w:ind w:left="820"/>
              <w:spacing w:after="0"/>
              <w:rPr>
                <w:sz w:val="20"/>
                <w:szCs w:val="20"/>
                <w:color w:val="auto"/>
              </w:rPr>
            </w:pPr>
            <w:r>
              <w:rPr>
                <w:rFonts w:ascii="Arial" w:cs="Arial" w:eastAsia="Arial" w:hAnsi="Arial"/>
                <w:sz w:val="18"/>
                <w:szCs w:val="18"/>
                <w:color w:val="auto"/>
              </w:rPr>
              <w:t>Buyer is the issuer of any Share Termination Delivery Units (or any part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-2431415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-2431415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3" w:lineRule="exact"/>
        <w:rPr>
          <w:sz w:val="20"/>
          <w:szCs w:val="20"/>
          <w:color w:val="auto"/>
        </w:rPr>
      </w:pPr>
    </w:p>
    <w:p>
      <w:pPr>
        <w:ind w:left="1300" w:right="40"/>
        <w:spacing w:after="0" w:line="253" w:lineRule="auto"/>
        <w:rPr>
          <w:sz w:val="20"/>
          <w:szCs w:val="20"/>
          <w:color w:val="auto"/>
        </w:rPr>
      </w:pPr>
      <w:r>
        <w:rPr>
          <w:rFonts w:ascii="Arial" w:cs="Arial" w:eastAsia="Arial" w:hAnsi="Arial"/>
          <w:sz w:val="18"/>
          <w:szCs w:val="18"/>
          <w:color w:val="auto"/>
        </w:rPr>
        <w:t>“(f) Upon the occurrence of an Event of Default or Termination Event with respect to a party who is the Defaulting Party or the Affected Party (“</w:t>
      </w:r>
      <w:r>
        <w:rPr>
          <w:rFonts w:ascii="Arial" w:cs="Arial" w:eastAsia="Arial" w:hAnsi="Arial"/>
          <w:sz w:val="18"/>
          <w:szCs w:val="18"/>
          <w:b w:val="1"/>
          <w:bCs w:val="1"/>
          <w:color w:val="auto"/>
        </w:rPr>
        <w:t>X</w:t>
      </w:r>
      <w:r>
        <w:rPr>
          <w:rFonts w:ascii="Arial" w:cs="Arial" w:eastAsia="Arial" w:hAnsi="Arial"/>
          <w:sz w:val="18"/>
          <w:szCs w:val="18"/>
          <w:color w:val="auto"/>
        </w:rPr>
        <w:t>”), the other party (“</w:t>
      </w:r>
      <w:r>
        <w:rPr>
          <w:rFonts w:ascii="Arial" w:cs="Arial" w:eastAsia="Arial" w:hAnsi="Arial"/>
          <w:sz w:val="18"/>
          <w:szCs w:val="18"/>
          <w:b w:val="1"/>
          <w:bCs w:val="1"/>
          <w:color w:val="auto"/>
        </w:rPr>
        <w:t>Y</w:t>
      </w:r>
      <w:r>
        <w:rPr>
          <w:rFonts w:ascii="Arial" w:cs="Arial" w:eastAsia="Arial" w:hAnsi="Arial"/>
          <w:sz w:val="18"/>
          <w:szCs w:val="18"/>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187" w:lineRule="exact"/>
        <w:rPr>
          <w:sz w:val="20"/>
          <w:szCs w:val="20"/>
          <w:color w:val="auto"/>
        </w:rPr>
      </w:pPr>
    </w:p>
    <w:p>
      <w:pPr>
        <w:ind w:left="1300" w:right="26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Contract</w:t>
      </w:r>
      <w:r>
        <w:rPr>
          <w:rFonts w:ascii="Arial" w:cs="Arial" w:eastAsia="Arial" w:hAnsi="Arial"/>
          <w:sz w:val="18"/>
          <w:szCs w:val="18"/>
          <w:color w:val="auto"/>
        </w:rPr>
        <w:t>” shall mean for purposes of this Section 6(f) any transaction relating to Shares between X and Y (or any Affiliate of Y) that qualifies as ‘equity’ under applicable accounting rules.</w:t>
      </w:r>
    </w:p>
    <w:p>
      <w:pPr>
        <w:spacing w:after="0" w:line="167" w:lineRule="exact"/>
        <w:rPr>
          <w:sz w:val="20"/>
          <w:szCs w:val="20"/>
          <w:color w:val="auto"/>
        </w:rPr>
      </w:pPr>
    </w:p>
    <w:p>
      <w:pPr>
        <w:ind w:left="1300" w:right="420"/>
        <w:spacing w:after="0" w:line="262"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220"/>
        <w:spacing w:after="0" w:line="275"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300" w:right="120"/>
        <w:spacing w:after="0" w:line="262"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60"/>
          </w:cols>
          <w:pgMar w:left="240" w:top="125" w:right="199" w:bottom="406" w:gutter="0" w:footer="0" w:header="0"/>
        </w:sectPr>
      </w:pPr>
    </w:p>
    <w:bookmarkStart w:id="43" w:name="page44"/>
    <w:bookmarkEnd w:id="43"/>
    <w:p>
      <w:pPr>
        <w:ind w:right="140" w:firstLine="652"/>
        <w:spacing w:after="0" w:line="339" w:lineRule="auto"/>
        <w:tabs>
          <w:tab w:leader="none" w:pos="100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24" w:lineRule="exact"/>
        <w:rPr>
          <w:rFonts w:ascii="Arial" w:cs="Arial" w:eastAsia="Arial" w:hAnsi="Arial"/>
          <w:sz w:val="16"/>
          <w:szCs w:val="16"/>
          <w:color w:val="auto"/>
        </w:rPr>
      </w:pPr>
    </w:p>
    <w:p>
      <w:pPr>
        <w:ind w:right="200" w:firstLine="652"/>
        <w:spacing w:after="0" w:line="309" w:lineRule="auto"/>
        <w:tabs>
          <w:tab w:leader="none" w:pos="100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8" w:lineRule="exact"/>
        <w:rPr>
          <w:rFonts w:ascii="Arial" w:cs="Arial" w:eastAsia="Arial" w:hAnsi="Arial"/>
          <w:sz w:val="16"/>
          <w:szCs w:val="16"/>
          <w:color w:val="auto"/>
        </w:rPr>
      </w:pPr>
    </w:p>
    <w:p>
      <w:pPr>
        <w:ind w:firstLine="652"/>
        <w:spacing w:after="0" w:line="284" w:lineRule="auto"/>
        <w:tabs>
          <w:tab w:leader="none" w:pos="100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Unwind</w:t>
      </w:r>
      <w:r>
        <w:rPr>
          <w:rFonts w:ascii="Arial" w:cs="Arial" w:eastAsia="Arial" w:hAnsi="Arial"/>
          <w:sz w:val="16"/>
          <w:szCs w:val="16"/>
          <w:color w:val="auto"/>
        </w:rPr>
        <w:t>. In the event the sale of the Convertible Notes is not consummated with the initial purchasers pursuant to the Underwriting Agreement, for any reason by the close of business in New York on April 15, 2009 (or such later date as agreed upon by the parties which in no event shall be later than the third Scheduled Trading Day following April 15, 2009) (such date or such later date as agreed upon being the “</w:t>
      </w:r>
      <w:r>
        <w:rPr>
          <w:rFonts w:ascii="Arial" w:cs="Arial" w:eastAsia="Arial" w:hAnsi="Arial"/>
          <w:sz w:val="16"/>
          <w:szCs w:val="16"/>
          <w:b w:val="1"/>
          <w:bCs w:val="1"/>
          <w:color w:val="auto"/>
        </w:rPr>
        <w:t>Accelerated Unwind Date</w:t>
      </w:r>
      <w:r>
        <w:rPr>
          <w:rFonts w:ascii="Arial" w:cs="Arial" w:eastAsia="Arial" w:hAnsi="Arial"/>
          <w:sz w:val="16"/>
          <w:szCs w:val="16"/>
          <w:color w:val="auto"/>
        </w:rPr>
        <w:t>”), this Transaction shall automatically terminate (the “</w:t>
      </w:r>
      <w:r>
        <w:rPr>
          <w:rFonts w:ascii="Arial" w:cs="Arial" w:eastAsia="Arial" w:hAnsi="Arial"/>
          <w:sz w:val="16"/>
          <w:szCs w:val="16"/>
          <w:b w:val="1"/>
          <w:bCs w:val="1"/>
          <w:color w:val="auto"/>
        </w:rPr>
        <w:t>Accelerated Unwind</w:t>
      </w:r>
      <w:r>
        <w:rPr>
          <w:rFonts w:ascii="Arial" w:cs="Arial" w:eastAsia="Arial" w:hAnsi="Arial"/>
          <w:sz w:val="16"/>
          <w:szCs w:val="16"/>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which shall be paid in cash or Shares at the option of the Counterparty (and if paid in Shares, with the market valuation of such Shares being determined in a commercially reasonable manner by the Calculation Agent).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210" w:lineRule="exact"/>
        <w:rPr>
          <w:rFonts w:ascii="Arial" w:cs="Arial" w:eastAsia="Arial" w:hAnsi="Arial"/>
          <w:sz w:val="16"/>
          <w:szCs w:val="16"/>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652"/>
        <w:spacing w:after="0" w:line="282" w:lineRule="auto"/>
        <w:tabs>
          <w:tab w:leader="none" w:pos="1002"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Counterparty hereby agrees that if at any time, in the reasonable judgment of counsel for the Dealer, the Shares acquired by Dealer for the purpose of hedging its obligations pursuant to the Transaction (other than such Shares, if any, that are, at the time of such determination, due to be delivered to Counterparty in connection with a Net Share Settlement of the Transaction) (the “</w:t>
      </w:r>
      <w:r>
        <w:rPr>
          <w:rFonts w:ascii="Arial" w:cs="Arial" w:eastAsia="Arial" w:hAnsi="Arial"/>
          <w:sz w:val="16"/>
          <w:szCs w:val="16"/>
          <w:b w:val="1"/>
          <w:bCs w:val="1"/>
          <w:color w:val="auto"/>
        </w:rPr>
        <w:t>Hedge Shares</w:t>
      </w:r>
      <w:r>
        <w:rPr>
          <w:rFonts w:ascii="Arial" w:cs="Arial" w:eastAsia="Arial" w:hAnsi="Arial"/>
          <w:sz w:val="16"/>
          <w:szCs w:val="16"/>
          <w:color w:val="auto"/>
        </w:rPr>
        <w:t>”),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w:t>
      </w:r>
    </w:p>
    <w:p>
      <w:pPr>
        <w:spacing w:after="0" w:line="5" w:lineRule="exact"/>
        <w:rPr>
          <w:rFonts w:ascii="Arial" w:cs="Arial" w:eastAsia="Arial" w:hAnsi="Arial"/>
          <w:sz w:val="16"/>
          <w:szCs w:val="16"/>
          <w:color w:val="auto"/>
        </w:rPr>
      </w:pPr>
    </w:p>
    <w:p>
      <w:pPr>
        <w:ind w:left="300" w:hanging="293"/>
        <w:spacing w:after="0"/>
        <w:tabs>
          <w:tab w:leader="none" w:pos="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provide disclosure opinions of nationally recognized outside counsel to Counterparty customary in form for registered offerings of equity securities,</w:t>
      </w:r>
    </w:p>
    <w:p>
      <w:pPr>
        <w:spacing w:after="0" w:line="19" w:lineRule="exact"/>
        <w:rPr>
          <w:rFonts w:ascii="Arial" w:cs="Arial" w:eastAsia="Arial" w:hAnsi="Arial"/>
          <w:sz w:val="17"/>
          <w:szCs w:val="17"/>
          <w:color w:val="auto"/>
        </w:rPr>
      </w:pPr>
    </w:p>
    <w:p>
      <w:pPr>
        <w:ind w:right="60" w:firstLine="7"/>
        <w:spacing w:after="0" w:line="265" w:lineRule="auto"/>
        <w:tabs>
          <w:tab w:leader="none" w:pos="29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228" w:lineRule="exact"/>
        <w:rPr>
          <w:rFonts w:ascii="Arial" w:cs="Arial" w:eastAsia="Arial" w:hAnsi="Arial"/>
          <w:sz w:val="17"/>
          <w:szCs w:val="17"/>
          <w:color w:val="auto"/>
        </w:rPr>
      </w:pPr>
    </w:p>
    <w:p>
      <w:pPr>
        <w:ind w:left="1000" w:hanging="348"/>
        <w:spacing w:after="0"/>
        <w:tabs>
          <w:tab w:leader="none" w:pos="100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44" w:lineRule="exact"/>
        <w:rPr>
          <w:rFonts w:ascii="Arial" w:cs="Arial" w:eastAsia="Arial" w:hAnsi="Arial"/>
          <w:sz w:val="16"/>
          <w:szCs w:val="16"/>
          <w:color w:val="auto"/>
        </w:rPr>
      </w:pPr>
    </w:p>
    <w:p>
      <w:pPr>
        <w:ind w:left="1000" w:hanging="348"/>
        <w:spacing w:after="0"/>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6" w:lineRule="exact"/>
        <w:rPr>
          <w:rFonts w:ascii="Arial" w:cs="Arial" w:eastAsia="Arial" w:hAnsi="Arial"/>
          <w:sz w:val="18"/>
          <w:szCs w:val="18"/>
          <w:color w:val="auto"/>
        </w:rPr>
      </w:pPr>
    </w:p>
    <w:p>
      <w:pPr>
        <w:jc w:val="both"/>
        <w:ind w:right="4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226" w:lineRule="exact"/>
        <w:rPr>
          <w:rFonts w:ascii="Arial" w:cs="Arial" w:eastAsia="Arial" w:hAnsi="Arial"/>
          <w:sz w:val="18"/>
          <w:szCs w:val="18"/>
          <w:color w:val="auto"/>
        </w:rPr>
      </w:pPr>
    </w:p>
    <w:p>
      <w:pPr>
        <w:ind w:left="1000" w:hanging="348"/>
        <w:spacing w:after="0"/>
        <w:tabs>
          <w:tab w:leader="none" w:pos="100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6" w:lineRule="exact"/>
        <w:rPr>
          <w:rFonts w:ascii="Arial" w:cs="Arial" w:eastAsia="Arial" w:hAnsi="Arial"/>
          <w:sz w:val="18"/>
          <w:szCs w:val="18"/>
          <w:color w:val="auto"/>
        </w:rPr>
      </w:pPr>
    </w:p>
    <w:p>
      <w:pPr>
        <w:ind w:right="14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230" w:lineRule="exact"/>
        <w:rPr>
          <w:rFonts w:ascii="Arial" w:cs="Arial" w:eastAsia="Arial" w:hAnsi="Arial"/>
          <w:sz w:val="18"/>
          <w:szCs w:val="18"/>
          <w:color w:val="auto"/>
        </w:rPr>
      </w:pPr>
    </w:p>
    <w:p>
      <w:pPr>
        <w:ind w:right="160" w:firstLine="652"/>
        <w:spacing w:after="0" w:line="275" w:lineRule="auto"/>
        <w:tabs>
          <w:tab w:leader="none" w:pos="1002"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60" w:firstLine="645"/>
        <w:spacing w:after="0" w:line="309" w:lineRule="auto"/>
        <w:rPr>
          <w:sz w:val="20"/>
          <w:szCs w:val="20"/>
          <w:color w:val="auto"/>
        </w:rPr>
      </w:pPr>
      <w:r>
        <w:rPr>
          <w:rFonts w:ascii="Arial" w:cs="Arial" w:eastAsia="Arial" w:hAnsi="Arial"/>
          <w:sz w:val="16"/>
          <w:szCs w:val="16"/>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this Transaction, by manually signing this Confirmation or this page hereof as evidence of agreement to such terms</w:t>
      </w:r>
    </w:p>
    <w:p>
      <w:pPr>
        <w:sectPr>
          <w:pgSz w:w="11900" w:h="16838" w:orient="portrait"/>
          <w:cols w:equalWidth="0" w:num="1">
            <w:col w:w="11420"/>
          </w:cols>
          <w:pgMar w:left="240" w:top="125" w:right="239" w:bottom="0" w:gutter="0" w:footer="0" w:header="0"/>
        </w:sectPr>
      </w:pPr>
    </w:p>
    <w:bookmarkStart w:id="44" w:name="page45"/>
    <w:bookmarkEnd w:id="44"/>
    <w:p>
      <w:pPr>
        <w:spacing w:after="0" w:line="62" w:lineRule="exact"/>
        <w:rPr>
          <w:sz w:val="20"/>
          <w:szCs w:val="20"/>
          <w:color w:val="auto"/>
        </w:rPr>
      </w:pPr>
    </w:p>
    <w:p>
      <w:pPr>
        <w:ind w:right="1120"/>
        <w:spacing w:after="0" w:line="275" w:lineRule="auto"/>
        <w:rPr>
          <w:sz w:val="20"/>
          <w:szCs w:val="20"/>
          <w:color w:val="auto"/>
        </w:rPr>
      </w:pPr>
      <w:r>
        <w:rPr>
          <w:rFonts w:ascii="Arial" w:cs="Arial" w:eastAsia="Arial" w:hAnsi="Arial"/>
          <w:sz w:val="18"/>
          <w:szCs w:val="18"/>
          <w:color w:val="auto"/>
        </w:rPr>
        <w:t>and providing the other information requested herein and immediately returning an executed copy to Goldman, Sachs &amp; Co., Equity Derivatives Documentation Department, Facsimile No. (212) 428-1980/83.</w:t>
      </w:r>
    </w:p>
    <w:p>
      <w:pPr>
        <w:spacing w:after="0" w:line="21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GOLDMAN, SACHS &amp; CO.</w:t>
      </w:r>
    </w:p>
    <w:p>
      <w:pPr>
        <w:spacing w:after="0" w:line="200" w:lineRule="exact"/>
        <w:rPr>
          <w:sz w:val="20"/>
          <w:szCs w:val="20"/>
          <w:color w:val="auto"/>
        </w:rPr>
      </w:pPr>
    </w:p>
    <w:p>
      <w:pPr>
        <w:spacing w:after="0" w:line="242" w:lineRule="exact"/>
        <w:rPr>
          <w:sz w:val="20"/>
          <w:szCs w:val="20"/>
          <w:color w:val="auto"/>
        </w:rPr>
      </w:pPr>
    </w:p>
    <w:p>
      <w:pPr>
        <w:ind w:left="586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W. Kopper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13970</wp:posOffset>
            </wp:positionV>
            <wp:extent cx="3231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 w:lineRule="exact"/>
        <w:rPr>
          <w:sz w:val="20"/>
          <w:szCs w:val="20"/>
          <w:color w:val="auto"/>
        </w:rPr>
      </w:pPr>
    </w:p>
    <w:p>
      <w:pPr>
        <w:ind w:left="6340"/>
        <w:spacing w:after="0"/>
        <w:tabs>
          <w:tab w:leader="none" w:pos="7000" w:val="left"/>
        </w:tabs>
        <w:rPr>
          <w:sz w:val="20"/>
          <w:szCs w:val="20"/>
          <w:color w:val="auto"/>
        </w:rPr>
      </w:pPr>
      <w:r>
        <w:rPr>
          <w:rFonts w:ascii="Arial" w:cs="Arial" w:eastAsia="Arial" w:hAnsi="Arial"/>
          <w:sz w:val="18"/>
          <w:szCs w:val="18"/>
          <w:color w:val="auto"/>
        </w:rPr>
        <w:t>Name:</w:t>
        <w:tab/>
        <w:t>Daniel W. Kopper</w:t>
      </w:r>
    </w:p>
    <w:p>
      <w:pPr>
        <w:spacing w:after="0" w:line="21" w:lineRule="exact"/>
        <w:rPr>
          <w:sz w:val="20"/>
          <w:szCs w:val="20"/>
          <w:color w:val="auto"/>
        </w:rPr>
      </w:pPr>
    </w:p>
    <w:p>
      <w:pPr>
        <w:ind w:left="6340"/>
        <w:spacing w:after="0"/>
        <w:tabs>
          <w:tab w:leader="none" w:pos="7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Ronald C. Foster</w:t>
            </w:r>
          </w:p>
        </w:tc>
      </w:tr>
      <w:tr>
        <w:trPr>
          <w:trHeight w:val="194"/>
        </w:trPr>
        <w:tc>
          <w:tcPr>
            <w:tcW w:w="520" w:type="dxa"/>
            <w:vAlign w:val="bottom"/>
          </w:tcPr>
          <w:p>
            <w:pPr>
              <w:spacing w:after="0"/>
              <w:rPr>
                <w:sz w:val="16"/>
                <w:szCs w:val="16"/>
                <w:color w:val="auto"/>
              </w:rPr>
            </w:pPr>
          </w:p>
        </w:tc>
        <w:tc>
          <w:tcPr>
            <w:tcW w:w="64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420" w:type="dxa"/>
            <w:vAlign w:val="bottom"/>
          </w:tcPr>
          <w:p>
            <w:pPr>
              <w:ind w:left="160"/>
              <w:spacing w:after="0" w:line="194" w:lineRule="exact"/>
              <w:rPr>
                <w:sz w:val="20"/>
                <w:szCs w:val="20"/>
                <w:color w:val="auto"/>
              </w:rPr>
            </w:pPr>
            <w:r>
              <w:rPr>
                <w:rFonts w:ascii="Arial" w:cs="Arial" w:eastAsia="Arial" w:hAnsi="Arial"/>
                <w:sz w:val="18"/>
                <w:szCs w:val="18"/>
                <w:color w:val="auto"/>
              </w:rPr>
              <w:t>Ronald C. Foster</w:t>
            </w:r>
          </w:p>
        </w:tc>
      </w:tr>
      <w:tr>
        <w:trPr>
          <w:trHeight w:val="215"/>
        </w:trPr>
        <w:tc>
          <w:tcPr>
            <w:tcW w:w="5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160"/>
              <w:spacing w:after="0"/>
              <w:rPr>
                <w:sz w:val="20"/>
                <w:szCs w:val="20"/>
                <w:color w:val="auto"/>
              </w:rPr>
            </w:pPr>
            <w:r>
              <w:rPr>
                <w:rFonts w:ascii="Arial" w:cs="Arial" w:eastAsia="Arial" w:hAnsi="Arial"/>
                <w:sz w:val="18"/>
                <w:szCs w:val="18"/>
                <w:color w:val="auto"/>
              </w:rPr>
              <w:t>Vice President of Finance and</w:t>
            </w:r>
          </w:p>
        </w:tc>
      </w:tr>
      <w:tr>
        <w:trPr>
          <w:trHeight w:val="229"/>
        </w:trPr>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726884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ANNEX 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Component</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Number of Options per</w:t>
            </w:r>
          </w:p>
        </w:tc>
        <w:tc>
          <w:tcPr>
            <w:tcW w:w="520" w:type="dxa"/>
            <w:vAlign w:val="bottom"/>
          </w:tcPr>
          <w:p>
            <w:pPr>
              <w:spacing w:after="0"/>
              <w:rPr>
                <w:sz w:val="14"/>
                <w:szCs w:val="14"/>
                <w:color w:val="auto"/>
              </w:rPr>
            </w:pPr>
          </w:p>
        </w:tc>
        <w:tc>
          <w:tcPr>
            <w:tcW w:w="23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Premium per</w:t>
            </w:r>
          </w:p>
        </w:tc>
        <w:tc>
          <w:tcPr>
            <w:tcW w:w="140" w:type="dxa"/>
            <w:vAlign w:val="bottom"/>
          </w:tcPr>
          <w:p>
            <w:pPr>
              <w:spacing w:after="0"/>
              <w:rPr>
                <w:sz w:val="14"/>
                <w:szCs w:val="14"/>
                <w:color w:val="auto"/>
              </w:rPr>
            </w:pPr>
          </w:p>
        </w:tc>
        <w:tc>
          <w:tcPr>
            <w:tcW w:w="26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Component</w:t>
            </w:r>
          </w:p>
        </w:tc>
        <w:tc>
          <w:tcPr>
            <w:tcW w:w="520" w:type="dxa"/>
            <w:vAlign w:val="bottom"/>
          </w:tcPr>
          <w:p>
            <w:pPr>
              <w:spacing w:after="0"/>
              <w:rPr>
                <w:sz w:val="14"/>
                <w:szCs w:val="14"/>
                <w:color w:val="auto"/>
              </w:rPr>
            </w:pPr>
          </w:p>
        </w:tc>
        <w:tc>
          <w:tcPr>
            <w:tcW w:w="23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Component</w:t>
            </w:r>
          </w:p>
        </w:tc>
        <w:tc>
          <w:tcPr>
            <w:tcW w:w="14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708,138.72</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10/16/2012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2</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10/17/2012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10/18/2012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4</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10/19/2012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10/22/2012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6</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10/23/2012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10/24/2012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8</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10/25/2012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10/26/2012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10</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10/29/2012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10/30/2012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12</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10/31/2012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14</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11/2/2012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11/5/2012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16</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11/6/2012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11/7/2012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18</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11/8/2012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11/9/2012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20</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11/12/2012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11/13/2012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22</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11/14/2012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11/15/2012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20"/>
                <w:szCs w:val="20"/>
                <w:color w:val="auto"/>
              </w:rPr>
            </w:pPr>
            <w:r>
              <w:rPr>
                <w:rFonts w:ascii="Arial" w:cs="Arial" w:eastAsia="Arial" w:hAnsi="Arial"/>
                <w:sz w:val="18"/>
                <w:szCs w:val="18"/>
                <w:color w:val="auto"/>
              </w:rPr>
              <w:t>24</w:t>
            </w:r>
          </w:p>
        </w:tc>
        <w:tc>
          <w:tcPr>
            <w:tcW w:w="4680" w:type="dxa"/>
            <w:vAlign w:val="bottom"/>
            <w:gridSpan w:val="5"/>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tcPr>
          <w:p>
            <w:pPr>
              <w:ind w:left="140"/>
              <w:spacing w:after="0"/>
              <w:rPr>
                <w:sz w:val="20"/>
                <w:szCs w:val="20"/>
                <w:color w:val="auto"/>
              </w:rPr>
            </w:pPr>
            <w:r>
              <w:rPr>
                <w:rFonts w:ascii="Arial" w:cs="Arial" w:eastAsia="Arial" w:hAnsi="Arial"/>
                <w:sz w:val="18"/>
                <w:szCs w:val="18"/>
                <w:color w:val="auto"/>
              </w:rPr>
              <w:t>11/16/2012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6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708,138.72</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387,000.00</w:t>
            </w:r>
          </w:p>
        </w:tc>
        <w:tc>
          <w:tcPr>
            <w:tcW w:w="2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11/19/2012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120" w:type="dxa"/>
            <w:vAlign w:val="bottom"/>
          </w:tcPr>
          <w:p>
            <w:pPr>
              <w:spacing w:after="0"/>
              <w:rPr>
                <w:sz w:val="24"/>
                <w:szCs w:val="24"/>
                <w:color w:val="auto"/>
              </w:rPr>
            </w:pPr>
          </w:p>
        </w:tc>
        <w:tc>
          <w:tcPr>
            <w:tcW w:w="4680" w:type="dxa"/>
            <w:vAlign w:val="bottom"/>
            <w:gridSpan w:val="5"/>
          </w:tcPr>
          <w:p>
            <w:pPr>
              <w:ind w:left="380"/>
              <w:spacing w:after="0"/>
              <w:rPr>
                <w:sz w:val="20"/>
                <w:szCs w:val="20"/>
                <w:color w:val="auto"/>
              </w:rPr>
            </w:pPr>
            <w:r>
              <w:rPr>
                <w:rFonts w:ascii="Arial" w:cs="Arial" w:eastAsia="Arial" w:hAnsi="Arial"/>
                <w:sz w:val="14"/>
                <w:szCs w:val="14"/>
                <w:b w:val="1"/>
                <w:bCs w:val="1"/>
                <w:color w:val="auto"/>
              </w:rPr>
              <w:t>Aggregate Premium for all Components</w:t>
            </w: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9,675,000.00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112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5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Schedule (as contemplated by the confirmation dated April 8, 2008 between Micron Technology, Inc. and Goldman, Sachs &amp; Co. for issuer capped share call option transaction (the “Confirmation”)) setting forth the increased Number of Options for all Components upon the exercise of the option to purchase additional 4.25% Convertible Senior Notes due October 15, 2013 pursuant to Section 2 of the Underwriting Agreement (as defined in the Confirmation).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Number of Options per</w:t>
            </w:r>
          </w:p>
        </w:tc>
        <w:tc>
          <w:tcPr>
            <w:tcW w:w="520" w:type="dxa"/>
            <w:vAlign w:val="bottom"/>
          </w:tcPr>
          <w:p>
            <w:pPr>
              <w:spacing w:after="0"/>
              <w:rPr>
                <w:sz w:val="14"/>
                <w:szCs w:val="14"/>
                <w:color w:val="auto"/>
              </w:rPr>
            </w:pPr>
          </w:p>
        </w:tc>
        <w:tc>
          <w:tcPr>
            <w:tcW w:w="23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Premium per</w:t>
            </w:r>
          </w:p>
        </w:tc>
        <w:tc>
          <w:tcPr>
            <w:tcW w:w="140" w:type="dxa"/>
            <w:vAlign w:val="bottom"/>
          </w:tcPr>
          <w:p>
            <w:pPr>
              <w:spacing w:after="0"/>
              <w:rPr>
                <w:sz w:val="14"/>
                <w:szCs w:val="14"/>
                <w:color w:val="auto"/>
              </w:rPr>
            </w:pPr>
          </w:p>
        </w:tc>
        <w:tc>
          <w:tcPr>
            <w:tcW w:w="262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0"/>
        </w:trPr>
        <w:tc>
          <w:tcPr>
            <w:tcW w:w="2540" w:type="dxa"/>
            <w:vAlign w:val="bottom"/>
            <w:gridSpan w:val="2"/>
            <w:vMerge w:val="continue"/>
          </w:tcPr>
          <w:p>
            <w:pPr>
              <w:spacing w:after="0"/>
              <w:rPr>
                <w:sz w:val="14"/>
                <w:szCs w:val="14"/>
                <w:color w:val="auto"/>
              </w:rPr>
            </w:pPr>
          </w:p>
        </w:tc>
        <w:tc>
          <w:tcPr>
            <w:tcW w:w="3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Component</w:t>
            </w:r>
          </w:p>
        </w:tc>
        <w:tc>
          <w:tcPr>
            <w:tcW w:w="520" w:type="dxa"/>
            <w:vAlign w:val="bottom"/>
          </w:tcPr>
          <w:p>
            <w:pPr>
              <w:spacing w:after="0"/>
              <w:rPr>
                <w:sz w:val="14"/>
                <w:szCs w:val="14"/>
                <w:color w:val="auto"/>
              </w:rPr>
            </w:pPr>
          </w:p>
        </w:tc>
        <w:tc>
          <w:tcPr>
            <w:tcW w:w="23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Component</w:t>
            </w:r>
          </w:p>
        </w:tc>
        <w:tc>
          <w:tcPr>
            <w:tcW w:w="14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814,359.528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1619"/>
              <w:spacing w:after="0"/>
              <w:rPr>
                <w:sz w:val="20"/>
                <w:szCs w:val="20"/>
                <w:color w:val="auto"/>
              </w:rPr>
            </w:pPr>
            <w:r>
              <w:rPr>
                <w:rFonts w:ascii="Arial" w:cs="Arial" w:eastAsia="Arial" w:hAnsi="Arial"/>
                <w:sz w:val="18"/>
                <w:szCs w:val="18"/>
                <w:color w:val="auto"/>
                <w:w w:val="88"/>
              </w:rPr>
              <w:t>10/16/2012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260" w:type="dxa"/>
            <w:vAlign w:val="bottom"/>
            <w:gridSpan w:val="2"/>
          </w:tcPr>
          <w:p>
            <w:pPr>
              <w:jc w:val="right"/>
              <w:ind w:right="280"/>
              <w:spacing w:after="0"/>
              <w:rPr>
                <w:sz w:val="20"/>
                <w:szCs w:val="20"/>
                <w:color w:val="auto"/>
              </w:rPr>
            </w:pPr>
            <w:r>
              <w:rPr>
                <w:rFonts w:ascii="Arial" w:cs="Arial" w:eastAsia="Arial" w:hAnsi="Arial"/>
                <w:sz w:val="18"/>
                <w:szCs w:val="18"/>
                <w:color w:val="auto"/>
              </w:rPr>
              <w:t>814,359.528</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445,050.00</w:t>
            </w:r>
          </w:p>
        </w:tc>
        <w:tc>
          <w:tcPr>
            <w:tcW w:w="2660" w:type="dxa"/>
            <w:vAlign w:val="bottom"/>
            <w:gridSpan w:val="2"/>
          </w:tcPr>
          <w:p>
            <w:pPr>
              <w:jc w:val="right"/>
              <w:ind w:right="1619"/>
              <w:spacing w:after="0"/>
              <w:rPr>
                <w:sz w:val="20"/>
                <w:szCs w:val="20"/>
                <w:color w:val="auto"/>
              </w:rPr>
            </w:pPr>
            <w:r>
              <w:rPr>
                <w:rFonts w:ascii="Arial" w:cs="Arial" w:eastAsia="Arial" w:hAnsi="Arial"/>
                <w:sz w:val="18"/>
                <w:szCs w:val="18"/>
                <w:color w:val="auto"/>
              </w:rPr>
              <w:t>10/17/2012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814,359.528</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445,050.00</w:t>
            </w:r>
          </w:p>
        </w:tc>
        <w:tc>
          <w:tcPr>
            <w:tcW w:w="2660" w:type="dxa"/>
            <w:vAlign w:val="bottom"/>
            <w:gridSpan w:val="2"/>
            <w:shd w:val="clear" w:color="auto" w:fill="CCEEFF"/>
          </w:tcPr>
          <w:p>
            <w:pPr>
              <w:jc w:val="right"/>
              <w:ind w:right="1619"/>
              <w:spacing w:after="0"/>
              <w:rPr>
                <w:sz w:val="20"/>
                <w:szCs w:val="20"/>
                <w:color w:val="auto"/>
              </w:rPr>
            </w:pPr>
            <w:r>
              <w:rPr>
                <w:rFonts w:ascii="Arial" w:cs="Arial" w:eastAsia="Arial" w:hAnsi="Arial"/>
                <w:sz w:val="18"/>
                <w:szCs w:val="18"/>
                <w:color w:val="auto"/>
              </w:rPr>
              <w:t>10/18/2012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260" w:type="dxa"/>
            <w:vAlign w:val="bottom"/>
            <w:gridSpan w:val="2"/>
          </w:tcPr>
          <w:p>
            <w:pPr>
              <w:jc w:val="right"/>
              <w:ind w:right="280"/>
              <w:spacing w:after="0"/>
              <w:rPr>
                <w:sz w:val="20"/>
                <w:szCs w:val="20"/>
                <w:color w:val="auto"/>
              </w:rPr>
            </w:pPr>
            <w:r>
              <w:rPr>
                <w:rFonts w:ascii="Arial" w:cs="Arial" w:eastAsia="Arial" w:hAnsi="Arial"/>
                <w:sz w:val="18"/>
                <w:szCs w:val="18"/>
                <w:color w:val="auto"/>
              </w:rPr>
              <w:t>814,359.528</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445,050.00</w:t>
            </w:r>
          </w:p>
        </w:tc>
        <w:tc>
          <w:tcPr>
            <w:tcW w:w="2660" w:type="dxa"/>
            <w:vAlign w:val="bottom"/>
            <w:gridSpan w:val="2"/>
          </w:tcPr>
          <w:p>
            <w:pPr>
              <w:jc w:val="right"/>
              <w:ind w:right="1619"/>
              <w:spacing w:after="0"/>
              <w:rPr>
                <w:sz w:val="20"/>
                <w:szCs w:val="20"/>
                <w:color w:val="auto"/>
              </w:rPr>
            </w:pPr>
            <w:r>
              <w:rPr>
                <w:rFonts w:ascii="Arial" w:cs="Arial" w:eastAsia="Arial" w:hAnsi="Arial"/>
                <w:sz w:val="18"/>
                <w:szCs w:val="18"/>
                <w:color w:val="auto"/>
              </w:rPr>
              <w:t>10/19/2012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814,359.528</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445,050.00</w:t>
            </w:r>
          </w:p>
        </w:tc>
        <w:tc>
          <w:tcPr>
            <w:tcW w:w="2660" w:type="dxa"/>
            <w:vAlign w:val="bottom"/>
            <w:gridSpan w:val="2"/>
            <w:shd w:val="clear" w:color="auto" w:fill="CCEEFF"/>
          </w:tcPr>
          <w:p>
            <w:pPr>
              <w:jc w:val="right"/>
              <w:ind w:right="1619"/>
              <w:spacing w:after="0"/>
              <w:rPr>
                <w:sz w:val="20"/>
                <w:szCs w:val="20"/>
                <w:color w:val="auto"/>
              </w:rPr>
            </w:pPr>
            <w:r>
              <w:rPr>
                <w:rFonts w:ascii="Arial" w:cs="Arial" w:eastAsia="Arial" w:hAnsi="Arial"/>
                <w:sz w:val="18"/>
                <w:szCs w:val="18"/>
                <w:color w:val="auto"/>
              </w:rPr>
              <w:t>10/22/2012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260" w:type="dxa"/>
            <w:vAlign w:val="bottom"/>
            <w:gridSpan w:val="2"/>
          </w:tcPr>
          <w:p>
            <w:pPr>
              <w:jc w:val="right"/>
              <w:ind w:right="280"/>
              <w:spacing w:after="0"/>
              <w:rPr>
                <w:sz w:val="20"/>
                <w:szCs w:val="20"/>
                <w:color w:val="auto"/>
              </w:rPr>
            </w:pPr>
            <w:r>
              <w:rPr>
                <w:rFonts w:ascii="Arial" w:cs="Arial" w:eastAsia="Arial" w:hAnsi="Arial"/>
                <w:sz w:val="18"/>
                <w:szCs w:val="18"/>
                <w:color w:val="auto"/>
              </w:rPr>
              <w:t>814,359.528</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445,050.00</w:t>
            </w:r>
          </w:p>
        </w:tc>
        <w:tc>
          <w:tcPr>
            <w:tcW w:w="2660" w:type="dxa"/>
            <w:vAlign w:val="bottom"/>
            <w:gridSpan w:val="2"/>
          </w:tcPr>
          <w:p>
            <w:pPr>
              <w:jc w:val="right"/>
              <w:ind w:right="1619"/>
              <w:spacing w:after="0"/>
              <w:rPr>
                <w:sz w:val="20"/>
                <w:szCs w:val="20"/>
                <w:color w:val="auto"/>
              </w:rPr>
            </w:pPr>
            <w:r>
              <w:rPr>
                <w:rFonts w:ascii="Arial" w:cs="Arial" w:eastAsia="Arial" w:hAnsi="Arial"/>
                <w:sz w:val="18"/>
                <w:szCs w:val="18"/>
                <w:color w:val="auto"/>
              </w:rPr>
              <w:t>10/23/2012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10/24/2012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8</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10/25/2012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10/26/2012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10</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10/29/2012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10/30/2012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10/31/2012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11/1/2012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11/2/2012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11/5/2012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16</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11/6/2012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18</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11/8/2012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11/9/2012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20</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11/12/2012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11/13/2012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22</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11/14/2012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11/15/2012</w:t>
            </w:r>
          </w:p>
        </w:tc>
        <w:tc>
          <w:tcPr>
            <w:tcW w:w="40" w:type="dxa"/>
            <w:vAlign w:val="bottom"/>
          </w:tcPr>
          <w:p>
            <w:pPr>
              <w:spacing w:after="0"/>
              <w:rPr>
                <w:sz w:val="18"/>
                <w:szCs w:val="18"/>
                <w:color w:val="auto"/>
              </w:rPr>
            </w:pPr>
          </w:p>
        </w:tc>
      </w:t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4820" w:type="dxa"/>
            <w:vAlign w:val="bottom"/>
            <w:gridSpan w:val="2"/>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tcPr>
          <w:p>
            <w:pPr>
              <w:ind w:left="140"/>
              <w:spacing w:after="0"/>
              <w:rPr>
                <w:sz w:val="20"/>
                <w:szCs w:val="20"/>
                <w:color w:val="auto"/>
              </w:rPr>
            </w:pPr>
            <w:r>
              <w:rPr>
                <w:rFonts w:ascii="Arial" w:cs="Arial" w:eastAsia="Arial" w:hAnsi="Arial"/>
                <w:sz w:val="18"/>
                <w:szCs w:val="18"/>
                <w:color w:val="auto"/>
              </w:rPr>
              <w:t>11/16/2012</w:t>
            </w:r>
          </w:p>
        </w:tc>
        <w:tc>
          <w:tcPr>
            <w:tcW w:w="40" w:type="dxa"/>
            <w:vAlign w:val="bottom"/>
          </w:tcPr>
          <w:p>
            <w:pPr>
              <w:spacing w:after="0"/>
              <w:rPr>
                <w:sz w:val="18"/>
                <w:szCs w:val="18"/>
                <w:color w:val="auto"/>
              </w:rPr>
            </w:pPr>
          </w:p>
        </w:tc>
      </w:tr>
      <w:tr>
        <w:trPr>
          <w:trHeight w:val="215"/>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4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814,359.528</w:t>
            </w:r>
          </w:p>
        </w:tc>
        <w:tc>
          <w:tcPr>
            <w:tcW w:w="11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445,050.00</w:t>
            </w:r>
          </w:p>
        </w:tc>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11/19/2012</w:t>
            </w:r>
          </w:p>
        </w:tc>
        <w:tc>
          <w:tcPr>
            <w:tcW w:w="40" w:type="dxa"/>
            <w:vAlign w:val="bottom"/>
          </w:tcPr>
          <w:p>
            <w:pPr>
              <w:spacing w:after="0"/>
              <w:rPr>
                <w:sz w:val="18"/>
                <w:szCs w:val="18"/>
                <w:color w:val="auto"/>
              </w:rPr>
            </w:pPr>
          </w:p>
        </w:tc>
      </w:tr>
      <w:tr>
        <w:trPr>
          <w:trHeight w:val="363"/>
        </w:trPr>
        <w:tc>
          <w:tcPr>
            <w:tcW w:w="840" w:type="dxa"/>
            <w:vAlign w:val="bottom"/>
          </w:tcPr>
          <w:p>
            <w:pPr>
              <w:spacing w:after="0"/>
              <w:rPr>
                <w:sz w:val="24"/>
                <w:szCs w:val="24"/>
                <w:color w:val="auto"/>
              </w:rPr>
            </w:pPr>
          </w:p>
        </w:tc>
        <w:tc>
          <w:tcPr>
            <w:tcW w:w="4820" w:type="dxa"/>
            <w:vAlign w:val="bottom"/>
            <w:gridSpan w:val="2"/>
          </w:tcPr>
          <w:p>
            <w:pPr>
              <w:jc w:val="right"/>
              <w:ind w:right="1720"/>
              <w:spacing w:after="0"/>
              <w:rPr>
                <w:sz w:val="20"/>
                <w:szCs w:val="20"/>
                <w:color w:val="auto"/>
              </w:rPr>
            </w:pPr>
            <w:r>
              <w:rPr>
                <w:rFonts w:ascii="Arial" w:cs="Arial" w:eastAsia="Arial" w:hAnsi="Arial"/>
                <w:sz w:val="14"/>
                <w:szCs w:val="14"/>
                <w:b w:val="1"/>
                <w:bCs w:val="1"/>
                <w:color w:val="auto"/>
              </w:rPr>
              <w:t>Aggregate Premium for all Components</w:t>
            </w: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11,126,250.00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6"/>
        </w:trPr>
        <w:tc>
          <w:tcPr>
            <w:tcW w:w="84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27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ANNEX B</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Form of Opinion</w:t>
      </w:r>
    </w:p>
    <w:p>
      <w:pPr>
        <w:spacing w:after="0" w:line="223" w:lineRule="exact"/>
        <w:rPr>
          <w:sz w:val="20"/>
          <w:szCs w:val="20"/>
          <w:color w:val="auto"/>
        </w:rPr>
      </w:pPr>
    </w:p>
    <w:p>
      <w:pPr>
        <w:ind w:left="640" w:hanging="633"/>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has been duly incorporated and is an existing corporation in good standing under the laws of the State of Delaware.</w:t>
      </w:r>
    </w:p>
    <w:p>
      <w:pPr>
        <w:spacing w:after="0" w:line="222" w:lineRule="exact"/>
        <w:rPr>
          <w:rFonts w:ascii="Arial" w:cs="Arial" w:eastAsia="Arial" w:hAnsi="Arial"/>
          <w:sz w:val="18"/>
          <w:szCs w:val="18"/>
          <w:color w:val="auto"/>
        </w:rPr>
      </w:pPr>
    </w:p>
    <w:p>
      <w:pPr>
        <w:ind w:left="640" w:hanging="633"/>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is duly qualified as a foreign corporation for the transaction of business and is in good standing in the State of Idaho.</w:t>
      </w:r>
    </w:p>
    <w:p>
      <w:pPr>
        <w:spacing w:after="0" w:line="222" w:lineRule="exact"/>
        <w:rPr>
          <w:rFonts w:ascii="Arial" w:cs="Arial" w:eastAsia="Arial" w:hAnsi="Arial"/>
          <w:sz w:val="18"/>
          <w:szCs w:val="18"/>
          <w:color w:val="auto"/>
        </w:rPr>
      </w:pPr>
    </w:p>
    <w:p>
      <w:pPr>
        <w:ind w:left="640" w:hanging="633"/>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Confirmation has been duly authorized, executed and delivered by the Company.</w:t>
      </w:r>
    </w:p>
    <w:p>
      <w:pPr>
        <w:spacing w:after="0" w:line="222" w:lineRule="exact"/>
        <w:rPr>
          <w:rFonts w:ascii="Arial" w:cs="Arial" w:eastAsia="Arial" w:hAnsi="Arial"/>
          <w:sz w:val="18"/>
          <w:szCs w:val="18"/>
          <w:color w:val="auto"/>
        </w:rPr>
      </w:pPr>
    </w:p>
    <w:p>
      <w:pPr>
        <w:ind w:left="660" w:right="220" w:hanging="653"/>
        <w:spacing w:after="0" w:line="275" w:lineRule="auto"/>
        <w:tabs>
          <w:tab w:leader="none" w:pos="6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execution and delivery by the Company of the Confirmation does not result in any violation by the Company of the Certificate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26884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Opening Transaction</w:t>
      </w:r>
    </w:p>
    <w:p>
      <w:pPr>
        <w:sectPr>
          <w:pgSz w:w="11900" w:h="16838" w:orient="portrait"/>
          <w:cols w:equalWidth="0" w:num="1">
            <w:col w:w="11420"/>
          </w:cols>
          <w:pgMar w:left="240" w:top="121" w:right="23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Boise, Idaho 83716-9632</w:t>
      </w:r>
    </w:p>
    <w:p>
      <w:pPr>
        <w:spacing w:after="0" w:line="200"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033-MSAAL4</w:t>
      </w:r>
    </w:p>
    <w:p>
      <w:pPr>
        <w:spacing w:after="0" w:line="207"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International plc</w:t>
      </w:r>
    </w:p>
    <w:p>
      <w:pPr>
        <w:spacing w:after="0" w:line="207"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Issuer Capped Share Call Option Transaction</w:t>
      </w:r>
    </w:p>
    <w:p>
      <w:pPr>
        <w:spacing w:after="0" w:line="207"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 No: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CGPWK6</w:t>
      </w:r>
    </w:p>
    <w:p>
      <w:pPr>
        <w:spacing w:after="0" w:line="200" w:lineRule="exact"/>
        <w:rPr>
          <w:sz w:val="20"/>
          <w:szCs w:val="20"/>
          <w:color w:val="auto"/>
        </w:rPr>
      </w:pPr>
    </w:p>
    <w:p>
      <w:pPr>
        <w:sectPr>
          <w:pgSz w:w="11900" w:h="16838" w:orient="portrait"/>
          <w:cols w:equalWidth="0" w:num="2">
            <w:col w:w="640" w:space="580"/>
            <w:col w:w="102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April 8, 2009</w:t>
      </w:r>
    </w:p>
    <w:p>
      <w:pPr>
        <w:spacing w:after="0" w:line="200" w:lineRule="exact"/>
        <w:rPr>
          <w:sz w:val="20"/>
          <w:szCs w:val="20"/>
          <w:color w:val="auto"/>
        </w:rPr>
      </w:pPr>
    </w:p>
    <w:p>
      <w:pPr>
        <w:sectPr>
          <w:pgSz w:w="11900" w:h="16838" w:orient="portrait"/>
          <w:cols w:equalWidth="0" w:num="2">
            <w:col w:w="500" w:space="720"/>
            <w:col w:w="1020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121" w:right="239" w:bottom="0" w:gutter="0" w:footer="0" w:header="0"/>
          <w:type w:val="continuous"/>
        </w:sect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Trade Date specified below (the “</w:t>
      </w:r>
      <w:r>
        <w:rPr>
          <w:rFonts w:ascii="Arial" w:cs="Arial" w:eastAsia="Arial" w:hAnsi="Arial"/>
          <w:sz w:val="17"/>
          <w:szCs w:val="17"/>
          <w:u w:val="single" w:color="auto"/>
          <w:color w:val="auto"/>
        </w:rPr>
        <w:t>Transaction</w:t>
      </w:r>
      <w:r>
        <w:rPr>
          <w:rFonts w:ascii="Arial" w:cs="Arial" w:eastAsia="Arial" w:hAnsi="Arial"/>
          <w:sz w:val="17"/>
          <w:szCs w:val="17"/>
          <w:color w:val="auto"/>
        </w:rPr>
        <w:t>”) between Morgan Stanley &amp; Co. International plc (“</w:t>
      </w:r>
      <w:r>
        <w:rPr>
          <w:rFonts w:ascii="Arial" w:cs="Arial" w:eastAsia="Arial" w:hAnsi="Arial"/>
          <w:sz w:val="17"/>
          <w:szCs w:val="17"/>
          <w:u w:val="single" w:color="auto"/>
          <w:color w:val="auto"/>
        </w:rPr>
        <w:t>Dealer</w:t>
      </w:r>
      <w:r>
        <w:rPr>
          <w:rFonts w:ascii="Arial" w:cs="Arial" w:eastAsia="Arial" w:hAnsi="Arial"/>
          <w:sz w:val="17"/>
          <w:szCs w:val="17"/>
          <w:color w:val="auto"/>
        </w:rPr>
        <w:t>”) and Micron Technology, Inc. (“</w:t>
      </w:r>
      <w:r>
        <w:rPr>
          <w:rFonts w:ascii="Arial" w:cs="Arial" w:eastAsia="Arial" w:hAnsi="Arial"/>
          <w:sz w:val="17"/>
          <w:szCs w:val="17"/>
          <w:u w:val="single" w:color="auto"/>
          <w:color w:val="auto"/>
        </w:rPr>
        <w:t>Issuer</w:t>
      </w:r>
      <w:r>
        <w:rPr>
          <w:rFonts w:ascii="Arial" w:cs="Arial" w:eastAsia="Arial" w:hAnsi="Arial"/>
          <w:sz w:val="17"/>
          <w:szCs w:val="17"/>
          <w:color w:val="auto"/>
        </w:rPr>
        <w:t>”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Counterparty</w:t>
      </w:r>
      <w:r>
        <w:rPr>
          <w:rFonts w:ascii="Arial" w:cs="Arial" w:eastAsia="Arial" w:hAnsi="Arial"/>
          <w:sz w:val="16"/>
          <w:szCs w:val="16"/>
          <w:color w:val="auto"/>
        </w:rPr>
        <w:t>”). Dealer is acting as principal and Morgan Stanley Bank, N.A. (“</w:t>
      </w:r>
      <w:r>
        <w:rPr>
          <w:rFonts w:ascii="Arial" w:cs="Arial" w:eastAsia="Arial" w:hAnsi="Arial"/>
          <w:sz w:val="16"/>
          <w:szCs w:val="16"/>
          <w:u w:val="single" w:color="auto"/>
          <w:color w:val="auto"/>
        </w:rPr>
        <w:t>Agent</w:t>
      </w:r>
      <w:r>
        <w:rPr>
          <w:rFonts w:ascii="Arial" w:cs="Arial" w:eastAsia="Arial" w:hAnsi="Arial"/>
          <w:sz w:val="16"/>
          <w:szCs w:val="16"/>
          <w:color w:val="auto"/>
        </w:rPr>
        <w:t>”), its affiliate, is acting as agent for Dealer and Counterparty for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Transaction under this Confirmation. This communication constitutes a “Confirmation” as referred to in the ISDA Master Agreement specified below. This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Confirmation is a confirmation for purposes of Rule 10b-10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 is not a member of the Securities Investor Protection Corporation.</w:t>
      </w:r>
    </w:p>
    <w:p>
      <w:pPr>
        <w:spacing w:after="0" w:line="208" w:lineRule="exact"/>
        <w:rPr>
          <w:sz w:val="20"/>
          <w:szCs w:val="20"/>
          <w:color w:val="auto"/>
        </w:rPr>
      </w:pPr>
    </w:p>
    <w:p>
      <w:pPr>
        <w:ind w:right="20" w:firstLine="652"/>
        <w:spacing w:after="0" w:line="277"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This Confirmation is subject to, and incorporates, the definitions and provisions of the 2000 ISDA Definitions (including the Annex thereto) (the “</w:t>
      </w:r>
      <w:r>
        <w:rPr>
          <w:rFonts w:ascii="Arial" w:cs="Arial" w:eastAsia="Arial" w:hAnsi="Arial"/>
          <w:sz w:val="17"/>
          <w:szCs w:val="17"/>
          <w:u w:val="single" w:color="auto"/>
          <w:color w:val="auto"/>
        </w:rPr>
        <w:t>2000 Definitions</w:t>
      </w:r>
      <w:r>
        <w:rPr>
          <w:rFonts w:ascii="Arial" w:cs="Arial" w:eastAsia="Arial" w:hAnsi="Arial"/>
          <w:sz w:val="17"/>
          <w:szCs w:val="17"/>
          <w:color w:val="auto"/>
        </w:rPr>
        <w:t>”) and the definitions and provisions of the 2002 ISDA Equity Derivatives Definitions (the “</w:t>
      </w:r>
      <w:r>
        <w:rPr>
          <w:rFonts w:ascii="Arial" w:cs="Arial" w:eastAsia="Arial" w:hAnsi="Arial"/>
          <w:sz w:val="17"/>
          <w:szCs w:val="17"/>
          <w:u w:val="single" w:color="auto"/>
          <w:color w:val="auto"/>
        </w:rPr>
        <w:t>Equity Definitions</w:t>
      </w:r>
      <w:r>
        <w:rPr>
          <w:rFonts w:ascii="Arial" w:cs="Arial" w:eastAsia="Arial" w:hAnsi="Arial"/>
          <w:sz w:val="17"/>
          <w:szCs w:val="17"/>
          <w:color w:val="auto"/>
        </w:rPr>
        <w:t>”, and together with the 2000 Definitions, the “</w:t>
      </w:r>
      <w:r>
        <w:rPr>
          <w:rFonts w:ascii="Arial" w:cs="Arial" w:eastAsia="Arial" w:hAnsi="Arial"/>
          <w:sz w:val="17"/>
          <w:szCs w:val="17"/>
          <w:u w:val="single" w:color="auto"/>
          <w:color w:val="auto"/>
        </w:rPr>
        <w:t>Definitions</w:t>
      </w:r>
      <w:r>
        <w:rPr>
          <w:rFonts w:ascii="Arial" w:cs="Arial" w:eastAsia="Arial" w:hAnsi="Arial"/>
          <w:sz w:val="17"/>
          <w:szCs w:val="17"/>
          <w:color w:val="auto"/>
        </w:rPr>
        <w:t>”), in each case as published by the International Swaps and Derivatives Association, Inc. (“</w:t>
      </w:r>
      <w:r>
        <w:rPr>
          <w:rFonts w:ascii="Arial" w:cs="Arial" w:eastAsia="Arial" w:hAnsi="Arial"/>
          <w:sz w:val="17"/>
          <w:szCs w:val="17"/>
          <w:u w:val="single" w:color="auto"/>
          <w:color w:val="auto"/>
        </w:rPr>
        <w:t>ISDA</w:t>
      </w:r>
      <w:r>
        <w:rPr>
          <w:rFonts w:ascii="Arial" w:cs="Arial" w:eastAsia="Arial" w:hAnsi="Arial"/>
          <w:sz w:val="17"/>
          <w:szCs w:val="17"/>
          <w:color w:val="auto"/>
        </w:rPr>
        <w:t>”). In the event of any inconsistency between the 2000 Definitions and the Equity Definitions, the Equity Definitions will govern.</w:t>
      </w:r>
    </w:p>
    <w:p>
      <w:pPr>
        <w:spacing w:after="0" w:line="172" w:lineRule="exact"/>
        <w:rPr>
          <w:sz w:val="20"/>
          <w:szCs w:val="20"/>
          <w:color w:val="auto"/>
        </w:rPr>
      </w:pPr>
    </w:p>
    <w:p>
      <w:pPr>
        <w:ind w:right="380" w:firstLine="645"/>
        <w:spacing w:after="0" w:line="262"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in the form of the 2002 ISDA Master Agreement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u w:val="single" w:color="auto"/>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shall be governed by the Agreement.</w:t>
      </w:r>
    </w:p>
    <w:p>
      <w:pPr>
        <w:spacing w:after="0" w:line="173" w:lineRule="exact"/>
        <w:rPr>
          <w:sz w:val="20"/>
          <w:szCs w:val="20"/>
          <w:color w:val="auto"/>
        </w:rPr>
      </w:pPr>
    </w:p>
    <w:p>
      <w:pPr>
        <w:ind w:right="40" w:firstLine="645"/>
        <w:spacing w:after="0" w:line="305"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26884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652"/>
        <w:spacing w:after="0" w:line="275" w:lineRule="auto"/>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0" w:gutter="0" w:footer="0" w:header="0"/>
          <w:type w:val="continuous"/>
        </w:sectPr>
      </w:pPr>
    </w:p>
    <w:p>
      <w:pPr>
        <w:spacing w:after="0" w:line="22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April 8, 2009</w:t>
      </w:r>
    </w:p>
    <w:p>
      <w:pPr>
        <w:spacing w:after="0" w:line="200"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Components: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73"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ind w:left="620"/>
        <w:spacing w:after="0"/>
        <w:rPr>
          <w:sz w:val="20"/>
          <w:szCs w:val="20"/>
          <w:color w:val="auto"/>
        </w:rPr>
      </w:pPr>
      <w:r>
        <w:rPr>
          <w:rFonts w:ascii="Arial" w:cs="Arial" w:eastAsia="Arial" w:hAnsi="Arial"/>
          <w:sz w:val="16"/>
          <w:szCs w:val="16"/>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European</w:t>
      </w:r>
    </w:p>
    <w:p>
      <w:pPr>
        <w:spacing w:after="0" w:line="211"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Buyer: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11"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3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pacing w:after="0" w:line="200" w:lineRule="exact"/>
        <w:rPr>
          <w:sz w:val="20"/>
          <w:szCs w:val="20"/>
          <w:color w:val="auto"/>
        </w:rPr>
      </w:pPr>
    </w:p>
    <w:p>
      <w:pPr>
        <w:sectPr>
          <w:pgSz w:w="11900" w:h="16838" w:orient="portrait"/>
          <w:cols w:equalWidth="0" w:num="2">
            <w:col w:w="4260" w:space="720"/>
            <w:col w:w="6440"/>
          </w:cols>
          <w:pgMar w:left="240" w:top="121" w:right="239" w:bottom="0" w:gutter="0" w:footer="0" w:header="0"/>
          <w:type w:val="continuous"/>
        </w:sectPr>
      </w:pPr>
    </w:p>
    <w:p>
      <w:pPr>
        <w:spacing w:after="0" w:line="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Number of Options: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auto"/>
        </w:rPr>
        <w:t xml:space="preserve">For each Component, as provided in Annex A to this Confirmation;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Morgan Stanley &amp; Co. Incorporated and Goldman, Sachs &amp; Co., as representatives of the Underwriters named in the Underwriting Agreement dated April 8, 2009 between</w:t>
      </w:r>
    </w:p>
    <w:p>
      <w:pPr>
        <w:sectPr>
          <w:pgSz w:w="11900" w:h="16838" w:orient="portrait"/>
          <w:cols w:equalWidth="0" w:num="2">
            <w:col w:w="4260" w:space="720"/>
            <w:col w:w="6440"/>
          </w:cols>
          <w:pgMar w:left="240" w:top="121" w:right="23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4"/>
              </w:rPr>
              <w:t>Counterparty and Morgan Stanley &amp; Co. Incorporated and Goldman, Sachs &amp; Co. (the</w:t>
            </w:r>
          </w:p>
        </w:tc>
      </w:tr>
      <w:tr>
        <w:trPr>
          <w:trHeight w:val="189"/>
        </w:trPr>
        <w:tc>
          <w:tcPr>
            <w:tcW w:w="4080" w:type="dxa"/>
            <w:vAlign w:val="bottom"/>
          </w:tcPr>
          <w:p>
            <w:pPr>
              <w:spacing w:after="0"/>
              <w:rPr>
                <w:sz w:val="16"/>
                <w:szCs w:val="16"/>
                <w:color w:val="auto"/>
              </w:rPr>
            </w:pPr>
          </w:p>
        </w:tc>
        <w:tc>
          <w:tcPr>
            <w:tcW w:w="7380" w:type="dxa"/>
            <w:vAlign w:val="bottom"/>
            <w:gridSpan w:val="7"/>
          </w:tcPr>
          <w:p>
            <w:pPr>
              <w:ind w:left="900"/>
              <w:spacing w:after="0" w:line="189" w:lineRule="exact"/>
              <w:rPr>
                <w:sz w:val="20"/>
                <w:szCs w:val="20"/>
                <w:color w:val="auto"/>
              </w:rPr>
            </w:pPr>
            <w:r>
              <w:rPr>
                <w:rFonts w:ascii="Arial" w:cs="Arial" w:eastAsia="Arial" w:hAnsi="Arial"/>
                <w:sz w:val="18"/>
                <w:szCs w:val="18"/>
                <w:color w:val="auto"/>
              </w:rPr>
              <w:t>“Underwriting Agreement”), exercise the option to purchase additional 4.25%</w:t>
            </w: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5"/>
        </w:trPr>
        <w:tc>
          <w:tcPr>
            <w:tcW w:w="4080" w:type="dxa"/>
            <w:vAlign w:val="bottom"/>
          </w:tcPr>
          <w:p>
            <w:pPr>
              <w:spacing w:after="0"/>
              <w:rPr>
                <w:sz w:val="16"/>
                <w:szCs w:val="16"/>
                <w:color w:val="auto"/>
              </w:rPr>
            </w:pPr>
          </w:p>
        </w:tc>
        <w:tc>
          <w:tcPr>
            <w:tcW w:w="7380" w:type="dxa"/>
            <w:vAlign w:val="bottom"/>
            <w:gridSpan w:val="7"/>
          </w:tcPr>
          <w:p>
            <w:pPr>
              <w:ind w:left="900"/>
              <w:spacing w:after="0" w:line="195" w:lineRule="exact"/>
              <w:rPr>
                <w:sz w:val="20"/>
                <w:szCs w:val="20"/>
                <w:color w:val="auto"/>
              </w:rPr>
            </w:pPr>
            <w:r>
              <w:rPr>
                <w:rFonts w:ascii="Arial" w:cs="Arial" w:eastAsia="Arial" w:hAnsi="Arial"/>
                <w:sz w:val="18"/>
                <w:szCs w:val="18"/>
                <w:color w:val="auto"/>
              </w:rPr>
              <w:t>Convertible Senior Notes due October 15, 2013 (“Additional Convertible Notes”)</w:t>
            </w: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1"/>
        </w:trPr>
        <w:tc>
          <w:tcPr>
            <w:tcW w:w="4080" w:type="dxa"/>
            <w:vAlign w:val="bottom"/>
          </w:tcPr>
          <w:p>
            <w:pPr>
              <w:spacing w:after="0"/>
              <w:rPr>
                <w:sz w:val="19"/>
                <w:szCs w:val="19"/>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4"/>
              </w:rPr>
              <w:t>pursuant to Section 2 of the Underwriting Agreement, the Number of Options for each</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1"/>
              </w:rPr>
              <w:t>Component shall be automatically increased, effective upon payment by Counterparty of</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9"/>
              </w:rPr>
              <w:t>the Additional Premium on the Additional Premium Payment Date, by a number of</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5"/>
              </w:rPr>
              <w:t>Options equal to the product of (x) the Number of Options for such Component as set</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6"/>
              </w:rPr>
              <w:t>forth in Annex A to this Confirmation and (y) a fraction, the numerator of which is the</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rPr>
              <w:t>number of Additional Convertible Notes in denominations of USD1,000 principal</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1"/>
              </w:rPr>
              <w:t>amount issued pursuant to such exercise and the denominator of which is the number of</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3"/>
              </w:rPr>
              <w:t>Convertible Notes in denominations of USD1,000 principal amount issued prior to such</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7"/>
              </w:rPr>
              <w:t>exercise, subject to rounding as deemed appropriate by the Calculation Agent, and</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7"/>
              </w:rPr>
              <w:t>Calculation Agent will promptly provide Counterparty and Dealer a schedule setting</w:t>
            </w:r>
          </w:p>
        </w:tc>
      </w:tr>
      <w:tr>
        <w:trPr>
          <w:trHeight w:val="229"/>
        </w:trPr>
        <w:tc>
          <w:tcPr>
            <w:tcW w:w="4080" w:type="dxa"/>
            <w:vAlign w:val="bottom"/>
          </w:tcPr>
          <w:p>
            <w:pPr>
              <w:spacing w:after="0"/>
              <w:rPr>
                <w:sz w:val="19"/>
                <w:szCs w:val="19"/>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rPr>
              <w:t>forth the increased Number of Options for all Components.</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Option Entitlement:</w:t>
            </w: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rPr>
              <w:t>One Share per Option</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Strike Price:</w:t>
            </w:r>
          </w:p>
        </w:tc>
        <w:tc>
          <w:tcPr>
            <w:tcW w:w="2420" w:type="dxa"/>
            <w:vAlign w:val="bottom"/>
            <w:gridSpan w:val="3"/>
          </w:tcPr>
          <w:p>
            <w:pPr>
              <w:ind w:left="900"/>
              <w:spacing w:after="0"/>
              <w:rPr>
                <w:sz w:val="20"/>
                <w:szCs w:val="20"/>
                <w:color w:val="auto"/>
              </w:rPr>
            </w:pPr>
            <w:r>
              <w:rPr>
                <w:rFonts w:ascii="Arial" w:cs="Arial" w:eastAsia="Arial" w:hAnsi="Arial"/>
                <w:sz w:val="18"/>
                <w:szCs w:val="18"/>
                <w:color w:val="auto"/>
              </w:rPr>
              <w:t>5.0837</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Cap Price:</w:t>
            </w:r>
          </w:p>
        </w:tc>
        <w:tc>
          <w:tcPr>
            <w:tcW w:w="2420" w:type="dxa"/>
            <w:vAlign w:val="bottom"/>
            <w:gridSpan w:val="3"/>
          </w:tcPr>
          <w:p>
            <w:pPr>
              <w:ind w:left="900"/>
              <w:spacing w:after="0"/>
              <w:rPr>
                <w:sz w:val="20"/>
                <w:szCs w:val="20"/>
                <w:color w:val="auto"/>
              </w:rPr>
            </w:pPr>
            <w:r>
              <w:rPr>
                <w:rFonts w:ascii="Arial" w:cs="Arial" w:eastAsia="Arial" w:hAnsi="Arial"/>
                <w:sz w:val="18"/>
                <w:szCs w:val="18"/>
                <w:color w:val="auto"/>
              </w:rPr>
              <w:t>6.6400</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5"/>
        </w:trPr>
        <w:tc>
          <w:tcPr>
            <w:tcW w:w="4080" w:type="dxa"/>
            <w:vAlign w:val="bottom"/>
          </w:tcPr>
          <w:p>
            <w:pPr>
              <w:ind w:left="620"/>
              <w:spacing w:after="0"/>
              <w:rPr>
                <w:sz w:val="20"/>
                <w:szCs w:val="20"/>
                <w:color w:val="auto"/>
              </w:rPr>
            </w:pPr>
            <w:r>
              <w:rPr>
                <w:rFonts w:ascii="Arial" w:cs="Arial" w:eastAsia="Arial" w:hAnsi="Arial"/>
                <w:sz w:val="18"/>
                <w:szCs w:val="18"/>
                <w:color w:val="auto"/>
              </w:rPr>
              <w:t>Premium:</w:t>
            </w: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w w:val="93"/>
              </w:rPr>
              <w:t>The premium for each Component shall be as provided in Annex A to this Confirmation</w:t>
            </w:r>
          </w:p>
        </w:tc>
      </w:tr>
      <w:tr>
        <w:trPr>
          <w:trHeight w:val="229"/>
        </w:trPr>
        <w:tc>
          <w:tcPr>
            <w:tcW w:w="4080" w:type="dxa"/>
            <w:vAlign w:val="bottom"/>
          </w:tcPr>
          <w:p>
            <w:pPr>
              <w:spacing w:after="0"/>
              <w:rPr>
                <w:sz w:val="19"/>
                <w:szCs w:val="19"/>
                <w:color w:val="auto"/>
              </w:rPr>
            </w:pPr>
          </w:p>
        </w:tc>
        <w:tc>
          <w:tcPr>
            <w:tcW w:w="7380" w:type="dxa"/>
            <w:vAlign w:val="bottom"/>
            <w:gridSpan w:val="7"/>
          </w:tcPr>
          <w:p>
            <w:pPr>
              <w:ind w:left="900"/>
              <w:spacing w:after="0"/>
              <w:rPr>
                <w:sz w:val="20"/>
                <w:szCs w:val="20"/>
                <w:color w:val="auto"/>
              </w:rPr>
            </w:pPr>
            <w:r>
              <w:rPr>
                <w:rFonts w:ascii="Arial" w:cs="Arial" w:eastAsia="Arial" w:hAnsi="Arial"/>
                <w:sz w:val="18"/>
                <w:szCs w:val="18"/>
                <w:color w:val="auto"/>
              </w:rPr>
              <w:t>and the aggregate Premium for the</w:t>
            </w:r>
          </w:p>
        </w:tc>
      </w:tr>
      <w:tr>
        <w:trPr>
          <w:trHeight w:val="430"/>
        </w:trPr>
        <w:tc>
          <w:tcPr>
            <w:tcW w:w="4080" w:type="dxa"/>
            <w:vAlign w:val="bottom"/>
          </w:tcPr>
          <w:p>
            <w:pPr>
              <w:spacing w:after="0"/>
              <w:rPr>
                <w:sz w:val="24"/>
                <w:szCs w:val="24"/>
                <w:color w:val="auto"/>
              </w:rPr>
            </w:pPr>
          </w:p>
        </w:tc>
        <w:tc>
          <w:tcPr>
            <w:tcW w:w="2420" w:type="dxa"/>
            <w:vAlign w:val="bottom"/>
            <w:gridSpan w:val="3"/>
          </w:tcPr>
          <w:p>
            <w:pPr>
              <w:ind w:left="15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1"/>
        </w:trPr>
        <w:tc>
          <w:tcPr>
            <w:tcW w:w="40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r>
      <w:tr>
        <w:trPr>
          <w:trHeight w:val="761"/>
        </w:trPr>
        <w:tc>
          <w:tcPr>
            <w:tcW w:w="4080" w:type="dxa"/>
            <w:vAlign w:val="bottom"/>
          </w:tcPr>
          <w:p>
            <w:pPr>
              <w:spacing w:after="0"/>
              <w:rPr>
                <w:sz w:val="24"/>
                <w:szCs w:val="24"/>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9"/>
              </w:rPr>
              <w:t xml:space="preserve">Transaction is USD 7,525,000;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if the Number of Options is increased</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7"/>
              </w:rPr>
              <w:t>pursuant to the proviso to the definition of “Number of Options” above, Counterparty</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shall pay on the Additional Premium Payment Date an additional Premium (the</w:t>
            </w:r>
          </w:p>
        </w:tc>
      </w:tr>
      <w:tr>
        <w:trPr>
          <w:trHeight w:val="189"/>
        </w:trPr>
        <w:tc>
          <w:tcPr>
            <w:tcW w:w="4080" w:type="dxa"/>
            <w:vAlign w:val="bottom"/>
          </w:tcPr>
          <w:p>
            <w:pPr>
              <w:spacing w:after="0"/>
              <w:rPr>
                <w:sz w:val="16"/>
                <w:szCs w:val="16"/>
                <w:color w:val="auto"/>
              </w:rPr>
            </w:pPr>
          </w:p>
        </w:tc>
        <w:tc>
          <w:tcPr>
            <w:tcW w:w="7380" w:type="dxa"/>
            <w:vAlign w:val="bottom"/>
            <w:gridSpan w:val="7"/>
          </w:tcPr>
          <w:p>
            <w:pPr>
              <w:ind w:left="860"/>
              <w:spacing w:after="0" w:line="189" w:lineRule="exact"/>
              <w:rPr>
                <w:sz w:val="20"/>
                <w:szCs w:val="20"/>
                <w:color w:val="auto"/>
              </w:rPr>
            </w:pPr>
            <w:r>
              <w:rPr>
                <w:rFonts w:ascii="Arial" w:cs="Arial" w:eastAsia="Arial" w:hAnsi="Arial"/>
                <w:sz w:val="18"/>
                <w:szCs w:val="18"/>
                <w:color w:val="auto"/>
              </w:rPr>
              <w:t>“Additional Premium”) equal to the product of the number of Options by which the</w:t>
            </w: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r>
      <w:tr>
        <w:trPr>
          <w:trHeight w:val="221"/>
        </w:trPr>
        <w:tc>
          <w:tcPr>
            <w:tcW w:w="4080" w:type="dxa"/>
            <w:vAlign w:val="bottom"/>
          </w:tcPr>
          <w:p>
            <w:pPr>
              <w:spacing w:after="0"/>
              <w:rPr>
                <w:sz w:val="19"/>
                <w:szCs w:val="19"/>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1"/>
              </w:rPr>
              <w:t>aggregate Number of Options for such Components is so increased and USD 0.5465031.</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6"/>
              </w:rPr>
              <w:t>Dealer and Counterparty hereby agree that, notwithstanding anything to the contrary</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herein or in the Agreement, following the payment of the Premium (including the</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1"/>
              </w:rPr>
              <w:t>Additional Premium, if any), in the event that (a) an Early Termination Date (whether as a</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2"/>
              </w:rPr>
              <w:t>result of an Event of Default or a Termination Event) occurs or is designated with respect</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3"/>
              </w:rPr>
              <w:t>to any Transaction and, as a result, Counterparty owes to Dealer the amount calculated</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0"/>
              </w:rPr>
              <w:t>under Section 6(e) of the Agreement (calculated as if the Transactions were terminated on</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such Early Termination Date were the sole Transactions under the Agreement) or</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3"/>
              </w:rPr>
              <w:t>(b) Counterparty owes to Dealer, pursuant to Section 12.7 or Section 12.9 or the Equity</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7"/>
              </w:rPr>
              <w:t>Definitions, an amount calculated under Section 12.8 of the Equity Definitions, such</w:t>
            </w:r>
          </w:p>
        </w:tc>
      </w:tr>
      <w:tr>
        <w:trPr>
          <w:trHeight w:val="229"/>
        </w:trPr>
        <w:tc>
          <w:tcPr>
            <w:tcW w:w="4080" w:type="dxa"/>
            <w:vAlign w:val="bottom"/>
          </w:tcPr>
          <w:p>
            <w:pPr>
              <w:spacing w:after="0"/>
              <w:rPr>
                <w:sz w:val="19"/>
                <w:szCs w:val="19"/>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amount shall be deemed to be zero.</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Premium Payment Date: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The Effective Date</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Effective Date: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April 15, 2009 or such other date as agreed by the parties.</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Additional Premium Payment Date: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Exchange: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New York Stock Exchange</w:t>
            </w:r>
          </w:p>
        </w:tc>
      </w:tr>
      <w:tr>
        <w:trPr>
          <w:trHeight w:val="415"/>
        </w:trPr>
        <w:tc>
          <w:tcPr>
            <w:tcW w:w="4080" w:type="dxa"/>
            <w:vAlign w:val="bottom"/>
          </w:tcPr>
          <w:p>
            <w:pPr>
              <w:ind w:left="620"/>
              <w:spacing w:after="0"/>
              <w:rPr>
                <w:sz w:val="20"/>
                <w:szCs w:val="20"/>
                <w:color w:val="auto"/>
              </w:rPr>
            </w:pPr>
            <w:r>
              <w:rPr>
                <w:rFonts w:ascii="Arial" w:cs="Arial" w:eastAsia="Arial" w:hAnsi="Arial"/>
                <w:sz w:val="18"/>
                <w:szCs w:val="18"/>
                <w:color w:val="auto"/>
              </w:rPr>
              <w:t>Related Exchange: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2"/>
              </w:rPr>
              <w:t>All Exchanges located in the United States on which the equity securities or equity-linked</w:t>
            </w:r>
          </w:p>
        </w:tc>
      </w:tr>
      <w:tr>
        <w:trPr>
          <w:trHeight w:val="229"/>
        </w:trPr>
        <w:tc>
          <w:tcPr>
            <w:tcW w:w="4080" w:type="dxa"/>
            <w:vAlign w:val="bottom"/>
          </w:tcPr>
          <w:p>
            <w:pPr>
              <w:spacing w:after="0"/>
              <w:rPr>
                <w:sz w:val="19"/>
                <w:szCs w:val="19"/>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securities of Counterparty are traded.</w:t>
            </w:r>
          </w:p>
        </w:tc>
      </w:tr>
      <w:tr>
        <w:trPr>
          <w:trHeight w:val="430"/>
        </w:trPr>
        <w:tc>
          <w:tcPr>
            <w:tcW w:w="4080" w:type="dxa"/>
            <w:vAlign w:val="bottom"/>
          </w:tcPr>
          <w:p>
            <w:pPr>
              <w:ind w:left="20"/>
              <w:spacing w:after="0"/>
              <w:rPr>
                <w:sz w:val="20"/>
                <w:szCs w:val="20"/>
                <w:color w:val="auto"/>
              </w:rPr>
            </w:pPr>
            <w:r>
              <w:rPr>
                <w:rFonts w:ascii="Arial" w:cs="Arial" w:eastAsia="Arial" w:hAnsi="Arial"/>
                <w:sz w:val="18"/>
                <w:szCs w:val="18"/>
                <w:color w:val="auto"/>
              </w:rPr>
              <w:t>Procedures for Exercise:</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4080" w:type="dxa"/>
            <w:vAlign w:val="bottom"/>
          </w:tcPr>
          <w:p>
            <w:pPr>
              <w:ind w:left="620"/>
              <w:spacing w:after="0"/>
              <w:rPr>
                <w:sz w:val="20"/>
                <w:szCs w:val="20"/>
                <w:color w:val="auto"/>
              </w:rPr>
            </w:pPr>
            <w:r>
              <w:rPr>
                <w:rFonts w:ascii="Arial" w:cs="Arial" w:eastAsia="Arial" w:hAnsi="Arial"/>
                <w:sz w:val="18"/>
                <w:szCs w:val="18"/>
                <w:color w:val="auto"/>
              </w:rPr>
              <w:t>Expiration Time: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Valuation Time</w:t>
            </w:r>
          </w:p>
        </w:tc>
      </w:tr>
      <w:tr>
        <w:trPr>
          <w:trHeight w:val="415"/>
        </w:trPr>
        <w:tc>
          <w:tcPr>
            <w:tcW w:w="4080" w:type="dxa"/>
            <w:vAlign w:val="bottom"/>
          </w:tcPr>
          <w:p>
            <w:pPr>
              <w:ind w:left="620"/>
              <w:spacing w:after="0"/>
              <w:rPr>
                <w:sz w:val="20"/>
                <w:szCs w:val="20"/>
                <w:color w:val="auto"/>
              </w:rPr>
            </w:pPr>
            <w:r>
              <w:rPr>
                <w:rFonts w:ascii="Arial" w:cs="Arial" w:eastAsia="Arial" w:hAnsi="Arial"/>
                <w:sz w:val="18"/>
                <w:szCs w:val="18"/>
                <w:color w:val="auto"/>
              </w:rPr>
              <w:t>Expiration Date:</w:t>
            </w: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3"/>
              </w:rPr>
              <w:t>As provided in Annex A to this Confirmation (or, if such date is not a Scheduled Trading</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2"/>
              </w:rPr>
              <w:t>Day, the next following Scheduled Trading Day that is not already an Expiration Date for</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9"/>
              </w:rPr>
              <w:t xml:space="preserve">another Component);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notwithstanding anything to the contrary in the</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4"/>
              </w:rPr>
              <w:t>Equity Definitions, if that date is a Disrupted Day, the Calculation Agent may determine</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5"/>
              </w:rPr>
              <w:t>that the Expiration Date for such Component is a Disrupted Day in whole or in part, in</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0"/>
              </w:rPr>
              <w:t>which case the Calculation Agent shall, in its reasonable discretion, determine the number</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3"/>
              </w:rPr>
              <w:t>of Options for which such day shall be the Expiration Date and (i) allocate the remaining</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8"/>
              </w:rPr>
              <w:t>Options for such Expiration Date to one or more of the remaining Expiration Dates,</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1"/>
              </w:rPr>
              <w:t>(ii) designate the first succeeding Scheduled Trading Day that is not a Disrupted Day and</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1"/>
              </w:rPr>
              <w:t>is not or is not deemed to be an Expiration Date in respect of any other Component of the</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9"/>
              </w:rPr>
              <w:t>Transaction hereunder as the Expiration Date for such remaining Options, or (iii) a</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 xml:space="preserve">combination thereof;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Expiration Date for a Component</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2"/>
              </w:rPr>
              <w:t>(including any portion of a Component whose Expiration Date was postponed as a result</w:t>
            </w:r>
          </w:p>
        </w:tc>
      </w:tr>
      <w:tr>
        <w:trPr>
          <w:trHeight w:val="215"/>
        </w:trPr>
        <w:tc>
          <w:tcPr>
            <w:tcW w:w="4080" w:type="dxa"/>
            <w:vAlign w:val="bottom"/>
          </w:tcPr>
          <w:p>
            <w:pPr>
              <w:spacing w:after="0"/>
              <w:rPr>
                <w:sz w:val="18"/>
                <w:szCs w:val="18"/>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w w:val="97"/>
              </w:rPr>
              <w:t>of clause (ii) or (iii) above) has not occurred as of the Final Disruption Date, (a) such</w:t>
            </w:r>
          </w:p>
        </w:tc>
      </w:tr>
      <w:tr>
        <w:trPr>
          <w:trHeight w:val="229"/>
        </w:trPr>
        <w:tc>
          <w:tcPr>
            <w:tcW w:w="4080" w:type="dxa"/>
            <w:vAlign w:val="bottom"/>
          </w:tcPr>
          <w:p>
            <w:pPr>
              <w:spacing w:after="0"/>
              <w:rPr>
                <w:sz w:val="19"/>
                <w:szCs w:val="19"/>
                <w:color w:val="auto"/>
              </w:rPr>
            </w:pPr>
          </w:p>
        </w:tc>
        <w:tc>
          <w:tcPr>
            <w:tcW w:w="7380" w:type="dxa"/>
            <w:vAlign w:val="bottom"/>
            <w:gridSpan w:val="7"/>
          </w:tcPr>
          <w:p>
            <w:pPr>
              <w:ind w:left="860"/>
              <w:spacing w:after="0"/>
              <w:rPr>
                <w:sz w:val="20"/>
                <w:szCs w:val="20"/>
                <w:color w:val="auto"/>
              </w:rPr>
            </w:pPr>
            <w:r>
              <w:rPr>
                <w:rFonts w:ascii="Arial" w:cs="Arial" w:eastAsia="Arial" w:hAnsi="Arial"/>
                <w:sz w:val="18"/>
                <w:szCs w:val="18"/>
                <w:color w:val="auto"/>
              </w:rPr>
              <w:t>Final Disruption Date shall be deemed to be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-6660515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-6660515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84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Final Disruption Date: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Exchange Business Day; Disrupted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20"/>
        <w:spacing w:after="0" w:line="262" w:lineRule="auto"/>
        <w:rPr>
          <w:sz w:val="20"/>
          <w:szCs w:val="20"/>
          <w:color w:val="auto"/>
        </w:rPr>
      </w:pPr>
      <w:r>
        <w:rPr>
          <w:rFonts w:ascii="Arial" w:cs="Arial" w:eastAsia="Arial" w:hAnsi="Arial"/>
          <w:sz w:val="18"/>
          <w:szCs w:val="18"/>
          <w:color w:val="auto"/>
        </w:rPr>
        <w:t>Seller’s Telephone Number and Telex and/or Facsimile Number and Contact Details for purpose of Giving Notice: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Terms: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7"/>
          <w:szCs w:val="17"/>
          <w:color w:val="auto"/>
        </w:rPr>
        <w:t>Expiration Date and Valuation Date for such Component, and (b) the Calculation Agent shall determine the VWAP Price for such Component on the basis of its good faith estimate of the trading value for the relevant Shares. Section 6.6 of the Equity Definitions shall not apply to any Valuation Date occurring on an Expiration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2012</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6.3(a) of the Equity Definitions is hereby amended by replacing clause (ii) thereof in its entirety with the following: “(ii) an Exchange Disruption, or” and inserting immediately following clause (iii) thereof the following: “; in each case that the Calculation Agent determines is material.”</w:t>
      </w:r>
    </w:p>
    <w:p>
      <w:pPr>
        <w:spacing w:after="0" w:line="18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Sections 1.29 and 6.4 of the Equity Definitions are hereby amended by adding “, unless the Calculation Agent reasonably determines that any failure of such Exchange or Related Exchange to open does not have a material effect on the trading market for the Shares” following the words “regular trading sessions” in the third line thereof and the words “regular trading session” in the second line thereof, respectively.</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Applicable; and means that the Number of Options for the relevant Component will be deemed to be automatically exercised at the Expiration Time on the Expiration Date for such Component if at such time such Component is In-the-Money, as determined by the Calculation Agent, unless Buyer notifies Seller (by telephone or in writing) prior to the Expiration Time on such Expiration Date that it does not wish Automatic Exercise to occur with respect to such Component, in which case Automatic Exercise will not apply with respect to such Component. “</w:t>
      </w:r>
      <w:r>
        <w:rPr>
          <w:rFonts w:ascii="Arial" w:cs="Arial" w:eastAsia="Arial" w:hAnsi="Arial"/>
          <w:sz w:val="17"/>
          <w:szCs w:val="17"/>
          <w:u w:val="single" w:color="auto"/>
          <w:color w:val="auto"/>
        </w:rPr>
        <w:t>In-the-Money</w:t>
      </w:r>
      <w:r>
        <w:rPr>
          <w:rFonts w:ascii="Arial" w:cs="Arial" w:eastAsia="Arial" w:hAnsi="Arial"/>
          <w:sz w:val="17"/>
          <w:szCs w:val="17"/>
          <w:color w:val="auto"/>
        </w:rPr>
        <w:t>” means, in respect of any Component, that the VWAP Price on the Expiration Date for such Component is greater than the Strike Price for such Component.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be provided by Dealer.</w:t>
      </w:r>
    </w:p>
    <w:p>
      <w:pPr>
        <w:spacing w:after="0" w:line="629" w:lineRule="exact"/>
        <w:rPr>
          <w:sz w:val="20"/>
          <w:szCs w:val="20"/>
          <w:color w:val="auto"/>
        </w:rPr>
      </w:pPr>
    </w:p>
    <w:p>
      <w:pPr>
        <w:sectPr>
          <w:pgSz w:w="11900" w:h="16838" w:orient="portrait"/>
          <w:cols w:equalWidth="0" w:num="2">
            <w:col w:w="4460" w:space="480"/>
            <w:col w:w="6520"/>
          </w:cols>
          <w:pgMar w:left="240" w:top="582" w:right="199" w:bottom="0" w:gutter="0" w:footer="0" w:header="0"/>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ind w:left="620"/>
              <w:spacing w:after="0"/>
              <w:rPr>
                <w:sz w:val="20"/>
                <w:szCs w:val="20"/>
                <w:color w:val="auto"/>
              </w:rPr>
            </w:pPr>
            <w:r>
              <w:rPr>
                <w:rFonts w:ascii="Arial" w:cs="Arial" w:eastAsia="Arial" w:hAnsi="Arial"/>
                <w:sz w:val="18"/>
                <w:szCs w:val="18"/>
                <w:color w:val="auto"/>
              </w:rPr>
              <w:t>Settlement Method Election:</w:t>
            </w:r>
          </w:p>
        </w:tc>
        <w:tc>
          <w:tcPr>
            <w:tcW w:w="7460" w:type="dxa"/>
            <w:vAlign w:val="bottom"/>
          </w:tcPr>
          <w:p>
            <w:pPr>
              <w:ind w:left="94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(a) Section 7.1 of the Equity Definitions is hereby amended by</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replacing the term “Physical Settlement” with the term “Net Share Settlement”,</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1"/>
              </w:rPr>
              <w:t>(b) Counterparty must make a single irrevocable election for all Components and (c) such</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9"/>
              </w:rPr>
              <w:t>Settlement Method Election would be effective only if Counterparty represents and</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2"/>
              </w:rPr>
              <w:t>warrants to Dealer in writing on the date of such Settlement Method Election that none of</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2"/>
              </w:rPr>
              <w:t>Counterparty and its officers and directors is aware of any material nonpublic information</w:t>
            </w:r>
          </w:p>
        </w:tc>
      </w:tr>
      <w:tr>
        <w:trPr>
          <w:trHeight w:val="229"/>
        </w:trPr>
        <w:tc>
          <w:tcPr>
            <w:tcW w:w="4000" w:type="dxa"/>
            <w:vAlign w:val="bottom"/>
          </w:tcPr>
          <w:p>
            <w:pPr>
              <w:spacing w:after="0"/>
              <w:rPr>
                <w:sz w:val="19"/>
                <w:szCs w:val="19"/>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regarding Counterparty or the Shares as of such date.</w:t>
            </w:r>
          </w:p>
        </w:tc>
      </w:tr>
      <w:tr>
        <w:trPr>
          <w:trHeight w:val="430"/>
        </w:trPr>
        <w:tc>
          <w:tcPr>
            <w:tcW w:w="4000" w:type="dxa"/>
            <w:vAlign w:val="bottom"/>
          </w:tcPr>
          <w:p>
            <w:pPr>
              <w:ind w:left="620"/>
              <w:spacing w:after="0"/>
              <w:rPr>
                <w:sz w:val="20"/>
                <w:szCs w:val="20"/>
                <w:color w:val="auto"/>
              </w:rPr>
            </w:pPr>
            <w:r>
              <w:rPr>
                <w:rFonts w:ascii="Arial" w:cs="Arial" w:eastAsia="Arial" w:hAnsi="Arial"/>
                <w:sz w:val="18"/>
                <w:szCs w:val="18"/>
                <w:color w:val="auto"/>
              </w:rPr>
              <w:t>Electing Party:</w:t>
            </w:r>
          </w:p>
        </w:tc>
        <w:tc>
          <w:tcPr>
            <w:tcW w:w="7460" w:type="dxa"/>
            <w:vAlign w:val="bottom"/>
          </w:tcPr>
          <w:p>
            <w:pPr>
              <w:ind w:left="940"/>
              <w:spacing w:after="0"/>
              <w:rPr>
                <w:sz w:val="20"/>
                <w:szCs w:val="20"/>
                <w:color w:val="auto"/>
              </w:rPr>
            </w:pPr>
            <w:r>
              <w:rPr>
                <w:rFonts w:ascii="Arial" w:cs="Arial" w:eastAsia="Arial" w:hAnsi="Arial"/>
                <w:sz w:val="18"/>
                <w:szCs w:val="18"/>
                <w:color w:val="auto"/>
              </w:rPr>
              <w:t>Counterparty</w:t>
            </w:r>
          </w:p>
        </w:tc>
      </w:tr>
      <w:tr>
        <w:trPr>
          <w:trHeight w:val="415"/>
        </w:trPr>
        <w:tc>
          <w:tcPr>
            <w:tcW w:w="4000" w:type="dxa"/>
            <w:vAlign w:val="bottom"/>
          </w:tcPr>
          <w:p>
            <w:pPr>
              <w:ind w:left="620"/>
              <w:spacing w:after="0"/>
              <w:rPr>
                <w:sz w:val="20"/>
                <w:szCs w:val="20"/>
                <w:color w:val="auto"/>
              </w:rPr>
            </w:pPr>
            <w:r>
              <w:rPr>
                <w:rFonts w:ascii="Arial" w:cs="Arial" w:eastAsia="Arial" w:hAnsi="Arial"/>
                <w:sz w:val="18"/>
                <w:szCs w:val="18"/>
                <w:color w:val="auto"/>
              </w:rPr>
              <w:t>Settlement Method Election Date:</w:t>
            </w:r>
          </w:p>
        </w:tc>
        <w:tc>
          <w:tcPr>
            <w:tcW w:w="7460" w:type="dxa"/>
            <w:vAlign w:val="bottom"/>
          </w:tcPr>
          <w:p>
            <w:pPr>
              <w:ind w:left="940"/>
              <w:spacing w:after="0"/>
              <w:rPr>
                <w:sz w:val="20"/>
                <w:szCs w:val="20"/>
                <w:color w:val="auto"/>
              </w:rPr>
            </w:pPr>
            <w:r>
              <w:rPr>
                <w:rFonts w:ascii="Arial" w:cs="Arial" w:eastAsia="Arial" w:hAnsi="Arial"/>
                <w:sz w:val="18"/>
                <w:szCs w:val="18"/>
                <w:color w:val="auto"/>
                <w:w w:val="99"/>
              </w:rPr>
              <w:t>The fifth Scheduled Trading Day prior to the scheduled Expiration Date for the first</w:t>
            </w:r>
          </w:p>
        </w:tc>
      </w:tr>
      <w:tr>
        <w:trPr>
          <w:trHeight w:val="229"/>
        </w:trPr>
        <w:tc>
          <w:tcPr>
            <w:tcW w:w="4000" w:type="dxa"/>
            <w:vAlign w:val="bottom"/>
          </w:tcPr>
          <w:p>
            <w:pPr>
              <w:spacing w:after="0"/>
              <w:rPr>
                <w:sz w:val="19"/>
                <w:szCs w:val="19"/>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Component.</w:t>
            </w:r>
          </w:p>
        </w:tc>
      </w:tr>
      <w:tr>
        <w:trPr>
          <w:trHeight w:val="430"/>
        </w:trPr>
        <w:tc>
          <w:tcPr>
            <w:tcW w:w="4000" w:type="dxa"/>
            <w:vAlign w:val="bottom"/>
          </w:tcPr>
          <w:p>
            <w:pPr>
              <w:spacing w:after="0"/>
              <w:rPr>
                <w:sz w:val="24"/>
                <w:szCs w:val="24"/>
                <w:color w:val="auto"/>
              </w:rPr>
            </w:pPr>
          </w:p>
        </w:tc>
        <w:tc>
          <w:tcPr>
            <w:tcW w:w="7460" w:type="dxa"/>
            <w:vAlign w:val="bottom"/>
          </w:tcPr>
          <w:p>
            <w:pPr>
              <w:ind w:left="1660"/>
              <w:spacing w:after="0"/>
              <w:rPr>
                <w:sz w:val="20"/>
                <w:szCs w:val="20"/>
                <w:color w:val="auto"/>
              </w:rPr>
            </w:pPr>
            <w:r>
              <w:rPr>
                <w:rFonts w:ascii="Arial" w:cs="Arial" w:eastAsia="Arial" w:hAnsi="Arial"/>
                <w:sz w:val="18"/>
                <w:szCs w:val="18"/>
                <w:color w:val="auto"/>
              </w:rPr>
              <w:t>4</w:t>
            </w:r>
          </w:p>
        </w:tc>
      </w:tr>
      <w:tr>
        <w:trPr>
          <w:trHeight w:val="131"/>
        </w:trPr>
        <w:tc>
          <w:tcPr>
            <w:tcW w:w="4000" w:type="dxa"/>
            <w:vAlign w:val="bottom"/>
            <w:tcBorders>
              <w:bottom w:val="single" w:sz="8" w:color="010101"/>
            </w:tcBorders>
          </w:tcPr>
          <w:p>
            <w:pPr>
              <w:spacing w:after="0"/>
              <w:rPr>
                <w:sz w:val="11"/>
                <w:szCs w:val="11"/>
                <w:color w:val="auto"/>
              </w:rPr>
            </w:pPr>
          </w:p>
        </w:tc>
        <w:tc>
          <w:tcPr>
            <w:tcW w:w="7460" w:type="dxa"/>
            <w:vAlign w:val="bottom"/>
            <w:tcBorders>
              <w:bottom w:val="single" w:sz="8" w:color="010101"/>
            </w:tcBorders>
          </w:tcPr>
          <w:p>
            <w:pPr>
              <w:spacing w:after="0"/>
              <w:rPr>
                <w:sz w:val="11"/>
                <w:szCs w:val="11"/>
                <w:color w:val="auto"/>
              </w:rPr>
            </w:pPr>
          </w:p>
        </w:tc>
      </w:tr>
      <w:tr>
        <w:trPr>
          <w:trHeight w:val="776"/>
        </w:trPr>
        <w:tc>
          <w:tcPr>
            <w:tcW w:w="4000" w:type="dxa"/>
            <w:vAlign w:val="bottom"/>
          </w:tcPr>
          <w:p>
            <w:pPr>
              <w:ind w:left="620"/>
              <w:spacing w:after="0"/>
              <w:rPr>
                <w:sz w:val="20"/>
                <w:szCs w:val="20"/>
                <w:color w:val="auto"/>
              </w:rPr>
            </w:pPr>
            <w:r>
              <w:rPr>
                <w:rFonts w:ascii="Arial" w:cs="Arial" w:eastAsia="Arial" w:hAnsi="Arial"/>
                <w:sz w:val="18"/>
                <w:szCs w:val="18"/>
                <w:color w:val="auto"/>
              </w:rPr>
              <w:t>Default Settlement Method:</w:t>
            </w:r>
          </w:p>
        </w:tc>
        <w:tc>
          <w:tcPr>
            <w:tcW w:w="7460" w:type="dxa"/>
            <w:vAlign w:val="bottom"/>
          </w:tcPr>
          <w:p>
            <w:pPr>
              <w:ind w:left="940"/>
              <w:spacing w:after="0"/>
              <w:rPr>
                <w:sz w:val="20"/>
                <w:szCs w:val="20"/>
                <w:color w:val="auto"/>
              </w:rPr>
            </w:pPr>
            <w:r>
              <w:rPr>
                <w:rFonts w:ascii="Arial" w:cs="Arial" w:eastAsia="Arial" w:hAnsi="Arial"/>
                <w:sz w:val="18"/>
                <w:szCs w:val="18"/>
                <w:color w:val="auto"/>
              </w:rPr>
              <w:t>Net Share Settlement</w:t>
            </w:r>
          </w:p>
        </w:tc>
      </w:tr>
      <w:tr>
        <w:trPr>
          <w:trHeight w:val="430"/>
        </w:trPr>
        <w:tc>
          <w:tcPr>
            <w:tcW w:w="4000" w:type="dxa"/>
            <w:vAlign w:val="bottom"/>
          </w:tcPr>
          <w:p>
            <w:pPr>
              <w:ind w:left="620"/>
              <w:spacing w:after="0"/>
              <w:rPr>
                <w:sz w:val="20"/>
                <w:szCs w:val="20"/>
                <w:color w:val="auto"/>
              </w:rPr>
            </w:pPr>
            <w:r>
              <w:rPr>
                <w:rFonts w:ascii="Arial" w:cs="Arial" w:eastAsia="Arial" w:hAnsi="Arial"/>
                <w:sz w:val="18"/>
                <w:szCs w:val="18"/>
                <w:color w:val="auto"/>
              </w:rPr>
              <w:t>Settlement Currency:</w:t>
            </w:r>
          </w:p>
        </w:tc>
        <w:tc>
          <w:tcPr>
            <w:tcW w:w="7460" w:type="dxa"/>
            <w:vAlign w:val="bottom"/>
          </w:tcPr>
          <w:p>
            <w:pPr>
              <w:ind w:left="940"/>
              <w:spacing w:after="0"/>
              <w:rPr>
                <w:sz w:val="20"/>
                <w:szCs w:val="20"/>
                <w:color w:val="auto"/>
              </w:rPr>
            </w:pPr>
            <w:r>
              <w:rPr>
                <w:rFonts w:ascii="Arial" w:cs="Arial" w:eastAsia="Arial" w:hAnsi="Arial"/>
                <w:sz w:val="18"/>
                <w:szCs w:val="18"/>
                <w:color w:val="auto"/>
              </w:rPr>
              <w:t>USD</w:t>
            </w:r>
          </w:p>
        </w:tc>
      </w:tr>
      <w:tr>
        <w:trPr>
          <w:trHeight w:val="415"/>
        </w:trPr>
        <w:tc>
          <w:tcPr>
            <w:tcW w:w="4000" w:type="dxa"/>
            <w:vAlign w:val="bottom"/>
          </w:tcPr>
          <w:p>
            <w:pPr>
              <w:ind w:left="620"/>
              <w:spacing w:after="0"/>
              <w:rPr>
                <w:sz w:val="20"/>
                <w:szCs w:val="20"/>
                <w:color w:val="auto"/>
              </w:rPr>
            </w:pPr>
            <w:r>
              <w:rPr>
                <w:rFonts w:ascii="Arial" w:cs="Arial" w:eastAsia="Arial" w:hAnsi="Arial"/>
                <w:sz w:val="18"/>
                <w:szCs w:val="18"/>
                <w:color w:val="auto"/>
              </w:rPr>
              <w:t>VWAP Price:</w:t>
            </w:r>
          </w:p>
        </w:tc>
        <w:tc>
          <w:tcPr>
            <w:tcW w:w="7460" w:type="dxa"/>
            <w:vAlign w:val="bottom"/>
          </w:tcPr>
          <w:p>
            <w:pPr>
              <w:ind w:left="940"/>
              <w:spacing w:after="0"/>
              <w:rPr>
                <w:sz w:val="20"/>
                <w:szCs w:val="20"/>
                <w:color w:val="auto"/>
              </w:rPr>
            </w:pPr>
            <w:r>
              <w:rPr>
                <w:rFonts w:ascii="Arial" w:cs="Arial" w:eastAsia="Arial" w:hAnsi="Arial"/>
                <w:sz w:val="18"/>
                <w:szCs w:val="18"/>
                <w:color w:val="auto"/>
                <w:w w:val="95"/>
              </w:rPr>
              <w:t>For any Expiration Date or other Exchange Business Day, as displayed on Bloomberg</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Page “MU.N &lt;Equity&gt; AQR” (or any successor thereto) for the Counterparty with</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3"/>
              </w:rPr>
              <w:t>respect to the period between 9:30 a.m. to 4:00 p.m. (New York City time) on such day,</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as determined by Calculation Agent. If no price is available, or there is a Market</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Disruption Event on such Expiration Date or other Exchange Business Day, the</w:t>
            </w:r>
          </w:p>
        </w:tc>
      </w:tr>
      <w:tr>
        <w:trPr>
          <w:trHeight w:val="229"/>
        </w:trPr>
        <w:tc>
          <w:tcPr>
            <w:tcW w:w="4000" w:type="dxa"/>
            <w:vAlign w:val="bottom"/>
          </w:tcPr>
          <w:p>
            <w:pPr>
              <w:spacing w:after="0"/>
              <w:rPr>
                <w:sz w:val="19"/>
                <w:szCs w:val="19"/>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1"/>
              </w:rPr>
              <w:t>Calculation Agent shall determine the VWAP Price in a commercially reasonable manner.</w:t>
            </w:r>
          </w:p>
        </w:tc>
      </w:tr>
      <w:tr>
        <w:trPr>
          <w:trHeight w:val="430"/>
        </w:trPr>
        <w:tc>
          <w:tcPr>
            <w:tcW w:w="4000" w:type="dxa"/>
            <w:vAlign w:val="bottom"/>
          </w:tcPr>
          <w:p>
            <w:pPr>
              <w:ind w:left="20"/>
              <w:spacing w:after="0"/>
              <w:rPr>
                <w:sz w:val="20"/>
                <w:szCs w:val="20"/>
                <w:color w:val="auto"/>
              </w:rPr>
            </w:pPr>
            <w:r>
              <w:rPr>
                <w:rFonts w:ascii="Arial" w:cs="Arial" w:eastAsia="Arial" w:hAnsi="Arial"/>
                <w:sz w:val="18"/>
                <w:szCs w:val="18"/>
                <w:i w:val="1"/>
                <w:iCs w:val="1"/>
                <w:color w:val="auto"/>
              </w:rPr>
              <w:t>Net Share Settlement:</w:t>
            </w:r>
          </w:p>
        </w:tc>
        <w:tc>
          <w:tcPr>
            <w:tcW w:w="7460" w:type="dxa"/>
            <w:vAlign w:val="bottom"/>
          </w:tcPr>
          <w:p>
            <w:pPr>
              <w:spacing w:after="0"/>
              <w:rPr>
                <w:sz w:val="24"/>
                <w:szCs w:val="24"/>
                <w:color w:val="auto"/>
              </w:rPr>
            </w:pPr>
          </w:p>
        </w:tc>
      </w:tr>
      <w:tr>
        <w:trPr>
          <w:trHeight w:val="415"/>
        </w:trPr>
        <w:tc>
          <w:tcPr>
            <w:tcW w:w="4000" w:type="dxa"/>
            <w:vAlign w:val="bottom"/>
          </w:tcPr>
          <w:p>
            <w:pPr>
              <w:ind w:left="620"/>
              <w:spacing w:after="0"/>
              <w:rPr>
                <w:sz w:val="20"/>
                <w:szCs w:val="20"/>
                <w:color w:val="auto"/>
              </w:rPr>
            </w:pPr>
            <w:r>
              <w:rPr>
                <w:rFonts w:ascii="Arial" w:cs="Arial" w:eastAsia="Arial" w:hAnsi="Arial"/>
                <w:sz w:val="18"/>
                <w:szCs w:val="18"/>
                <w:color w:val="auto"/>
              </w:rPr>
              <w:t>Settlement Date:</w:t>
            </w:r>
          </w:p>
        </w:tc>
        <w:tc>
          <w:tcPr>
            <w:tcW w:w="7460" w:type="dxa"/>
            <w:vAlign w:val="bottom"/>
          </w:tcPr>
          <w:p>
            <w:pPr>
              <w:ind w:left="940"/>
              <w:spacing w:after="0"/>
              <w:rPr>
                <w:sz w:val="20"/>
                <w:szCs w:val="20"/>
                <w:color w:val="auto"/>
              </w:rPr>
            </w:pPr>
            <w:r>
              <w:rPr>
                <w:rFonts w:ascii="Arial" w:cs="Arial" w:eastAsia="Arial" w:hAnsi="Arial"/>
                <w:sz w:val="18"/>
                <w:szCs w:val="18"/>
                <w:color w:val="auto"/>
                <w:w w:val="93"/>
              </w:rPr>
              <w:t>The Settlement Date shall be the third Scheduled Trading Day after the Expiration Date</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4"/>
              </w:rPr>
              <w:t>for the Component (or, in respect of all or part of its obligation to deliver the Number of</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1"/>
              </w:rPr>
              <w:t>Shares to be Delivered, such other earlier date or dates Dealer shall determine in its sole</w:t>
            </w:r>
          </w:p>
        </w:tc>
      </w:tr>
      <w:tr>
        <w:trPr>
          <w:trHeight w:val="229"/>
        </w:trPr>
        <w:tc>
          <w:tcPr>
            <w:tcW w:w="4000" w:type="dxa"/>
            <w:vAlign w:val="bottom"/>
          </w:tcPr>
          <w:p>
            <w:pPr>
              <w:spacing w:after="0"/>
              <w:rPr>
                <w:sz w:val="19"/>
                <w:szCs w:val="19"/>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discretion).</w:t>
            </w:r>
          </w:p>
        </w:tc>
      </w:tr>
      <w:tr>
        <w:trPr>
          <w:trHeight w:val="415"/>
        </w:trPr>
        <w:tc>
          <w:tcPr>
            <w:tcW w:w="4000" w:type="dxa"/>
            <w:vAlign w:val="bottom"/>
          </w:tcPr>
          <w:p>
            <w:pPr>
              <w:ind w:left="620"/>
              <w:spacing w:after="0"/>
              <w:rPr>
                <w:sz w:val="20"/>
                <w:szCs w:val="20"/>
                <w:color w:val="auto"/>
              </w:rPr>
            </w:pPr>
            <w:r>
              <w:rPr>
                <w:rFonts w:ascii="Arial" w:cs="Arial" w:eastAsia="Arial" w:hAnsi="Arial"/>
                <w:sz w:val="18"/>
                <w:szCs w:val="18"/>
                <w:color w:val="auto"/>
              </w:rPr>
              <w:t>Net Share Settlement:</w:t>
            </w:r>
          </w:p>
        </w:tc>
        <w:tc>
          <w:tcPr>
            <w:tcW w:w="7460" w:type="dxa"/>
            <w:vAlign w:val="bottom"/>
          </w:tcPr>
          <w:p>
            <w:pPr>
              <w:ind w:left="940"/>
              <w:spacing w:after="0"/>
              <w:rPr>
                <w:sz w:val="20"/>
                <w:szCs w:val="20"/>
                <w:color w:val="auto"/>
              </w:rPr>
            </w:pPr>
            <w:r>
              <w:rPr>
                <w:rFonts w:ascii="Arial" w:cs="Arial" w:eastAsia="Arial" w:hAnsi="Arial"/>
                <w:sz w:val="18"/>
                <w:szCs w:val="18"/>
                <w:color w:val="auto"/>
                <w:w w:val="90"/>
              </w:rPr>
              <w:t>If Net Share Settlement applies, on the Settlement Date for each Component, Dealer shall</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deliver to Counterparty a number of Shares equal to the Number of Shares to be</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2"/>
              </w:rPr>
              <w:t>Delivered for such Component to the account specified by Counterparty and cash in lieu</w:t>
            </w:r>
          </w:p>
        </w:tc>
      </w:tr>
      <w:tr>
        <w:trPr>
          <w:trHeight w:val="215"/>
        </w:trPr>
        <w:tc>
          <w:tcPr>
            <w:tcW w:w="4000" w:type="dxa"/>
            <w:vAlign w:val="bottom"/>
          </w:tcPr>
          <w:p>
            <w:pPr>
              <w:spacing w:after="0"/>
              <w:rPr>
                <w:sz w:val="18"/>
                <w:szCs w:val="18"/>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w w:val="92"/>
              </w:rPr>
              <w:t>of any fractional shares for such Component valued at the VWAP Price on the Expiration</w:t>
            </w:r>
          </w:p>
        </w:tc>
      </w:tr>
      <w:tr>
        <w:trPr>
          <w:trHeight w:val="229"/>
        </w:trPr>
        <w:tc>
          <w:tcPr>
            <w:tcW w:w="4000" w:type="dxa"/>
            <w:vAlign w:val="bottom"/>
          </w:tcPr>
          <w:p>
            <w:pPr>
              <w:spacing w:after="0"/>
              <w:rPr>
                <w:sz w:val="19"/>
                <w:szCs w:val="19"/>
                <w:color w:val="auto"/>
              </w:rPr>
            </w:pPr>
          </w:p>
        </w:tc>
        <w:tc>
          <w:tcPr>
            <w:tcW w:w="7460" w:type="dxa"/>
            <w:vAlign w:val="bottom"/>
          </w:tcPr>
          <w:p>
            <w:pPr>
              <w:ind w:left="940"/>
              <w:spacing w:after="0"/>
              <w:rPr>
                <w:sz w:val="20"/>
                <w:szCs w:val="20"/>
                <w:color w:val="auto"/>
              </w:rPr>
            </w:pPr>
            <w:r>
              <w:rPr>
                <w:rFonts w:ascii="Arial" w:cs="Arial" w:eastAsia="Arial" w:hAnsi="Arial"/>
                <w:sz w:val="18"/>
                <w:szCs w:val="18"/>
                <w:color w:val="auto"/>
              </w:rPr>
              <w:t>Date for such Component.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-3522980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-3522980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2" w:right="19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29"/>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Number of Shares to be Delivered:</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2"/>
              </w:rPr>
              <w:t>For any Component, subject to the last sentence of Section 9.5 of the Equity Definitions:</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7"/>
              </w:rPr>
              <w:t>(i) if the VWAP Price on the Expiration Date for such Component exceeds the Strike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0"/>
              </w:rPr>
              <w:t>Price for such Component but is less than the Cap Price for such Component, a number of</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5"/>
              </w:rPr>
              <w:t>Shares equal to (i) the product of (A) the excess of such VWAP Price over such Strike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5"/>
              </w:rPr>
              <w:t>Price, (B) the Number of Options for such Component and (C) the Option Entitlement,</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i w:val="1"/>
                <w:iCs w:val="1"/>
                <w:color w:val="auto"/>
              </w:rPr>
              <w:t xml:space="preserve">divided by </w:t>
            </w:r>
            <w:r>
              <w:rPr>
                <w:rFonts w:ascii="Arial" w:cs="Arial" w:eastAsia="Arial" w:hAnsi="Arial"/>
                <w:sz w:val="18"/>
                <w:szCs w:val="18"/>
                <w:color w:val="auto"/>
              </w:rPr>
              <w:t>(ii) such VWAP Price;</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2"/>
              </w:rPr>
              <w:t>(ii) if the VWAP Price on the Expiration Date for such Component equals or exceeds the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5"/>
              </w:rPr>
              <w:t>Cap Price for such Component, a number of Shares equal to (i) the product of (A) the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excess of such Cap Price over the Strike Price for such Component, (B) the Number of</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 xml:space="preserve">Options for such Component and (C) the Option Entitlement, </w:t>
            </w:r>
            <w:r>
              <w:rPr>
                <w:rFonts w:ascii="Arial" w:cs="Arial" w:eastAsia="Arial" w:hAnsi="Arial"/>
                <w:sz w:val="18"/>
                <w:szCs w:val="18"/>
                <w:i w:val="1"/>
                <w:iCs w:val="1"/>
                <w:color w:val="auto"/>
                <w:w w:val="93"/>
              </w:rPr>
              <w:t>divided by</w:t>
            </w:r>
            <w:r>
              <w:rPr>
                <w:rFonts w:ascii="Arial" w:cs="Arial" w:eastAsia="Arial" w:hAnsi="Arial"/>
                <w:sz w:val="18"/>
                <w:szCs w:val="18"/>
                <w:color w:val="auto"/>
                <w:w w:val="93"/>
              </w:rPr>
              <w:t xml:space="preserve"> (ii) such VWAP</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Price; or</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(iii) if the VWAP Price on the Expiration Date for such Component is less than or equal</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to the Strike Price for such Component, a number of Shares equal to zero.</w:t>
            </w:r>
          </w:p>
        </w:tc>
      </w:tr>
      <w:tr>
        <w:trPr>
          <w:trHeight w:val="415"/>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Other Applicable Provisions: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The provisions of Sections 9.1(c), 9.8, 9.9, 9.10, 9.11 and 9.12 of the Equity Definitions</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 xml:space="preserve">will be applicable, as if Physical Settlement applied to the Transaction;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Representation and Agreement contained in Section 9.11 of the Equity Definitions shall</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be modified by excluding any representations therein relating to restrictions, obligations,</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5"/>
              </w:rPr>
              <w:t>limitations or requirements under applicable securities laws as a result of the fact that</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Counterparty is the issuer of any Shares.</w:t>
            </w:r>
          </w:p>
        </w:tc>
      </w:tr>
      <w:tr>
        <w:trPr>
          <w:trHeight w:val="430"/>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580" w:type="dxa"/>
            <w:vAlign w:val="bottom"/>
          </w:tcPr>
          <w:p>
            <w:pPr>
              <w:ind w:left="1640"/>
              <w:spacing w:after="0"/>
              <w:rPr>
                <w:sz w:val="20"/>
                <w:szCs w:val="20"/>
                <w:color w:val="auto"/>
              </w:rPr>
            </w:pPr>
            <w:r>
              <w:rPr>
                <w:rFonts w:ascii="Arial" w:cs="Arial" w:eastAsia="Arial" w:hAnsi="Arial"/>
                <w:sz w:val="18"/>
                <w:szCs w:val="18"/>
                <w:color w:val="auto"/>
              </w:rPr>
              <w:t>5</w:t>
            </w: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31"/>
        </w:trPr>
        <w:tc>
          <w:tcPr>
            <w:tcW w:w="126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r>
      <w:tr>
        <w:trPr>
          <w:trHeight w:val="776"/>
        </w:trPr>
        <w:tc>
          <w:tcPr>
            <w:tcW w:w="1260" w:type="dxa"/>
            <w:vAlign w:val="bottom"/>
          </w:tcPr>
          <w:p>
            <w:pPr>
              <w:ind w:left="20"/>
              <w:spacing w:after="0"/>
              <w:rPr>
                <w:sz w:val="20"/>
                <w:szCs w:val="20"/>
                <w:color w:val="auto"/>
              </w:rPr>
            </w:pPr>
            <w:r>
              <w:rPr>
                <w:rFonts w:ascii="Arial" w:cs="Arial" w:eastAsia="Arial" w:hAnsi="Arial"/>
                <w:sz w:val="18"/>
                <w:szCs w:val="18"/>
                <w:i w:val="1"/>
                <w:iCs w:val="1"/>
                <w:color w:val="auto"/>
                <w:w w:val="88"/>
              </w:rPr>
              <w:t>Cash Settlement:</w:t>
            </w:r>
          </w:p>
        </w:tc>
        <w:tc>
          <w:tcPr>
            <w:tcW w:w="2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5"/>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Cash Settlement Payment Date:</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4"/>
              </w:rPr>
              <w:t>The Cash Settlement Payment Date shall be the third Scheduled Trading Day after the</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Expiration Date for each Component.</w:t>
            </w:r>
          </w:p>
        </w:tc>
      </w:tr>
      <w:tr>
        <w:trPr>
          <w:trHeight w:val="415"/>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Cash Settlement:</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7"/>
              </w:rPr>
              <w:t>If Cash Settlement applies, on the relevant Cash Settlement Payment Date for such</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3"/>
              </w:rPr>
              <w:t>Component, Dealer shall pay to Counterparty an amount equal to the sum of the Option</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3"/>
              </w:rPr>
              <w:t>Cash Settlement Amount for each Component to the account specified by Counterparty.</w:t>
            </w:r>
          </w:p>
        </w:tc>
      </w:tr>
      <w:tr>
        <w:trPr>
          <w:trHeight w:val="430"/>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Strike Price Differential:</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For any Component:</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7"/>
              </w:rPr>
              <w:t>(i) if the VWAP Price on the Expiration Date for such Component exceeds the Strike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1"/>
              </w:rPr>
              <w:t>Price for such Component but is less than the Cap Price for such Component, an amount</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equal to the excess of such VWAP Price over such Strike Price.</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3"/>
              </w:rPr>
              <w:t>(ii) if the VWAP Price on the Expiration Date for such Component equals or exceeds the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0"/>
              </w:rPr>
              <w:t>Cap Price for such Component, an amount equal to the excess of such Cap Price over the</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Strike Price for such Component; or</w:t>
            </w:r>
          </w:p>
        </w:tc>
      </w:tr>
      <w:tr>
        <w:trPr>
          <w:trHeight w:val="415"/>
        </w:trPr>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4"/>
              </w:rPr>
              <w:t>(iii) if the VWAP Price on the Expiration Date for such Component is less than or equal</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to the Strike Price for such Component, zero.</w:t>
            </w:r>
          </w:p>
        </w:tc>
      </w:tr>
      <w:tr>
        <w:trPr>
          <w:trHeight w:val="4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Share Adjustments:</w:t>
            </w: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5"/>
        </w:trPr>
        <w:tc>
          <w:tcPr>
            <w:tcW w:w="4020" w:type="dxa"/>
            <w:vAlign w:val="bottom"/>
            <w:gridSpan w:val="2"/>
          </w:tcPr>
          <w:p>
            <w:pPr>
              <w:ind w:left="620"/>
              <w:spacing w:after="0"/>
              <w:rPr>
                <w:sz w:val="20"/>
                <w:szCs w:val="20"/>
                <w:color w:val="auto"/>
              </w:rPr>
            </w:pPr>
            <w:r>
              <w:rPr>
                <w:rFonts w:ascii="Arial" w:cs="Arial" w:eastAsia="Arial" w:hAnsi="Arial"/>
                <w:sz w:val="18"/>
                <w:szCs w:val="18"/>
                <w:color w:val="auto"/>
              </w:rPr>
              <w:t>Method of Adjustment:</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3"/>
              </w:rPr>
              <w:t>Calculation Agent Adjustment; provided that under Section 11.2(e)(v) of the definition of</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Potential Adjustment Event the word “repurchase” shall be replaced with the word</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“tender offer”.</w:t>
            </w:r>
          </w:p>
        </w:tc>
      </w:tr>
      <w:tr>
        <w:trPr>
          <w:trHeight w:val="4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Extraordinary Events:</w:t>
            </w: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5"/>
        </w:trPr>
        <w:tc>
          <w:tcPr>
            <w:tcW w:w="1260" w:type="dxa"/>
            <w:vAlign w:val="bottom"/>
          </w:tcPr>
          <w:p>
            <w:pPr>
              <w:ind w:left="20"/>
              <w:spacing w:after="0"/>
              <w:rPr>
                <w:sz w:val="20"/>
                <w:szCs w:val="20"/>
                <w:color w:val="auto"/>
              </w:rPr>
            </w:pPr>
            <w:r>
              <w:rPr>
                <w:rFonts w:ascii="Arial" w:cs="Arial" w:eastAsia="Arial" w:hAnsi="Arial"/>
                <w:sz w:val="18"/>
                <w:szCs w:val="18"/>
                <w:color w:val="auto"/>
              </w:rPr>
              <w:t>New Shares:</w:t>
            </w:r>
          </w:p>
        </w:tc>
        <w:tc>
          <w:tcPr>
            <w:tcW w:w="2760" w:type="dxa"/>
            <w:vAlign w:val="bottom"/>
          </w:tcPr>
          <w:p>
            <w:pPr>
              <w:spacing w:after="0"/>
              <w:rPr>
                <w:sz w:val="24"/>
                <w:szCs w:val="24"/>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5"/>
              </w:rPr>
              <w:t>In the definition of “New Shares” in Section 12.1(i) of the Equity Definitions, the text in</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subsection (i) shall be deleted in its entirety and replaced with: “publicly quoted, traded or</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listed on any of the New York Stock Exchange, the NASDAQ Global Select Market or the</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NASDAQ Global Market (or their respective successors)”.</w:t>
            </w:r>
          </w:p>
        </w:tc>
      </w:tr>
      <w:tr>
        <w:trPr>
          <w:trHeight w:val="4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Consequences of Merger Events:</w:t>
            </w:r>
          </w:p>
        </w:tc>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5"/>
        </w:trPr>
        <w:tc>
          <w:tcPr>
            <w:tcW w:w="1260" w:type="dxa"/>
            <w:vAlign w:val="bottom"/>
          </w:tcPr>
          <w:p>
            <w:pPr>
              <w:ind w:left="620"/>
              <w:spacing w:after="0"/>
              <w:rPr>
                <w:sz w:val="20"/>
                <w:szCs w:val="20"/>
                <w:color w:val="auto"/>
              </w:rPr>
            </w:pPr>
            <w:r>
              <w:rPr>
                <w:rFonts w:ascii="Arial" w:cs="Arial" w:eastAsia="Arial" w:hAnsi="Arial"/>
                <w:sz w:val="18"/>
                <w:szCs w:val="18"/>
                <w:color w:val="auto"/>
              </w:rPr>
              <w:t>(a)</w:t>
            </w:r>
          </w:p>
        </w:tc>
        <w:tc>
          <w:tcPr>
            <w:tcW w:w="2760" w:type="dxa"/>
            <w:vAlign w:val="bottom"/>
          </w:tcPr>
          <w:p>
            <w:pPr>
              <w:ind w:left="20"/>
              <w:spacing w:after="0"/>
              <w:rPr>
                <w:sz w:val="20"/>
                <w:szCs w:val="20"/>
                <w:color w:val="auto"/>
              </w:rPr>
            </w:pPr>
            <w:r>
              <w:rPr>
                <w:rFonts w:ascii="Arial" w:cs="Arial" w:eastAsia="Arial" w:hAnsi="Arial"/>
                <w:sz w:val="18"/>
                <w:szCs w:val="18"/>
                <w:color w:val="auto"/>
              </w:rPr>
              <w:t>Share-for-Share:</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Modified Calculation Agent Adjustment and, for the avoidance of doubt, if the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1"/>
              </w:rPr>
              <w:t>consideration for the Shares includes (or, at the option of a holder of Shares, may include)</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1"/>
              </w:rPr>
              <w:t>shares of an entity or person not organized under the laws of the United States, any State</w:t>
            </w:r>
          </w:p>
        </w:tc>
      </w:tr>
      <w:tr>
        <w:trPr>
          <w:trHeight w:val="189"/>
        </w:trPr>
        <w:tc>
          <w:tcPr>
            <w:tcW w:w="1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440" w:type="dxa"/>
            <w:vAlign w:val="bottom"/>
            <w:gridSpan w:val="3"/>
          </w:tcPr>
          <w:p>
            <w:pPr>
              <w:ind w:left="900"/>
              <w:spacing w:after="0" w:line="189" w:lineRule="exact"/>
              <w:rPr>
                <w:sz w:val="20"/>
                <w:szCs w:val="20"/>
                <w:color w:val="auto"/>
              </w:rPr>
            </w:pPr>
            <w:r>
              <w:rPr>
                <w:rFonts w:ascii="Arial" w:cs="Arial" w:eastAsia="Arial" w:hAnsi="Arial"/>
                <w:sz w:val="18"/>
                <w:szCs w:val="18"/>
                <w:color w:val="auto"/>
                <w:w w:val="93"/>
              </w:rPr>
              <w:t>thereof or the District of Columbia (“Foreign Issuer Shares”), then the Calculation Agent</w:t>
            </w:r>
          </w:p>
        </w:tc>
      </w:tr>
      <w:tr>
        <w:trPr>
          <w:trHeight w:val="20"/>
        </w:trPr>
        <w:tc>
          <w:tcPr>
            <w:tcW w:w="1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21"/>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1"/>
              </w:rPr>
              <w:t>may choose to apply Cancellation and Payment (Calculation Agent Determination) to that</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portion of the consideration comprising Foreign Issuer Shares.</w:t>
            </w:r>
          </w:p>
        </w:tc>
      </w:tr>
      <w:tr>
        <w:trPr>
          <w:trHeight w:val="415"/>
        </w:trPr>
        <w:tc>
          <w:tcPr>
            <w:tcW w:w="1260" w:type="dxa"/>
            <w:vAlign w:val="bottom"/>
          </w:tcPr>
          <w:p>
            <w:pPr>
              <w:ind w:left="620"/>
              <w:spacing w:after="0"/>
              <w:rPr>
                <w:sz w:val="20"/>
                <w:szCs w:val="20"/>
                <w:color w:val="auto"/>
              </w:rPr>
            </w:pPr>
            <w:r>
              <w:rPr>
                <w:rFonts w:ascii="Arial" w:cs="Arial" w:eastAsia="Arial" w:hAnsi="Arial"/>
                <w:sz w:val="18"/>
                <w:szCs w:val="18"/>
                <w:color w:val="auto"/>
              </w:rPr>
              <w:t>(b)</w:t>
            </w:r>
          </w:p>
        </w:tc>
        <w:tc>
          <w:tcPr>
            <w:tcW w:w="2760" w:type="dxa"/>
            <w:vAlign w:val="bottom"/>
          </w:tcPr>
          <w:p>
            <w:pPr>
              <w:ind w:left="20"/>
              <w:spacing w:after="0"/>
              <w:rPr>
                <w:sz w:val="20"/>
                <w:szCs w:val="20"/>
                <w:color w:val="auto"/>
              </w:rPr>
            </w:pPr>
            <w:r>
              <w:rPr>
                <w:rFonts w:ascii="Arial" w:cs="Arial" w:eastAsia="Arial" w:hAnsi="Arial"/>
                <w:sz w:val="18"/>
                <w:szCs w:val="18"/>
                <w:color w:val="auto"/>
              </w:rPr>
              <w:t>Share-for-Other:</w:t>
            </w: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2"/>
              </w:rPr>
              <w:t>Cancellation and Payment (Calculation Agent Determination) on that portion of the Other</w:t>
            </w:r>
          </w:p>
        </w:tc>
      </w:tr>
      <w:tr>
        <w:trPr>
          <w:trHeight w:val="215"/>
        </w:trPr>
        <w:tc>
          <w:tcPr>
            <w:tcW w:w="1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w w:val="99"/>
              </w:rPr>
              <w:t>Consideration that consists of cash; Modified Calculation Agent Adjustment on the</w:t>
            </w:r>
          </w:p>
        </w:tc>
      </w:tr>
      <w:tr>
        <w:trPr>
          <w:trHeight w:val="229"/>
        </w:trPr>
        <w:tc>
          <w:tcPr>
            <w:tcW w:w="12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440" w:type="dxa"/>
            <w:vAlign w:val="bottom"/>
            <w:gridSpan w:val="3"/>
          </w:tcPr>
          <w:p>
            <w:pPr>
              <w:ind w:left="900"/>
              <w:spacing w:after="0"/>
              <w:rPr>
                <w:sz w:val="20"/>
                <w:szCs w:val="20"/>
                <w:color w:val="auto"/>
              </w:rPr>
            </w:pPr>
            <w:r>
              <w:rPr>
                <w:rFonts w:ascii="Arial" w:cs="Arial" w:eastAsia="Arial" w:hAnsi="Arial"/>
                <w:sz w:val="18"/>
                <w:szCs w:val="18"/>
                <w:color w:val="auto"/>
              </w:rPr>
              <w:t>remainder of the Other Consideration and, for the avoidance of doubt, if the 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-6797040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-6797040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w w:val="97"/>
              </w:rPr>
              <w:t>Consideration includes (or, at the option of a holder of Shares, may include) Foreign</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Issuer Shares, then the Calculation Agent may</w:t>
            </w:r>
          </w:p>
        </w:tc>
      </w:tr>
      <w:tr>
        <w:trPr>
          <w:trHeight w:val="430"/>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40" w:type="dxa"/>
            <w:vAlign w:val="bottom"/>
          </w:tcPr>
          <w:p>
            <w:pPr>
              <w:ind w:left="1440"/>
              <w:spacing w:after="0"/>
              <w:rPr>
                <w:sz w:val="20"/>
                <w:szCs w:val="20"/>
                <w:color w:val="auto"/>
              </w:rPr>
            </w:pPr>
            <w:r>
              <w:rPr>
                <w:rFonts w:ascii="Arial" w:cs="Arial" w:eastAsia="Arial" w:hAnsi="Arial"/>
                <w:sz w:val="18"/>
                <w:szCs w:val="18"/>
                <w:color w:val="auto"/>
              </w:rPr>
              <w:t>6</w:t>
            </w:r>
          </w:p>
        </w:tc>
      </w:tr>
      <w:tr>
        <w:trPr>
          <w:trHeight w:val="131"/>
        </w:trPr>
        <w:tc>
          <w:tcPr>
            <w:tcW w:w="116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7240" w:type="dxa"/>
            <w:vAlign w:val="bottom"/>
            <w:tcBorders>
              <w:bottom w:val="single" w:sz="8" w:color="010101"/>
            </w:tcBorders>
          </w:tcPr>
          <w:p>
            <w:pPr>
              <w:spacing w:after="0"/>
              <w:rPr>
                <w:sz w:val="11"/>
                <w:szCs w:val="11"/>
                <w:color w:val="auto"/>
              </w:rPr>
            </w:pPr>
          </w:p>
        </w:tc>
      </w:tr>
      <w:tr>
        <w:trPr>
          <w:trHeight w:val="76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7"/>
              </w:rPr>
              <w:t>choose to apply Cancellation and Payment (Calculation Agent Determination) to that</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portion of the Other Consideration comprising Foreign Issuer Shares.</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(c)</w:t>
            </w:r>
          </w:p>
        </w:tc>
        <w:tc>
          <w:tcPr>
            <w:tcW w:w="3060" w:type="dxa"/>
            <w:vAlign w:val="bottom"/>
          </w:tcPr>
          <w:p>
            <w:pPr>
              <w:ind w:left="120"/>
              <w:spacing w:after="0"/>
              <w:rPr>
                <w:sz w:val="20"/>
                <w:szCs w:val="20"/>
                <w:color w:val="auto"/>
              </w:rPr>
            </w:pPr>
            <w:r>
              <w:rPr>
                <w:rFonts w:ascii="Arial" w:cs="Arial" w:eastAsia="Arial" w:hAnsi="Arial"/>
                <w:sz w:val="18"/>
                <w:szCs w:val="18"/>
                <w:color w:val="auto"/>
              </w:rPr>
              <w:t>Share-for-Combined:</w:t>
            </w:r>
          </w:p>
        </w:tc>
        <w:tc>
          <w:tcPr>
            <w:tcW w:w="7240" w:type="dxa"/>
            <w:vAlign w:val="bottom"/>
          </w:tcPr>
          <w:p>
            <w:pPr>
              <w:ind w:left="680"/>
              <w:spacing w:after="0"/>
              <w:rPr>
                <w:sz w:val="20"/>
                <w:szCs w:val="20"/>
                <w:color w:val="auto"/>
              </w:rPr>
            </w:pPr>
            <w:r>
              <w:rPr>
                <w:rFonts w:ascii="Arial" w:cs="Arial" w:eastAsia="Arial" w:hAnsi="Arial"/>
                <w:sz w:val="18"/>
                <w:szCs w:val="18"/>
                <w:color w:val="auto"/>
              </w:rPr>
              <w:t>Component Adjustment</w:t>
            </w:r>
          </w:p>
        </w:tc>
      </w:tr>
      <w:tr>
        <w:trPr>
          <w:trHeight w:val="415"/>
        </w:trPr>
        <w:tc>
          <w:tcPr>
            <w:tcW w:w="1160" w:type="dxa"/>
            <w:vAlign w:val="bottom"/>
          </w:tcPr>
          <w:p>
            <w:pPr>
              <w:ind w:left="20"/>
              <w:spacing w:after="0"/>
              <w:rPr>
                <w:sz w:val="20"/>
                <w:szCs w:val="20"/>
                <w:color w:val="auto"/>
              </w:rPr>
            </w:pPr>
            <w:r>
              <w:rPr>
                <w:rFonts w:ascii="Arial" w:cs="Arial" w:eastAsia="Arial" w:hAnsi="Arial"/>
                <w:sz w:val="18"/>
                <w:szCs w:val="18"/>
                <w:color w:val="auto"/>
              </w:rPr>
              <w:t>Tender Offer:</w:t>
            </w:r>
          </w:p>
        </w:tc>
        <w:tc>
          <w:tcPr>
            <w:tcW w:w="3060" w:type="dxa"/>
            <w:vAlign w:val="bottom"/>
          </w:tcPr>
          <w:p>
            <w:pPr>
              <w:spacing w:after="0"/>
              <w:rPr>
                <w:sz w:val="24"/>
                <w:szCs w:val="24"/>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2"/>
              </w:rPr>
              <w:t>Applicable; provided that (a) Section 12.1(d) of the Equity Definitions is hereby amended</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by replacing the words “10%” in the third line with “50%”.</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Consequences of Tender Offers:</w:t>
            </w:r>
          </w:p>
        </w:tc>
        <w:tc>
          <w:tcPr>
            <w:tcW w:w="7240" w:type="dxa"/>
            <w:vAlign w:val="bottom"/>
          </w:tcPr>
          <w:p>
            <w:pPr>
              <w:spacing w:after="0"/>
              <w:rPr>
                <w:sz w:val="24"/>
                <w:szCs w:val="24"/>
                <w:color w:val="auto"/>
              </w:rPr>
            </w:pP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(a)</w:t>
            </w:r>
          </w:p>
        </w:tc>
        <w:tc>
          <w:tcPr>
            <w:tcW w:w="3060" w:type="dxa"/>
            <w:vAlign w:val="bottom"/>
          </w:tcPr>
          <w:p>
            <w:pPr>
              <w:ind w:left="120"/>
              <w:spacing w:after="0"/>
              <w:rPr>
                <w:sz w:val="20"/>
                <w:szCs w:val="20"/>
                <w:color w:val="auto"/>
              </w:rPr>
            </w:pPr>
            <w:r>
              <w:rPr>
                <w:rFonts w:ascii="Arial" w:cs="Arial" w:eastAsia="Arial" w:hAnsi="Arial"/>
                <w:sz w:val="18"/>
                <w:szCs w:val="18"/>
                <w:color w:val="auto"/>
              </w:rPr>
              <w:t>Share-for-Share:</w:t>
            </w:r>
          </w:p>
        </w:tc>
        <w:tc>
          <w:tcPr>
            <w:tcW w:w="7240" w:type="dxa"/>
            <w:vAlign w:val="bottom"/>
          </w:tcPr>
          <w:p>
            <w:pPr>
              <w:ind w:left="680"/>
              <w:spacing w:after="0"/>
              <w:rPr>
                <w:sz w:val="20"/>
                <w:szCs w:val="20"/>
                <w:color w:val="auto"/>
              </w:rPr>
            </w:pPr>
            <w:r>
              <w:rPr>
                <w:rFonts w:ascii="Arial" w:cs="Arial" w:eastAsia="Arial" w:hAnsi="Arial"/>
                <w:sz w:val="18"/>
                <w:szCs w:val="18"/>
                <w:color w:val="auto"/>
              </w:rPr>
              <w:t>Modified Calculation Agent Adjustment</w:t>
            </w:r>
          </w:p>
        </w:tc>
      </w:tr>
      <w:tr>
        <w:trPr>
          <w:trHeight w:val="415"/>
        </w:trPr>
        <w:tc>
          <w:tcPr>
            <w:tcW w:w="1160" w:type="dxa"/>
            <w:vAlign w:val="bottom"/>
          </w:tcPr>
          <w:p>
            <w:pPr>
              <w:ind w:left="620"/>
              <w:spacing w:after="0"/>
              <w:rPr>
                <w:sz w:val="20"/>
                <w:szCs w:val="20"/>
                <w:color w:val="auto"/>
              </w:rPr>
            </w:pPr>
            <w:r>
              <w:rPr>
                <w:rFonts w:ascii="Arial" w:cs="Arial" w:eastAsia="Arial" w:hAnsi="Arial"/>
                <w:sz w:val="18"/>
                <w:szCs w:val="18"/>
                <w:color w:val="auto"/>
              </w:rPr>
              <w:t>(b)</w:t>
            </w:r>
          </w:p>
        </w:tc>
        <w:tc>
          <w:tcPr>
            <w:tcW w:w="3060" w:type="dxa"/>
            <w:vAlign w:val="bottom"/>
          </w:tcPr>
          <w:p>
            <w:pPr>
              <w:ind w:left="120"/>
              <w:spacing w:after="0"/>
              <w:rPr>
                <w:sz w:val="20"/>
                <w:szCs w:val="20"/>
                <w:color w:val="auto"/>
              </w:rPr>
            </w:pPr>
            <w:r>
              <w:rPr>
                <w:rFonts w:ascii="Arial" w:cs="Arial" w:eastAsia="Arial" w:hAnsi="Arial"/>
                <w:sz w:val="18"/>
                <w:szCs w:val="18"/>
                <w:color w:val="auto"/>
              </w:rPr>
              <w:t>Share-for-Other:</w:t>
            </w:r>
          </w:p>
        </w:tc>
        <w:tc>
          <w:tcPr>
            <w:tcW w:w="7240" w:type="dxa"/>
            <w:vAlign w:val="bottom"/>
          </w:tcPr>
          <w:p>
            <w:pPr>
              <w:ind w:left="680"/>
              <w:spacing w:after="0"/>
              <w:rPr>
                <w:sz w:val="20"/>
                <w:szCs w:val="20"/>
                <w:color w:val="auto"/>
              </w:rPr>
            </w:pPr>
            <w:r>
              <w:rPr>
                <w:rFonts w:ascii="Arial" w:cs="Arial" w:eastAsia="Arial" w:hAnsi="Arial"/>
                <w:sz w:val="18"/>
                <w:szCs w:val="18"/>
                <w:color w:val="auto"/>
                <w:w w:val="92"/>
              </w:rPr>
              <w:t>Cancellation and Payment (Calculation Agent Determination) on that portion of the Other</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Consideration that consists of cash; Modified Calculation Agent Adjustment on the</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remainder of the Other Consideration and, for the avoidance of doubt, if the Other</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0"/>
              </w:rPr>
              <w:t>Consideration includes (or, at the option of a holder of Shares, may include) Foreign Issuer</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8"/>
              </w:rPr>
              <w:t>Shares, then the Calculation Agent may choose to apply Cancellation and Payment</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4"/>
              </w:rPr>
              <w:t>(Calculation Agent Determination) to that portion of the Other Consideration comprising</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Foreign Issuer Shares.</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(c)</w:t>
            </w:r>
          </w:p>
        </w:tc>
        <w:tc>
          <w:tcPr>
            <w:tcW w:w="3060" w:type="dxa"/>
            <w:vAlign w:val="bottom"/>
          </w:tcPr>
          <w:p>
            <w:pPr>
              <w:ind w:left="120"/>
              <w:spacing w:after="0"/>
              <w:rPr>
                <w:sz w:val="20"/>
                <w:szCs w:val="20"/>
                <w:color w:val="auto"/>
              </w:rPr>
            </w:pPr>
            <w:r>
              <w:rPr>
                <w:rFonts w:ascii="Arial" w:cs="Arial" w:eastAsia="Arial" w:hAnsi="Arial"/>
                <w:sz w:val="18"/>
                <w:szCs w:val="18"/>
                <w:color w:val="auto"/>
              </w:rPr>
              <w:t>Share-for-Combined:</w:t>
            </w:r>
          </w:p>
        </w:tc>
        <w:tc>
          <w:tcPr>
            <w:tcW w:w="7240" w:type="dxa"/>
            <w:vAlign w:val="bottom"/>
          </w:tcPr>
          <w:p>
            <w:pPr>
              <w:ind w:left="680"/>
              <w:spacing w:after="0"/>
              <w:rPr>
                <w:sz w:val="20"/>
                <w:szCs w:val="20"/>
                <w:color w:val="auto"/>
              </w:rPr>
            </w:pPr>
            <w:r>
              <w:rPr>
                <w:rFonts w:ascii="Arial" w:cs="Arial" w:eastAsia="Arial" w:hAnsi="Arial"/>
                <w:sz w:val="18"/>
                <w:szCs w:val="18"/>
                <w:color w:val="auto"/>
              </w:rPr>
              <w:t>Component Adjustment</w:t>
            </w:r>
          </w:p>
        </w:tc>
      </w:tr>
      <w:tr>
        <w:trPr>
          <w:trHeight w:val="415"/>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Nationalization, Insolvency or Delisting:</w:t>
            </w:r>
          </w:p>
        </w:tc>
        <w:tc>
          <w:tcPr>
            <w:tcW w:w="7240" w:type="dxa"/>
            <w:vAlign w:val="bottom"/>
          </w:tcPr>
          <w:p>
            <w:pPr>
              <w:ind w:left="680"/>
              <w:spacing w:after="0"/>
              <w:rPr>
                <w:sz w:val="20"/>
                <w:szCs w:val="20"/>
                <w:color w:val="auto"/>
              </w:rPr>
            </w:pPr>
            <w:r>
              <w:rPr>
                <w:rFonts w:ascii="Arial" w:cs="Arial" w:eastAsia="Arial" w:hAnsi="Arial"/>
                <w:sz w:val="18"/>
                <w:szCs w:val="18"/>
                <w:color w:val="auto"/>
                <w:w w:val="92"/>
              </w:rPr>
              <w:t>Cancellation and Payment (Calculation Agent Determination); provided that in addition to</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7"/>
              </w:rPr>
              <w:t>the provisions of Section 12.6(a)(iii) of the Equity Definitions, it shall also constitute a</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Delisting if the Exchange is located in the United States and the Shares are not</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1"/>
              </w:rPr>
              <w:t>immediately re-listed, re-traded or re-quoted on any of the New York Stock Exchange, the</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NASDAQ Global Select Market or the NASDAQ Global Market (or their respective</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3"/>
              </w:rPr>
              <w:t>successors); if the Shares are immediately re-listed, re-traded or re-quoted on any such</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1"/>
              </w:rPr>
              <w:t>exchange or quotation system, such exchange or quotation system shall be deemed to be</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the Exchange.</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Additional Disruption Events:</w:t>
            </w:r>
          </w:p>
        </w:tc>
        <w:tc>
          <w:tcPr>
            <w:tcW w:w="7240" w:type="dxa"/>
            <w:vAlign w:val="bottom"/>
          </w:tcPr>
          <w:p>
            <w:pPr>
              <w:spacing w:after="0"/>
              <w:rPr>
                <w:sz w:val="24"/>
                <w:szCs w:val="24"/>
                <w:color w:val="auto"/>
              </w:rPr>
            </w:pPr>
          </w:p>
        </w:tc>
      </w:tr>
      <w:tr>
        <w:trPr>
          <w:trHeight w:val="415"/>
        </w:trPr>
        <w:tc>
          <w:tcPr>
            <w:tcW w:w="1160" w:type="dxa"/>
            <w:vAlign w:val="bottom"/>
          </w:tcPr>
          <w:p>
            <w:pPr>
              <w:ind w:left="620"/>
              <w:spacing w:after="0"/>
              <w:rPr>
                <w:sz w:val="20"/>
                <w:szCs w:val="20"/>
                <w:color w:val="auto"/>
              </w:rPr>
            </w:pPr>
            <w:r>
              <w:rPr>
                <w:rFonts w:ascii="Arial" w:cs="Arial" w:eastAsia="Arial" w:hAnsi="Arial"/>
                <w:sz w:val="18"/>
                <w:szCs w:val="18"/>
                <w:color w:val="auto"/>
              </w:rPr>
              <w:t>(a)</w:t>
            </w:r>
          </w:p>
        </w:tc>
        <w:tc>
          <w:tcPr>
            <w:tcW w:w="3060" w:type="dxa"/>
            <w:vAlign w:val="bottom"/>
          </w:tcPr>
          <w:p>
            <w:pPr>
              <w:ind w:left="120"/>
              <w:spacing w:after="0"/>
              <w:rPr>
                <w:sz w:val="20"/>
                <w:szCs w:val="20"/>
                <w:color w:val="auto"/>
              </w:rPr>
            </w:pPr>
            <w:r>
              <w:rPr>
                <w:rFonts w:ascii="Arial" w:cs="Arial" w:eastAsia="Arial" w:hAnsi="Arial"/>
                <w:sz w:val="18"/>
                <w:szCs w:val="18"/>
                <w:color w:val="auto"/>
              </w:rPr>
              <w:t>Change in Law:</w:t>
            </w:r>
          </w:p>
        </w:tc>
        <w:tc>
          <w:tcPr>
            <w:tcW w:w="7240" w:type="dxa"/>
            <w:vAlign w:val="bottom"/>
          </w:tcPr>
          <w:p>
            <w:pPr>
              <w:ind w:left="68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Section 12.9(a)(ii) of the Equity Definitions is hereby amended</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3"/>
              </w:rPr>
              <w:t>by (i) replacing the phrase “the interpretation” in the third line thereof with the phrase “or</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8"/>
              </w:rPr>
              <w:t>announcement or statement of the formal or informal interpretation”, (ii) immediately</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3"/>
              </w:rPr>
              <w:t>following the word “that” in the sixth line thereof, adding the phrase “as a result of one or</w:t>
            </w:r>
          </w:p>
        </w:tc>
      </w:tr>
      <w:tr>
        <w:trPr>
          <w:trHeight w:val="215"/>
        </w:trPr>
        <w:tc>
          <w:tcPr>
            <w:tcW w:w="1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w w:val="92"/>
              </w:rPr>
              <w:t>more of the circumstances listed in (A) and (B) above” and (iii) deleting clause (Y) thereof</w:t>
            </w:r>
          </w:p>
        </w:tc>
      </w:tr>
      <w:tr>
        <w:trPr>
          <w:trHeight w:val="229"/>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240" w:type="dxa"/>
            <w:vAlign w:val="bottom"/>
          </w:tcPr>
          <w:p>
            <w:pPr>
              <w:ind w:left="680"/>
              <w:spacing w:after="0"/>
              <w:rPr>
                <w:sz w:val="20"/>
                <w:szCs w:val="20"/>
                <w:color w:val="auto"/>
              </w:rPr>
            </w:pPr>
            <w:r>
              <w:rPr>
                <w:rFonts w:ascii="Arial" w:cs="Arial" w:eastAsia="Arial" w:hAnsi="Arial"/>
                <w:sz w:val="18"/>
                <w:szCs w:val="18"/>
                <w:color w:val="auto"/>
              </w:rPr>
              <w:t>in its entirety.</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(b)</w:t>
            </w:r>
          </w:p>
        </w:tc>
        <w:tc>
          <w:tcPr>
            <w:tcW w:w="3060" w:type="dxa"/>
            <w:vAlign w:val="bottom"/>
          </w:tcPr>
          <w:p>
            <w:pPr>
              <w:ind w:left="120"/>
              <w:spacing w:after="0"/>
              <w:rPr>
                <w:sz w:val="20"/>
                <w:szCs w:val="20"/>
                <w:color w:val="auto"/>
              </w:rPr>
            </w:pPr>
            <w:r>
              <w:rPr>
                <w:rFonts w:ascii="Arial" w:cs="Arial" w:eastAsia="Arial" w:hAnsi="Arial"/>
                <w:sz w:val="18"/>
                <w:szCs w:val="18"/>
                <w:color w:val="auto"/>
              </w:rPr>
              <w:t>Failure to Deliver:</w:t>
            </w:r>
          </w:p>
        </w:tc>
        <w:tc>
          <w:tcPr>
            <w:tcW w:w="7240" w:type="dxa"/>
            <w:vAlign w:val="bottom"/>
          </w:tcPr>
          <w:p>
            <w:pPr>
              <w:ind w:left="680"/>
              <w:spacing w:after="0"/>
              <w:rPr>
                <w:sz w:val="20"/>
                <w:szCs w:val="20"/>
                <w:color w:val="auto"/>
              </w:rPr>
            </w:pPr>
            <w:r>
              <w:rPr>
                <w:rFonts w:ascii="Arial" w:cs="Arial" w:eastAsia="Arial" w:hAnsi="Arial"/>
                <w:sz w:val="18"/>
                <w:szCs w:val="18"/>
                <w:color w:val="auto"/>
              </w:rPr>
              <w:t>Not Applicable</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(c)</w:t>
            </w:r>
          </w:p>
        </w:tc>
        <w:tc>
          <w:tcPr>
            <w:tcW w:w="3060" w:type="dxa"/>
            <w:vAlign w:val="bottom"/>
          </w:tcPr>
          <w:p>
            <w:pPr>
              <w:ind w:left="120"/>
              <w:spacing w:after="0"/>
              <w:rPr>
                <w:sz w:val="20"/>
                <w:szCs w:val="20"/>
                <w:color w:val="auto"/>
              </w:rPr>
            </w:pPr>
            <w:r>
              <w:rPr>
                <w:rFonts w:ascii="Arial" w:cs="Arial" w:eastAsia="Arial" w:hAnsi="Arial"/>
                <w:sz w:val="18"/>
                <w:szCs w:val="18"/>
                <w:color w:val="auto"/>
              </w:rPr>
              <w:t>Insolvency Filing:</w:t>
            </w:r>
          </w:p>
        </w:tc>
        <w:tc>
          <w:tcPr>
            <w:tcW w:w="7240" w:type="dxa"/>
            <w:vAlign w:val="bottom"/>
          </w:tcPr>
          <w:p>
            <w:pPr>
              <w:ind w:left="680"/>
              <w:spacing w:after="0"/>
              <w:rPr>
                <w:sz w:val="20"/>
                <w:szCs w:val="20"/>
                <w:color w:val="auto"/>
              </w:rPr>
            </w:pPr>
            <w:r>
              <w:rPr>
                <w:rFonts w:ascii="Arial" w:cs="Arial" w:eastAsia="Arial" w:hAnsi="Arial"/>
                <w:sz w:val="18"/>
                <w:szCs w:val="18"/>
                <w:color w:val="auto"/>
              </w:rPr>
              <w:t>Applicable</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(d)</w:t>
            </w:r>
          </w:p>
        </w:tc>
        <w:tc>
          <w:tcPr>
            <w:tcW w:w="3060" w:type="dxa"/>
            <w:vAlign w:val="bottom"/>
          </w:tcPr>
          <w:p>
            <w:pPr>
              <w:ind w:left="120"/>
              <w:spacing w:after="0"/>
              <w:rPr>
                <w:sz w:val="20"/>
                <w:szCs w:val="20"/>
                <w:color w:val="auto"/>
              </w:rPr>
            </w:pPr>
            <w:r>
              <w:rPr>
                <w:rFonts w:ascii="Arial" w:cs="Arial" w:eastAsia="Arial" w:hAnsi="Arial"/>
                <w:sz w:val="18"/>
                <w:szCs w:val="18"/>
                <w:color w:val="auto"/>
              </w:rPr>
              <w:t>Hedging Disruption:</w:t>
            </w:r>
          </w:p>
        </w:tc>
        <w:tc>
          <w:tcPr>
            <w:tcW w:w="7240" w:type="dxa"/>
            <w:vAlign w:val="bottom"/>
          </w:tcPr>
          <w:p>
            <w:pPr>
              <w:ind w:left="680"/>
              <w:spacing w:after="0"/>
              <w:rPr>
                <w:sz w:val="20"/>
                <w:szCs w:val="20"/>
                <w:color w:val="auto"/>
              </w:rPr>
            </w:pPr>
            <w:r>
              <w:rPr>
                <w:rFonts w:ascii="Arial" w:cs="Arial" w:eastAsia="Arial" w:hAnsi="Arial"/>
                <w:sz w:val="18"/>
                <w:szCs w:val="18"/>
                <w:color w:val="auto"/>
              </w:rPr>
              <w:t>Applicable</w:t>
            </w:r>
          </w:p>
        </w:tc>
      </w:tr>
      <w:tr>
        <w:trPr>
          <w:trHeight w:val="430"/>
        </w:trPr>
        <w:tc>
          <w:tcPr>
            <w:tcW w:w="1160" w:type="dxa"/>
            <w:vAlign w:val="bottom"/>
          </w:tcPr>
          <w:p>
            <w:pPr>
              <w:ind w:left="620"/>
              <w:spacing w:after="0"/>
              <w:rPr>
                <w:sz w:val="20"/>
                <w:szCs w:val="20"/>
                <w:color w:val="auto"/>
              </w:rPr>
            </w:pPr>
            <w:r>
              <w:rPr>
                <w:rFonts w:ascii="Arial" w:cs="Arial" w:eastAsia="Arial" w:hAnsi="Arial"/>
                <w:sz w:val="18"/>
                <w:szCs w:val="18"/>
                <w:color w:val="auto"/>
              </w:rPr>
              <w:t>(e)</w:t>
            </w:r>
          </w:p>
        </w:tc>
        <w:tc>
          <w:tcPr>
            <w:tcW w:w="3060" w:type="dxa"/>
            <w:vAlign w:val="bottom"/>
          </w:tcPr>
          <w:p>
            <w:pPr>
              <w:ind w:left="120"/>
              <w:spacing w:after="0"/>
              <w:rPr>
                <w:sz w:val="20"/>
                <w:szCs w:val="20"/>
                <w:color w:val="auto"/>
              </w:rPr>
            </w:pPr>
            <w:r>
              <w:rPr>
                <w:rFonts w:ascii="Arial" w:cs="Arial" w:eastAsia="Arial" w:hAnsi="Arial"/>
                <w:sz w:val="18"/>
                <w:szCs w:val="18"/>
                <w:color w:val="auto"/>
              </w:rPr>
              <w:t>Increased Cost of Hedging:</w:t>
            </w:r>
          </w:p>
        </w:tc>
        <w:tc>
          <w:tcPr>
            <w:tcW w:w="7240" w:type="dxa"/>
            <w:vAlign w:val="bottom"/>
          </w:tcPr>
          <w:p>
            <w:pPr>
              <w:ind w:left="680"/>
              <w:spacing w:after="0"/>
              <w:rPr>
                <w:sz w:val="20"/>
                <w:szCs w:val="20"/>
                <w:color w:val="auto"/>
              </w:rPr>
            </w:pPr>
            <w:r>
              <w:rPr>
                <w:rFonts w:ascii="Arial" w:cs="Arial" w:eastAsia="Arial" w:hAnsi="Arial"/>
                <w:sz w:val="18"/>
                <w:szCs w:val="18"/>
                <w:color w:val="auto"/>
              </w:rPr>
              <w:t>Not Applicable</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Hedging Party: Dealer</w:t>
            </w:r>
          </w:p>
        </w:tc>
        <w:tc>
          <w:tcPr>
            <w:tcW w:w="724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40" w:type="dxa"/>
            <w:vAlign w:val="bottom"/>
          </w:tcPr>
          <w:p>
            <w:pPr>
              <w:ind w:left="1440"/>
              <w:spacing w:after="0"/>
              <w:rPr>
                <w:sz w:val="20"/>
                <w:szCs w:val="20"/>
                <w:color w:val="auto"/>
              </w:rPr>
            </w:pPr>
            <w:r>
              <w:rPr>
                <w:rFonts w:ascii="Arial" w:cs="Arial" w:eastAsia="Arial" w:hAnsi="Arial"/>
                <w:sz w:val="18"/>
                <w:szCs w:val="18"/>
                <w:color w:val="auto"/>
              </w:rPr>
              <w:t>7</w:t>
            </w:r>
          </w:p>
        </w:tc>
      </w:tr>
      <w:tr>
        <w:trPr>
          <w:trHeight w:val="131"/>
        </w:trPr>
        <w:tc>
          <w:tcPr>
            <w:tcW w:w="4220" w:type="dxa"/>
            <w:vAlign w:val="bottom"/>
            <w:tcBorders>
              <w:bottom w:val="single" w:sz="8" w:color="010101"/>
            </w:tcBorders>
            <w:gridSpan w:val="2"/>
          </w:tcPr>
          <w:p>
            <w:pPr>
              <w:spacing w:after="0"/>
              <w:rPr>
                <w:sz w:val="11"/>
                <w:szCs w:val="11"/>
                <w:color w:val="auto"/>
              </w:rPr>
            </w:pPr>
          </w:p>
        </w:tc>
        <w:tc>
          <w:tcPr>
            <w:tcW w:w="7240" w:type="dxa"/>
            <w:vAlign w:val="bottom"/>
            <w:tcBorders>
              <w:bottom w:val="single" w:sz="8" w:color="010101"/>
            </w:tcBorders>
          </w:tcPr>
          <w:p>
            <w:pPr>
              <w:spacing w:after="0"/>
              <w:rPr>
                <w:sz w:val="11"/>
                <w:szCs w:val="11"/>
                <w:color w:val="auto"/>
              </w:rPr>
            </w:pPr>
          </w:p>
        </w:tc>
      </w:tr>
      <w:tr>
        <w:trPr>
          <w:trHeight w:val="776"/>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Determining Party:</w:t>
            </w:r>
          </w:p>
        </w:tc>
        <w:tc>
          <w:tcPr>
            <w:tcW w:w="7240" w:type="dxa"/>
            <w:vAlign w:val="bottom"/>
          </w:tcPr>
          <w:p>
            <w:pPr>
              <w:ind w:left="660"/>
              <w:spacing w:after="0"/>
              <w:rPr>
                <w:sz w:val="20"/>
                <w:szCs w:val="20"/>
                <w:color w:val="auto"/>
              </w:rPr>
            </w:pPr>
            <w:r>
              <w:rPr>
                <w:rFonts w:ascii="Arial" w:cs="Arial" w:eastAsia="Arial" w:hAnsi="Arial"/>
                <w:sz w:val="18"/>
                <w:szCs w:val="18"/>
                <w:color w:val="auto"/>
              </w:rPr>
              <w:t>Dealer</w:t>
            </w:r>
          </w:p>
        </w:tc>
      </w:tr>
      <w:tr>
        <w:trPr>
          <w:trHeight w:val="430"/>
        </w:trPr>
        <w:tc>
          <w:tcPr>
            <w:tcW w:w="1160" w:type="dxa"/>
            <w:vAlign w:val="bottom"/>
          </w:tcPr>
          <w:p>
            <w:pPr>
              <w:ind w:left="20"/>
              <w:spacing w:after="0"/>
              <w:rPr>
                <w:sz w:val="20"/>
                <w:szCs w:val="20"/>
                <w:color w:val="auto"/>
              </w:rPr>
            </w:pPr>
            <w:r>
              <w:rPr>
                <w:rFonts w:ascii="Arial" w:cs="Arial" w:eastAsia="Arial" w:hAnsi="Arial"/>
                <w:sz w:val="18"/>
                <w:szCs w:val="18"/>
                <w:color w:val="auto"/>
                <w:w w:val="98"/>
              </w:rPr>
              <w:t>Non-Reliance:</w:t>
            </w:r>
          </w:p>
        </w:tc>
        <w:tc>
          <w:tcPr>
            <w:tcW w:w="3060" w:type="dxa"/>
            <w:vAlign w:val="bottom"/>
          </w:tcPr>
          <w:p>
            <w:pPr>
              <w:spacing w:after="0"/>
              <w:rPr>
                <w:sz w:val="24"/>
                <w:szCs w:val="24"/>
                <w:color w:val="auto"/>
              </w:rPr>
            </w:pPr>
          </w:p>
        </w:tc>
        <w:tc>
          <w:tcPr>
            <w:tcW w:w="7240" w:type="dxa"/>
            <w:vAlign w:val="bottom"/>
          </w:tcPr>
          <w:p>
            <w:pPr>
              <w:ind w:left="660"/>
              <w:spacing w:after="0"/>
              <w:rPr>
                <w:sz w:val="20"/>
                <w:szCs w:val="20"/>
                <w:color w:val="auto"/>
              </w:rPr>
            </w:pPr>
            <w:r>
              <w:rPr>
                <w:rFonts w:ascii="Arial" w:cs="Arial" w:eastAsia="Arial" w:hAnsi="Arial"/>
                <w:sz w:val="18"/>
                <w:szCs w:val="18"/>
                <w:color w:val="auto"/>
              </w:rPr>
              <w:t>Applicable</w:t>
            </w:r>
          </w:p>
        </w:tc>
      </w:tr>
      <w:tr>
        <w:trPr>
          <w:trHeight w:val="415"/>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Agreements and Acknowledgements</w:t>
            </w:r>
          </w:p>
        </w:tc>
        <w:tc>
          <w:tcPr>
            <w:tcW w:w="7240" w:type="dxa"/>
            <w:vAlign w:val="bottom"/>
          </w:tcPr>
          <w:p>
            <w:pPr>
              <w:spacing w:after="0"/>
              <w:rPr>
                <w:sz w:val="24"/>
                <w:szCs w:val="24"/>
                <w:color w:val="auto"/>
              </w:rPr>
            </w:pP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Regarding Hedging Activities:</w:t>
            </w:r>
          </w:p>
        </w:tc>
        <w:tc>
          <w:tcPr>
            <w:tcW w:w="7240" w:type="dxa"/>
            <w:vAlign w:val="bottom"/>
          </w:tcPr>
          <w:p>
            <w:pPr>
              <w:ind w:left="660"/>
              <w:spacing w:after="0"/>
              <w:rPr>
                <w:sz w:val="20"/>
                <w:szCs w:val="20"/>
                <w:color w:val="auto"/>
              </w:rPr>
            </w:pPr>
            <w:r>
              <w:rPr>
                <w:rFonts w:ascii="Arial" w:cs="Arial" w:eastAsia="Arial" w:hAnsi="Arial"/>
                <w:sz w:val="18"/>
                <w:szCs w:val="18"/>
                <w:color w:val="auto"/>
              </w:rPr>
              <w:t>Applicable</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Additional Acknowledgements:</w:t>
            </w:r>
          </w:p>
        </w:tc>
        <w:tc>
          <w:tcPr>
            <w:tcW w:w="7240" w:type="dxa"/>
            <w:vAlign w:val="bottom"/>
          </w:tcPr>
          <w:p>
            <w:pPr>
              <w:ind w:left="660"/>
              <w:spacing w:after="0"/>
              <w:rPr>
                <w:sz w:val="20"/>
                <w:szCs w:val="20"/>
                <w:color w:val="auto"/>
              </w:rPr>
            </w:pPr>
            <w:r>
              <w:rPr>
                <w:rFonts w:ascii="Arial" w:cs="Arial" w:eastAsia="Arial" w:hAnsi="Arial"/>
                <w:sz w:val="18"/>
                <w:szCs w:val="18"/>
                <w:color w:val="auto"/>
              </w:rPr>
              <w:t>Applicable</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Dealer Payment Instructions:</w:t>
            </w:r>
          </w:p>
        </w:tc>
        <w:tc>
          <w:tcPr>
            <w:tcW w:w="7240" w:type="dxa"/>
            <w:vAlign w:val="bottom"/>
          </w:tcPr>
          <w:p>
            <w:pPr>
              <w:ind w:left="660"/>
              <w:spacing w:after="0"/>
              <w:rPr>
                <w:sz w:val="20"/>
                <w:szCs w:val="20"/>
                <w:color w:val="auto"/>
              </w:rPr>
            </w:pPr>
            <w:r>
              <w:rPr>
                <w:rFonts w:ascii="Arial" w:cs="Arial" w:eastAsia="Arial" w:hAnsi="Arial"/>
                <w:sz w:val="18"/>
                <w:szCs w:val="18"/>
                <w:color w:val="auto"/>
              </w:rPr>
              <w:t>To be provided by Dealer.</w:t>
            </w:r>
          </w:p>
        </w:tc>
      </w:tr>
      <w:tr>
        <w:trPr>
          <w:trHeight w:val="4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Counterparty Payment and Delivery Instructions:</w:t>
            </w:r>
          </w:p>
        </w:tc>
        <w:tc>
          <w:tcPr>
            <w:tcW w:w="7240" w:type="dxa"/>
            <w:vAlign w:val="bottom"/>
          </w:tcPr>
          <w:p>
            <w:pPr>
              <w:ind w:left="660"/>
              <w:spacing w:after="0"/>
              <w:rPr>
                <w:sz w:val="20"/>
                <w:szCs w:val="20"/>
                <w:color w:val="auto"/>
              </w:rPr>
            </w:pPr>
            <w:r>
              <w:rPr>
                <w:rFonts w:ascii="Arial" w:cs="Arial" w:eastAsia="Arial" w:hAnsi="Arial"/>
                <w:sz w:val="18"/>
                <w:szCs w:val="18"/>
                <w:color w:val="auto"/>
              </w:rPr>
              <w:t>To be provided by Counterparty.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-9431655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-9431655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-2022475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-2022475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ind w:left="1520" w:hanging="868"/>
        <w:spacing w:after="0"/>
        <w:tabs>
          <w:tab w:leader="none" w:pos="15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Dealer;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determinations made by the Calculation Agent shall be made in good</w:t>
      </w:r>
    </w:p>
    <w:p>
      <w:pPr>
        <w:sectPr>
          <w:pgSz w:w="11900" w:h="16838" w:orient="portrait"/>
          <w:cols w:equalWidth="0" w:num="1">
            <w:col w:w="11460"/>
          </w:cols>
          <w:pgMar w:left="240" w:top="125" w:right="199" w:bottom="0" w:gutter="0" w:footer="0" w:header="0"/>
        </w:sectPr>
      </w:pPr>
    </w:p>
    <w:bookmarkStart w:id="51" w:name="page52"/>
    <w:bookmarkEnd w:id="51"/>
    <w:p>
      <w:pPr>
        <w:ind w:right="240"/>
        <w:spacing w:after="0" w:line="274" w:lineRule="auto"/>
        <w:rPr>
          <w:sz w:val="20"/>
          <w:szCs w:val="20"/>
          <w:color w:val="auto"/>
        </w:rPr>
      </w:pPr>
      <w:r>
        <w:rPr>
          <w:rFonts w:ascii="Arial" w:cs="Arial" w:eastAsia="Arial" w:hAnsi="Arial"/>
          <w:sz w:val="17"/>
          <w:szCs w:val="17"/>
          <w:color w:val="auto"/>
        </w:rPr>
        <w:t xml:space="preserve">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no transferee of the Transaction in accordance with the terms of this Confirmation shall act as Calculation Agent with respect to such transferred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without the prior consent of Counterparty, such consent not to be unreasonably withheld.</w:t>
      </w:r>
    </w:p>
    <w:p>
      <w:pPr>
        <w:spacing w:after="0" w:line="173" w:lineRule="exact"/>
        <w:rPr>
          <w:sz w:val="20"/>
          <w:szCs w:val="20"/>
          <w:color w:val="auto"/>
        </w:rPr>
      </w:pPr>
    </w:p>
    <w:p>
      <w:pPr>
        <w:ind w:left="1520" w:hanging="868"/>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3" w:lineRule="exact"/>
        <w:rPr>
          <w:sz w:val="20"/>
          <w:szCs w:val="20"/>
          <w:color w:val="auto"/>
        </w:rPr>
      </w:pPr>
    </w:p>
    <w:p>
      <w:pPr>
        <w:ind w:left="1520" w:hanging="868"/>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Office of Dealer for this Transaction is: 1585 Broadway,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New York 10036</w:t>
      </w:r>
    </w:p>
    <w:p>
      <w:pPr>
        <w:spacing w:after="0" w:line="165" w:lineRule="exact"/>
        <w:rPr>
          <w:rFonts w:ascii="Arial" w:cs="Arial" w:eastAsia="Arial" w:hAnsi="Arial"/>
          <w:sz w:val="18"/>
          <w:szCs w:val="18"/>
          <w:color w:val="auto"/>
        </w:rPr>
      </w:pPr>
    </w:p>
    <w:p>
      <w:pPr>
        <w:ind w:left="1520" w:hanging="868"/>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Way, Boise, Idaho 83716-9632.</w:t>
      </w:r>
    </w:p>
    <w:p>
      <w:pPr>
        <w:spacing w:after="0" w:line="223" w:lineRule="exact"/>
        <w:rPr>
          <w:sz w:val="20"/>
          <w:szCs w:val="20"/>
          <w:color w:val="auto"/>
        </w:rPr>
      </w:pPr>
    </w:p>
    <w:p>
      <w:pPr>
        <w:ind w:left="1520" w:hanging="868"/>
        <w:spacing w:after="0"/>
        <w:tabs>
          <w:tab w:leader="none" w:pos="15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3" w:lineRule="exact"/>
        <w:rPr>
          <w:sz w:val="20"/>
          <w:szCs w:val="20"/>
          <w:color w:val="auto"/>
        </w:rPr>
      </w:pPr>
    </w:p>
    <w:p>
      <w:pPr>
        <w:ind w:left="1520" w:hanging="868"/>
        <w:spacing w:after="0"/>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60"/>
          </w:cols>
          <w:pgMar w:left="240" w:top="125" w:right="199" w:bottom="116" w:gutter="0" w:footer="0" w:header="0"/>
        </w:sectPr>
      </w:pPr>
    </w:p>
    <w:p>
      <w:pPr>
        <w:spacing w:after="0" w:line="2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3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Telephone:</w:t>
      </w:r>
    </w:p>
    <w:p>
      <w:pPr>
        <w:spacing w:after="0" w:line="4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8000 South Federal Way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2300" w:space="720"/>
            <w:col w:w="8440"/>
          </w:cols>
          <w:pgMar w:left="240" w:top="125" w:right="199" w:bottom="116" w:gutter="0" w:footer="0" w:header="0"/>
          <w:type w:val="continuous"/>
        </w:sectPr>
      </w:pPr>
    </w:p>
    <w:p>
      <w:pPr>
        <w:spacing w:after="0" w:line="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Telephone:</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2620" w:space="400"/>
            <w:col w:w="8440"/>
          </w:cols>
          <w:pgMar w:left="240" w:top="125" w:right="199" w:bottom="116" w:gutter="0" w:footer="0" w:header="0"/>
          <w:type w:val="continuous"/>
        </w:sectPr>
      </w:pPr>
    </w:p>
    <w:p>
      <w:pPr>
        <w:spacing w:after="0" w:line="8" w:lineRule="exact"/>
        <w:rPr>
          <w:sz w:val="20"/>
          <w:szCs w:val="20"/>
          <w:color w:val="auto"/>
        </w:rPr>
      </w:pPr>
    </w:p>
    <w:p>
      <w:pPr>
        <w:ind w:left="1520" w:hanging="868"/>
        <w:spacing w:after="0"/>
        <w:tabs>
          <w:tab w:leader="none" w:pos="15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ind w:left="1520"/>
              <w:spacing w:after="0"/>
              <w:rPr>
                <w:sz w:val="20"/>
                <w:szCs w:val="20"/>
                <w:color w:val="auto"/>
              </w:rPr>
            </w:pPr>
            <w:r>
              <w:rPr>
                <w:rFonts w:ascii="Arial" w:cs="Arial" w:eastAsia="Arial" w:hAnsi="Arial"/>
                <w:sz w:val="18"/>
                <w:szCs w:val="18"/>
                <w:color w:val="auto"/>
              </w:rPr>
              <w:t>To:</w:t>
            </w:r>
          </w:p>
        </w:tc>
        <w:tc>
          <w:tcPr>
            <w:tcW w:w="8640" w:type="dxa"/>
            <w:vAlign w:val="bottom"/>
          </w:tcPr>
          <w:p>
            <w:pPr>
              <w:ind w:left="200"/>
              <w:spacing w:after="0"/>
              <w:rPr>
                <w:sz w:val="20"/>
                <w:szCs w:val="20"/>
                <w:color w:val="auto"/>
              </w:rPr>
            </w:pPr>
            <w:r>
              <w:rPr>
                <w:rFonts w:ascii="Arial" w:cs="Arial" w:eastAsia="Arial" w:hAnsi="Arial"/>
                <w:sz w:val="18"/>
                <w:szCs w:val="18"/>
                <w:color w:val="auto"/>
              </w:rPr>
              <w:t>Morgan Stanley &amp; Co. International plc</w:t>
            </w:r>
          </w:p>
        </w:tc>
      </w:tr>
      <w:tr>
        <w:trPr>
          <w:trHeight w:val="215"/>
        </w:trPr>
        <w:tc>
          <w:tcPr>
            <w:tcW w:w="28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 Morgan Stanley Bank, N.A.</w:t>
            </w:r>
          </w:p>
        </w:tc>
      </w:tr>
      <w:tr>
        <w:trPr>
          <w:trHeight w:val="215"/>
        </w:trPr>
        <w:tc>
          <w:tcPr>
            <w:tcW w:w="28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 Morgan Stanley</w:t>
            </w:r>
          </w:p>
        </w:tc>
      </w:tr>
      <w:tr>
        <w:trPr>
          <w:trHeight w:val="215"/>
        </w:trPr>
        <w:tc>
          <w:tcPr>
            <w:tcW w:w="2820" w:type="dxa"/>
            <w:vAlign w:val="bottom"/>
          </w:tcPr>
          <w:p>
            <w:pPr>
              <w:spacing w:after="0"/>
              <w:rPr>
                <w:sz w:val="18"/>
                <w:szCs w:val="18"/>
                <w:color w:val="auto"/>
              </w:rPr>
            </w:pPr>
          </w:p>
        </w:tc>
        <w:tc>
          <w:tcPr>
            <w:tcW w:w="8640" w:type="dxa"/>
            <w:vAlign w:val="bottom"/>
          </w:tcPr>
          <w:p>
            <w:pPr>
              <w:ind w:left="200"/>
              <w:spacing w:after="0" w:line="214" w:lineRule="exact"/>
              <w:rPr>
                <w:sz w:val="20"/>
                <w:szCs w:val="20"/>
                <w:color w:val="auto"/>
              </w:rPr>
            </w:pPr>
            <w:r>
              <w:rPr>
                <w:rFonts w:ascii="Arial" w:cs="Arial" w:eastAsia="Arial" w:hAnsi="Arial"/>
                <w:sz w:val="18"/>
                <w:szCs w:val="18"/>
                <w:color w:val="auto"/>
              </w:rPr>
              <w:t>750 Seventh Avenue,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5"/>
        </w:trPr>
        <w:tc>
          <w:tcPr>
            <w:tcW w:w="28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New York, New York 10019</w:t>
            </w:r>
          </w:p>
        </w:tc>
      </w:tr>
      <w:tr>
        <w:trPr>
          <w:trHeight w:val="215"/>
        </w:trPr>
        <w:tc>
          <w:tcPr>
            <w:tcW w:w="2820" w:type="dxa"/>
            <w:vAlign w:val="bottom"/>
          </w:tcPr>
          <w:p>
            <w:pPr>
              <w:ind w:left="1520"/>
              <w:spacing w:after="0"/>
              <w:rPr>
                <w:sz w:val="20"/>
                <w:szCs w:val="20"/>
                <w:color w:val="auto"/>
              </w:rPr>
            </w:pPr>
            <w:r>
              <w:rPr>
                <w:rFonts w:ascii="Arial" w:cs="Arial" w:eastAsia="Arial" w:hAnsi="Arial"/>
                <w:sz w:val="18"/>
                <w:szCs w:val="18"/>
                <w:color w:val="auto"/>
              </w:rPr>
              <w:t>Attn:</w:t>
            </w:r>
          </w:p>
        </w:tc>
        <w:tc>
          <w:tcPr>
            <w:tcW w:w="8640" w:type="dxa"/>
            <w:vAlign w:val="bottom"/>
          </w:tcPr>
          <w:p>
            <w:pPr>
              <w:ind w:left="200"/>
              <w:spacing w:after="0"/>
              <w:rPr>
                <w:sz w:val="20"/>
                <w:szCs w:val="20"/>
                <w:color w:val="auto"/>
              </w:rPr>
            </w:pPr>
            <w:r>
              <w:rPr>
                <w:rFonts w:ascii="Arial" w:cs="Arial" w:eastAsia="Arial" w:hAnsi="Arial"/>
                <w:sz w:val="18"/>
                <w:szCs w:val="18"/>
                <w:color w:val="auto"/>
              </w:rPr>
              <w:t>Robert Poselle</w:t>
            </w:r>
          </w:p>
        </w:tc>
      </w:tr>
      <w:tr>
        <w:trPr>
          <w:trHeight w:val="215"/>
        </w:trPr>
        <w:tc>
          <w:tcPr>
            <w:tcW w:w="2820" w:type="dxa"/>
            <w:vAlign w:val="bottom"/>
          </w:tcPr>
          <w:p>
            <w:pPr>
              <w:ind w:left="1520"/>
              <w:spacing w:after="0"/>
              <w:rPr>
                <w:sz w:val="20"/>
                <w:szCs w:val="20"/>
                <w:color w:val="auto"/>
              </w:rPr>
            </w:pPr>
            <w:r>
              <w:rPr>
                <w:rFonts w:ascii="Arial" w:cs="Arial" w:eastAsia="Arial" w:hAnsi="Arial"/>
                <w:sz w:val="18"/>
                <w:szCs w:val="18"/>
                <w:color w:val="auto"/>
              </w:rPr>
              <w:t>Telephone:</w:t>
            </w:r>
          </w:p>
        </w:tc>
        <w:tc>
          <w:tcPr>
            <w:tcW w:w="8640" w:type="dxa"/>
            <w:vAlign w:val="bottom"/>
          </w:tcPr>
          <w:p>
            <w:pPr>
              <w:ind w:left="200"/>
              <w:spacing w:after="0"/>
              <w:rPr>
                <w:sz w:val="20"/>
                <w:szCs w:val="20"/>
                <w:color w:val="auto"/>
              </w:rPr>
            </w:pPr>
            <w:r>
              <w:rPr>
                <w:rFonts w:ascii="Arial" w:cs="Arial" w:eastAsia="Arial" w:hAnsi="Arial"/>
                <w:sz w:val="18"/>
                <w:szCs w:val="18"/>
                <w:color w:val="auto"/>
              </w:rPr>
              <w:t>(212) 276-2427</w:t>
            </w:r>
          </w:p>
        </w:tc>
      </w:tr>
      <w:tr>
        <w:trPr>
          <w:trHeight w:val="229"/>
        </w:trPr>
        <w:tc>
          <w:tcPr>
            <w:tcW w:w="2820" w:type="dxa"/>
            <w:vAlign w:val="bottom"/>
          </w:tcPr>
          <w:p>
            <w:pPr>
              <w:ind w:left="1520"/>
              <w:spacing w:after="0"/>
              <w:rPr>
                <w:sz w:val="20"/>
                <w:szCs w:val="20"/>
                <w:color w:val="auto"/>
              </w:rPr>
            </w:pPr>
            <w:r>
              <w:rPr>
                <w:rFonts w:ascii="Arial" w:cs="Arial" w:eastAsia="Arial" w:hAnsi="Arial"/>
                <w:sz w:val="18"/>
                <w:szCs w:val="18"/>
                <w:color w:val="auto"/>
              </w:rPr>
              <w:t>Facsimile:</w:t>
            </w:r>
          </w:p>
        </w:tc>
        <w:tc>
          <w:tcPr>
            <w:tcW w:w="8640" w:type="dxa"/>
            <w:vAlign w:val="bottom"/>
          </w:tcPr>
          <w:p>
            <w:pPr>
              <w:ind w:left="200"/>
              <w:spacing w:after="0"/>
              <w:rPr>
                <w:sz w:val="20"/>
                <w:szCs w:val="20"/>
                <w:color w:val="auto"/>
              </w:rPr>
            </w:pPr>
            <w:r>
              <w:rPr>
                <w:rFonts w:ascii="Arial" w:cs="Arial" w:eastAsia="Arial" w:hAnsi="Arial"/>
                <w:sz w:val="18"/>
                <w:szCs w:val="18"/>
                <w:color w:val="auto"/>
              </w:rPr>
              <w:t>(212) 507-0724</w:t>
            </w:r>
          </w:p>
        </w:tc>
      </w:tr>
      <w:tr>
        <w:trPr>
          <w:trHeight w:val="430"/>
        </w:trPr>
        <w:tc>
          <w:tcPr>
            <w:tcW w:w="2820" w:type="dxa"/>
            <w:vAlign w:val="bottom"/>
          </w:tcPr>
          <w:p>
            <w:pPr>
              <w:spacing w:after="0"/>
              <w:rPr>
                <w:sz w:val="24"/>
                <w:szCs w:val="24"/>
                <w:color w:val="auto"/>
              </w:rPr>
            </w:pPr>
          </w:p>
        </w:tc>
        <w:tc>
          <w:tcPr>
            <w:tcW w:w="8640" w:type="dxa"/>
            <w:vAlign w:val="bottom"/>
          </w:tcPr>
          <w:p>
            <w:pPr>
              <w:ind w:left="2840"/>
              <w:spacing w:after="0"/>
              <w:rPr>
                <w:sz w:val="20"/>
                <w:szCs w:val="20"/>
                <w:color w:val="auto"/>
              </w:rPr>
            </w:pPr>
            <w:r>
              <w:rPr>
                <w:rFonts w:ascii="Arial" w:cs="Arial" w:eastAsia="Arial" w:hAnsi="Arial"/>
                <w:sz w:val="18"/>
                <w:szCs w:val="18"/>
                <w:color w:val="auto"/>
              </w:rPr>
              <w:t>8</w:t>
            </w:r>
          </w:p>
        </w:tc>
      </w:tr>
      <w:tr>
        <w:trPr>
          <w:trHeight w:val="131"/>
        </w:trPr>
        <w:tc>
          <w:tcPr>
            <w:tcW w:w="2820" w:type="dxa"/>
            <w:vAlign w:val="bottom"/>
            <w:tcBorders>
              <w:bottom w:val="single" w:sz="8" w:color="010101"/>
            </w:tcBorders>
          </w:tcPr>
          <w:p>
            <w:pPr>
              <w:spacing w:after="0"/>
              <w:rPr>
                <w:sz w:val="11"/>
                <w:szCs w:val="11"/>
                <w:color w:val="auto"/>
              </w:rPr>
            </w:pPr>
          </w:p>
        </w:tc>
        <w:tc>
          <w:tcPr>
            <w:tcW w:w="8640" w:type="dxa"/>
            <w:vAlign w:val="bottom"/>
            <w:tcBorders>
              <w:bottom w:val="single" w:sz="8" w:color="010101"/>
            </w:tcBorders>
          </w:tcPr>
          <w:p>
            <w:pPr>
              <w:spacing w:after="0"/>
              <w:rPr>
                <w:sz w:val="11"/>
                <w:szCs w:val="11"/>
                <w:color w:val="auto"/>
              </w:rPr>
            </w:pPr>
          </w:p>
        </w:tc>
      </w:tr>
      <w:tr>
        <w:trPr>
          <w:trHeight w:val="761"/>
        </w:trPr>
        <w:tc>
          <w:tcPr>
            <w:tcW w:w="2820" w:type="dxa"/>
            <w:vAlign w:val="bottom"/>
          </w:tcPr>
          <w:p>
            <w:pPr>
              <w:ind w:left="1520"/>
              <w:spacing w:after="0"/>
              <w:rPr>
                <w:sz w:val="20"/>
                <w:szCs w:val="20"/>
                <w:color w:val="auto"/>
              </w:rPr>
            </w:pPr>
            <w:r>
              <w:rPr>
                <w:rFonts w:ascii="Arial" w:cs="Arial" w:eastAsia="Arial" w:hAnsi="Arial"/>
                <w:sz w:val="18"/>
                <w:szCs w:val="18"/>
                <w:color w:val="auto"/>
              </w:rPr>
              <w:t>With a copy to:</w:t>
            </w:r>
          </w:p>
        </w:tc>
        <w:tc>
          <w:tcPr>
            <w:tcW w:w="8640" w:type="dxa"/>
            <w:vAlign w:val="bottom"/>
          </w:tcPr>
          <w:p>
            <w:pPr>
              <w:ind w:left="220"/>
              <w:spacing w:after="0"/>
              <w:rPr>
                <w:sz w:val="20"/>
                <w:szCs w:val="20"/>
                <w:color w:val="auto"/>
              </w:rPr>
            </w:pPr>
            <w:r>
              <w:rPr>
                <w:rFonts w:ascii="Arial" w:cs="Arial" w:eastAsia="Arial" w:hAnsi="Arial"/>
                <w:sz w:val="18"/>
                <w:szCs w:val="18"/>
                <w:color w:val="auto"/>
              </w:rPr>
              <w:t>Morgan Stanley &amp; Co. International plc</w:t>
            </w:r>
          </w:p>
        </w:tc>
      </w:tr>
      <w:tr>
        <w:trPr>
          <w:trHeight w:val="215"/>
        </w:trPr>
        <w:tc>
          <w:tcPr>
            <w:tcW w:w="28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c/o Morgan Stanley Bank, N.A.</w:t>
            </w:r>
          </w:p>
        </w:tc>
      </w:tr>
      <w:tr>
        <w:trPr>
          <w:trHeight w:val="215"/>
        </w:trPr>
        <w:tc>
          <w:tcPr>
            <w:tcW w:w="28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c/o Morgan Stanley</w:t>
            </w:r>
          </w:p>
        </w:tc>
      </w:tr>
      <w:tr>
        <w:trPr>
          <w:trHeight w:val="215"/>
        </w:trPr>
        <w:tc>
          <w:tcPr>
            <w:tcW w:w="2820" w:type="dxa"/>
            <w:vAlign w:val="bottom"/>
          </w:tcPr>
          <w:p>
            <w:pPr>
              <w:spacing w:after="0"/>
              <w:rPr>
                <w:sz w:val="18"/>
                <w:szCs w:val="18"/>
                <w:color w:val="auto"/>
              </w:rPr>
            </w:pPr>
          </w:p>
        </w:tc>
        <w:tc>
          <w:tcPr>
            <w:tcW w:w="8640" w:type="dxa"/>
            <w:vAlign w:val="bottom"/>
          </w:tcPr>
          <w:p>
            <w:pPr>
              <w:ind w:left="220"/>
              <w:spacing w:after="0" w:line="214" w:lineRule="exact"/>
              <w:rPr>
                <w:sz w:val="20"/>
                <w:szCs w:val="20"/>
                <w:color w:val="auto"/>
              </w:rPr>
            </w:pPr>
            <w:r>
              <w:rPr>
                <w:rFonts w:ascii="Arial" w:cs="Arial" w:eastAsia="Arial" w:hAnsi="Arial"/>
                <w:sz w:val="18"/>
                <w:szCs w:val="18"/>
                <w:color w:val="auto"/>
              </w:rPr>
              <w:t>750 Seventh Avenue,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r>
      <w:tr>
        <w:trPr>
          <w:trHeight w:val="215"/>
        </w:trPr>
        <w:tc>
          <w:tcPr>
            <w:tcW w:w="28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Arial" w:cs="Arial" w:eastAsia="Arial" w:hAnsi="Arial"/>
                <w:sz w:val="18"/>
                <w:szCs w:val="18"/>
                <w:color w:val="auto"/>
              </w:rPr>
              <w:t>New York, New York 10019</w:t>
            </w:r>
          </w:p>
        </w:tc>
      </w:tr>
      <w:tr>
        <w:trPr>
          <w:trHeight w:val="215"/>
        </w:trPr>
        <w:tc>
          <w:tcPr>
            <w:tcW w:w="2820" w:type="dxa"/>
            <w:vAlign w:val="bottom"/>
          </w:tcPr>
          <w:p>
            <w:pPr>
              <w:ind w:left="1520"/>
              <w:spacing w:after="0"/>
              <w:rPr>
                <w:sz w:val="20"/>
                <w:szCs w:val="20"/>
                <w:color w:val="auto"/>
              </w:rPr>
            </w:pPr>
            <w:r>
              <w:rPr>
                <w:rFonts w:ascii="Arial" w:cs="Arial" w:eastAsia="Arial" w:hAnsi="Arial"/>
                <w:sz w:val="18"/>
                <w:szCs w:val="18"/>
                <w:color w:val="auto"/>
              </w:rPr>
              <w:t>Attn:</w:t>
            </w:r>
          </w:p>
        </w:tc>
        <w:tc>
          <w:tcPr>
            <w:tcW w:w="8640" w:type="dxa"/>
            <w:vAlign w:val="bottom"/>
          </w:tcPr>
          <w:p>
            <w:pPr>
              <w:ind w:left="220"/>
              <w:spacing w:after="0"/>
              <w:rPr>
                <w:sz w:val="20"/>
                <w:szCs w:val="20"/>
                <w:color w:val="auto"/>
              </w:rPr>
            </w:pPr>
            <w:r>
              <w:rPr>
                <w:rFonts w:ascii="Arial" w:cs="Arial" w:eastAsia="Arial" w:hAnsi="Arial"/>
                <w:sz w:val="18"/>
                <w:szCs w:val="18"/>
                <w:color w:val="auto"/>
              </w:rPr>
              <w:t>Anthony Cicia</w:t>
            </w:r>
          </w:p>
        </w:tc>
      </w:tr>
      <w:tr>
        <w:trPr>
          <w:trHeight w:val="215"/>
        </w:trPr>
        <w:tc>
          <w:tcPr>
            <w:tcW w:w="2820" w:type="dxa"/>
            <w:vAlign w:val="bottom"/>
          </w:tcPr>
          <w:p>
            <w:pPr>
              <w:ind w:left="1520"/>
              <w:spacing w:after="0"/>
              <w:rPr>
                <w:sz w:val="20"/>
                <w:szCs w:val="20"/>
                <w:color w:val="auto"/>
              </w:rPr>
            </w:pPr>
            <w:r>
              <w:rPr>
                <w:rFonts w:ascii="Arial" w:cs="Arial" w:eastAsia="Arial" w:hAnsi="Arial"/>
                <w:sz w:val="18"/>
                <w:szCs w:val="18"/>
                <w:color w:val="auto"/>
              </w:rPr>
              <w:t>Telephone:</w:t>
            </w:r>
          </w:p>
        </w:tc>
        <w:tc>
          <w:tcPr>
            <w:tcW w:w="8640" w:type="dxa"/>
            <w:vAlign w:val="bottom"/>
          </w:tcPr>
          <w:p>
            <w:pPr>
              <w:ind w:left="220"/>
              <w:spacing w:after="0"/>
              <w:rPr>
                <w:sz w:val="20"/>
                <w:szCs w:val="20"/>
                <w:color w:val="auto"/>
              </w:rPr>
            </w:pPr>
            <w:r>
              <w:rPr>
                <w:rFonts w:ascii="Arial" w:cs="Arial" w:eastAsia="Arial" w:hAnsi="Arial"/>
                <w:sz w:val="18"/>
                <w:szCs w:val="18"/>
                <w:color w:val="auto"/>
              </w:rPr>
              <w:t>(212) 276-2427</w:t>
            </w:r>
          </w:p>
        </w:tc>
      </w:tr>
      <w:tr>
        <w:trPr>
          <w:trHeight w:val="229"/>
        </w:trPr>
        <w:tc>
          <w:tcPr>
            <w:tcW w:w="2820" w:type="dxa"/>
            <w:vAlign w:val="bottom"/>
          </w:tcPr>
          <w:p>
            <w:pPr>
              <w:ind w:left="1520"/>
              <w:spacing w:after="0"/>
              <w:rPr>
                <w:sz w:val="20"/>
                <w:szCs w:val="20"/>
                <w:color w:val="auto"/>
              </w:rPr>
            </w:pPr>
            <w:r>
              <w:rPr>
                <w:rFonts w:ascii="Arial" w:cs="Arial" w:eastAsia="Arial" w:hAnsi="Arial"/>
                <w:sz w:val="18"/>
                <w:szCs w:val="18"/>
                <w:color w:val="auto"/>
              </w:rPr>
              <w:t>Facsimile:</w:t>
            </w:r>
          </w:p>
        </w:tc>
        <w:tc>
          <w:tcPr>
            <w:tcW w:w="8640" w:type="dxa"/>
            <w:vAlign w:val="bottom"/>
          </w:tcPr>
          <w:p>
            <w:pPr>
              <w:ind w:left="220"/>
              <w:spacing w:after="0"/>
              <w:rPr>
                <w:sz w:val="20"/>
                <w:szCs w:val="20"/>
                <w:color w:val="auto"/>
              </w:rPr>
            </w:pPr>
            <w:r>
              <w:rPr>
                <w:rFonts w:ascii="Arial" w:cs="Arial" w:eastAsia="Arial" w:hAnsi="Arial"/>
                <w:sz w:val="18"/>
                <w:szCs w:val="18"/>
                <w:color w:val="auto"/>
              </w:rPr>
              <w:t>(212) 507-0724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-1476375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-1476375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0" w:lineRule="exact"/>
        <w:rPr>
          <w:sz w:val="20"/>
          <w:szCs w:val="20"/>
          <w:color w:val="auto"/>
        </w:rPr>
      </w:pPr>
    </w:p>
    <w:p>
      <w:pPr>
        <w:ind w:left="1360" w:hanging="708"/>
        <w:spacing w:after="0"/>
        <w:tabs>
          <w:tab w:leader="none" w:pos="13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3" w:lineRule="exact"/>
        <w:rPr>
          <w:sz w:val="20"/>
          <w:szCs w:val="20"/>
          <w:color w:val="auto"/>
        </w:rPr>
      </w:pPr>
    </w:p>
    <w:p>
      <w:pPr>
        <w:ind w:right="720" w:firstLine="652"/>
        <w:spacing w:after="0" w:line="275" w:lineRule="auto"/>
        <w:tabs>
          <w:tab w:leader="none" w:pos="1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60" w:right="100" w:firstLine="636"/>
        <w:spacing w:after="0" w:line="254" w:lineRule="auto"/>
        <w:tabs>
          <w:tab w:leader="none" w:pos="201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9" w:lineRule="exact"/>
        <w:rPr>
          <w:rFonts w:ascii="Arial" w:cs="Arial" w:eastAsia="Arial" w:hAnsi="Arial"/>
          <w:sz w:val="18"/>
          <w:szCs w:val="18"/>
          <w:color w:val="auto"/>
        </w:rPr>
      </w:pPr>
    </w:p>
    <w:p>
      <w:pPr>
        <w:ind w:left="660" w:right="140" w:firstLine="636"/>
        <w:spacing w:after="0" w:line="300" w:lineRule="auto"/>
        <w:tabs>
          <w:tab w:leader="none" w:pos="201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 as amended), 149 or 150, EITF Issue No. 00-19, 01-6, 03-6 or 07-5 (or any successor issue statements) or under FASB’s Liabilities &amp; Equity Project.</w:t>
      </w:r>
    </w:p>
    <w:p>
      <w:pPr>
        <w:spacing w:after="0" w:line="154" w:lineRule="exact"/>
        <w:rPr>
          <w:rFonts w:ascii="Arial" w:cs="Arial" w:eastAsia="Arial" w:hAnsi="Arial"/>
          <w:sz w:val="16"/>
          <w:szCs w:val="16"/>
          <w:color w:val="auto"/>
        </w:rPr>
      </w:pPr>
    </w:p>
    <w:p>
      <w:pPr>
        <w:ind w:left="660" w:right="360" w:firstLine="636"/>
        <w:spacing w:after="0" w:line="305" w:lineRule="auto"/>
        <w:tabs>
          <w:tab w:leader="none" w:pos="20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Prior to the Trade Date, Counterparty shall deliver to Dealer a resolution of Counterparty’s board of directors (or an authorized committee thereof) authorizing the Transaction and such other certificate or certificates as Dealer shall reasonably request.</w:t>
      </w:r>
    </w:p>
    <w:p>
      <w:pPr>
        <w:sectPr>
          <w:pgSz w:w="11900" w:h="16838" w:orient="portrait"/>
          <w:cols w:equalWidth="0" w:num="1">
            <w:col w:w="11460"/>
          </w:cols>
          <w:pgMar w:left="240" w:top="125" w:right="199" w:bottom="116" w:gutter="0" w:footer="0" w:header="0"/>
          <w:type w:val="continuous"/>
        </w:sectPr>
      </w:pPr>
    </w:p>
    <w:bookmarkStart w:id="52" w:name="page53"/>
    <w:bookmarkEnd w:id="52"/>
    <w:p>
      <w:pPr>
        <w:ind w:left="653" w:right="120" w:firstLine="636"/>
        <w:spacing w:after="0" w:line="275" w:lineRule="auto"/>
        <w:tabs>
          <w:tab w:leader="none" w:pos="200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53" w:right="120" w:firstLine="636"/>
        <w:spacing w:after="0" w:line="262" w:lineRule="auto"/>
        <w:tabs>
          <w:tab w:leader="none" w:pos="199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53" w:right="140" w:firstLine="636"/>
        <w:spacing w:after="0" w:line="275" w:lineRule="auto"/>
        <w:tabs>
          <w:tab w:leader="none" w:pos="200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653" w:right="20" w:firstLine="636"/>
        <w:spacing w:after="0" w:line="257" w:lineRule="auto"/>
        <w:tabs>
          <w:tab w:leader="none" w:pos="200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On the Trade Date, the Premium Payment Date and on any Additional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spacing w:after="0" w:line="187" w:lineRule="exact"/>
        <w:rPr>
          <w:rFonts w:ascii="Arial" w:cs="Arial" w:eastAsia="Arial" w:hAnsi="Arial"/>
          <w:sz w:val="18"/>
          <w:szCs w:val="18"/>
          <w:color w:val="auto"/>
        </w:rPr>
      </w:pPr>
    </w:p>
    <w:p>
      <w:pPr>
        <w:ind w:left="653" w:right="380" w:firstLine="636"/>
        <w:spacing w:after="0" w:line="286" w:lineRule="auto"/>
        <w:tabs>
          <w:tab w:leader="none" w:pos="201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During each period starting on the first Expiration Date and ending on the last Expiration Date, in each case sharing a common Final Disruption Date (each a “</w:t>
      </w:r>
      <w:r>
        <w:rPr>
          <w:rFonts w:ascii="Arial" w:cs="Arial" w:eastAsia="Arial" w:hAnsi="Arial"/>
          <w:sz w:val="16"/>
          <w:szCs w:val="16"/>
          <w:u w:val="single" w:color="auto"/>
          <w:color w:val="auto"/>
        </w:rPr>
        <w:t>Settlement Period</w:t>
      </w:r>
      <w:r>
        <w:rPr>
          <w:rFonts w:ascii="Arial" w:cs="Arial" w:eastAsia="Arial" w:hAnsi="Arial"/>
          <w:sz w:val="16"/>
          <w:szCs w:val="16"/>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6"/>
          <w:szCs w:val="16"/>
          <w:u w:val="single" w:color="auto"/>
          <w:color w:val="auto"/>
        </w:rPr>
        <w:t>Regulation M</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933" w:hanging="288"/>
        <w:spacing w:after="0"/>
        <w:tabs>
          <w:tab w:leader="none" w:pos="93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Counterparty shall not engage in any “distribution,” as such term is defined in Regulation M, other than a</w:t>
      </w:r>
    </w:p>
    <w:p>
      <w:pPr>
        <w:spacing w:after="0" w:line="208"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726884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53" w:right="300"/>
        <w:spacing w:after="0" w:line="275" w:lineRule="auto"/>
        <w:rPr>
          <w:sz w:val="20"/>
          <w:szCs w:val="20"/>
          <w:color w:val="auto"/>
        </w:rPr>
      </w:pPr>
      <w:r>
        <w:rPr>
          <w:rFonts w:ascii="Arial" w:cs="Arial" w:eastAsia="Arial" w:hAnsi="Arial"/>
          <w:sz w:val="18"/>
          <w:szCs w:val="18"/>
          <w:color w:val="auto"/>
        </w:rPr>
        <w:t>distribution meeting the requirements of the exceptions set forth in sections 101(b)(10) and 102(b)(7) of Regulation M, until the second Exchange Business Day immediately following the relevant Settlement Period.</w:t>
      </w:r>
    </w:p>
    <w:p>
      <w:pPr>
        <w:spacing w:after="0" w:line="170" w:lineRule="exact"/>
        <w:rPr>
          <w:sz w:val="20"/>
          <w:szCs w:val="20"/>
          <w:color w:val="auto"/>
        </w:rPr>
      </w:pPr>
    </w:p>
    <w:p>
      <w:pPr>
        <w:ind w:left="653" w:right="120" w:firstLine="636"/>
        <w:spacing w:after="0" w:line="255" w:lineRule="auto"/>
        <w:tabs>
          <w:tab w:leader="none" w:pos="2048" w:val="left"/>
        </w:tabs>
        <w:numPr>
          <w:ilvl w:val="2"/>
          <w:numId w:val="119"/>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9" w:lineRule="exact"/>
        <w:rPr>
          <w:rFonts w:ascii="Arial" w:cs="Arial" w:eastAsia="Arial" w:hAnsi="Arial"/>
          <w:sz w:val="18"/>
          <w:szCs w:val="18"/>
          <w:color w:val="auto"/>
        </w:rPr>
      </w:pPr>
    </w:p>
    <w:p>
      <w:pPr>
        <w:ind w:left="-7" w:right="220" w:firstLine="652"/>
        <w:spacing w:after="0" w:line="275" w:lineRule="auto"/>
        <w:tabs>
          <w:tab w:leader="none" w:pos="133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left="-7" w:firstLine="652"/>
        <w:spacing w:after="0" w:line="284" w:lineRule="auto"/>
        <w:tabs>
          <w:tab w:leader="none" w:pos="132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w:t>
      </w:r>
    </w:p>
    <w:p>
      <w:pPr>
        <w:ind w:left="-7" w:right="120" w:firstLine="7"/>
        <w:spacing w:after="0" w:line="268" w:lineRule="auto"/>
        <w:tabs>
          <w:tab w:leader="none" w:pos="25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79" w:lineRule="exact"/>
        <w:rPr>
          <w:rFonts w:ascii="Arial" w:cs="Arial" w:eastAsia="Arial" w:hAnsi="Arial"/>
          <w:sz w:val="17"/>
          <w:szCs w:val="17"/>
          <w:color w:val="auto"/>
        </w:rPr>
      </w:pPr>
    </w:p>
    <w:p>
      <w:pPr>
        <w:ind w:left="-7" w:right="300" w:firstLine="652"/>
        <w:spacing w:after="0" w:line="290" w:lineRule="auto"/>
        <w:tabs>
          <w:tab w:leader="none" w:pos="133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2" w:lineRule="exact"/>
        <w:rPr>
          <w:rFonts w:ascii="Arial" w:cs="Arial" w:eastAsia="Arial" w:hAnsi="Arial"/>
          <w:sz w:val="16"/>
          <w:szCs w:val="16"/>
          <w:color w:val="auto"/>
        </w:rPr>
      </w:pPr>
    </w:p>
    <w:p>
      <w:pPr>
        <w:ind w:left="-7" w:firstLine="652"/>
        <w:spacing w:after="0" w:line="272" w:lineRule="auto"/>
        <w:tabs>
          <w:tab w:leader="none" w:pos="132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5" w:lineRule="exact"/>
        <w:rPr>
          <w:sz w:val="20"/>
          <w:szCs w:val="20"/>
          <w:color w:val="auto"/>
        </w:rPr>
      </w:pPr>
    </w:p>
    <w:p>
      <w:pPr>
        <w:ind w:left="-7" w:right="60" w:firstLine="652"/>
        <w:spacing w:after="0" w:line="253" w:lineRule="auto"/>
        <w:tabs>
          <w:tab w:leader="none" w:pos="135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Repurchase Notices</w:t>
      </w:r>
      <w:r>
        <w:rPr>
          <w:rFonts w:ascii="Arial" w:cs="Arial" w:eastAsia="Arial" w:hAnsi="Arial"/>
          <w:sz w:val="18"/>
          <w:szCs w:val="18"/>
          <w:color w:val="auto"/>
        </w:rPr>
        <w:t>. Counterparty shall, on any day on which Counterparty effects any repurchase of Shares, promptly give Dealer a written notice of such repurchase (a “</w:t>
      </w:r>
      <w:r>
        <w:rPr>
          <w:rFonts w:ascii="Arial" w:cs="Arial" w:eastAsia="Arial" w:hAnsi="Arial"/>
          <w:sz w:val="18"/>
          <w:szCs w:val="18"/>
          <w:u w:val="single" w:color="auto"/>
          <w:color w:val="auto"/>
        </w:rPr>
        <w:t>Repurchase Notice</w:t>
      </w:r>
      <w:r>
        <w:rPr>
          <w:rFonts w:ascii="Arial" w:cs="Arial" w:eastAsia="Arial" w:hAnsi="Arial"/>
          <w:sz w:val="18"/>
          <w:szCs w:val="18"/>
          <w:color w:val="auto"/>
        </w:rPr>
        <w:t>”) on such day if following such repurchase, the Notice Percentage as determined on such day is greater by 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8"/>
          <w:szCs w:val="18"/>
          <w:u w:val="single" w:color="auto"/>
          <w:color w:val="auto"/>
        </w:rPr>
        <w:t>Notice Percentage</w:t>
      </w:r>
      <w:r>
        <w:rPr>
          <w:rFonts w:ascii="Arial" w:cs="Arial" w:eastAsia="Arial" w:hAnsi="Arial"/>
          <w:sz w:val="18"/>
          <w:szCs w:val="18"/>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w:t>
      </w:r>
    </w:p>
    <w:p>
      <w:pPr>
        <w:spacing w:after="0" w:line="19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726884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393"/>
          </w:cols>
          <w:pgMar w:left="247" w:top="125" w:right="259" w:bottom="621" w:gutter="0" w:footer="0" w:header="0"/>
        </w:sectPr>
      </w:pPr>
    </w:p>
    <w:bookmarkStart w:id="53" w:name="page54"/>
    <w:bookmarkEnd w:id="53"/>
    <w:p>
      <w:pPr>
        <w:spacing w:after="0" w:line="284" w:lineRule="auto"/>
        <w:rPr>
          <w:sz w:val="20"/>
          <w:szCs w:val="20"/>
          <w:color w:val="auto"/>
        </w:rPr>
      </w:pPr>
      <w:r>
        <w:rPr>
          <w:rFonts w:ascii="Arial" w:cs="Arial" w:eastAsia="Arial" w:hAnsi="Arial"/>
          <w:sz w:val="16"/>
          <w:szCs w:val="16"/>
          <w:color w:val="auto"/>
        </w:rPr>
        <w:t>specified in this Section 7, then Counterparty to the extent permitted by law agrees to indemnify and hold harmless Dealer, its affiliates and their respective directors, officers, employees, agents and controlling persons (Dealer and each such person being an “Indemnified Person”)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72" w:lineRule="exact"/>
        <w:rPr>
          <w:sz w:val="20"/>
          <w:szCs w:val="20"/>
          <w:color w:val="auto"/>
        </w:rPr>
      </w:pPr>
    </w:p>
    <w:p>
      <w:pPr>
        <w:ind w:firstLine="652"/>
        <w:spacing w:after="0" w:line="266" w:lineRule="auto"/>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Transfer or Assignment</w:t>
      </w:r>
      <w:r>
        <w:rPr>
          <w:rFonts w:ascii="Arial" w:cs="Arial" w:eastAsia="Arial" w:hAnsi="Arial"/>
          <w:sz w:val="17"/>
          <w:szCs w:val="17"/>
          <w:color w:val="auto"/>
        </w:rPr>
        <w:t>. Neither party may transfer any of its rights or obligations under this Transaction without the prior written consent of the non-transferring party (such consent not to be unreasonably withheld); provided that if at any time the Equity Percentage exceeds 9%, Dealer may immediately, in its sole discretion, transfer or assign a number of Options sufficient to reduce the Equity Percentage to 8.5% to any affiliate of Dealer whose obligations are guaranteed by Morgan Stanley, or any third party with (or with a guarantor (a “Third Party Guarantor”) that has) a rating for its long-term, unsecured and unsubordinated indebtedness of A- or better by Standard &amp; Poor’s Ratings Services or its successor (“S&amp;P”), or A3 or better by Moody’s Investors Service, Inc. (“Moody’s”) or, if either S&amp;P or Moody’s ceases to rate such debt, at least an equivalent rating or better by a substitute agency rating mutually agreed by Counterparty and Dealer; provided however such Third Party Guarantor shall provide a guarantee in a form reasonably satisfactory to the Counterparty in connection with such transfer or assignment. If, in the discretion of Dealer, Dealer is unable to effect such transfer or assignment after its commercially reasonable efforts on pricing terms reasonably acceptable to Dealer, Dealer may designate any Scheduled Trading Day as an Early Termination Date and an Additional Termination Date shall be deemed to occur with respect to a portion (the “</w:t>
      </w:r>
      <w:r>
        <w:rPr>
          <w:rFonts w:ascii="Arial" w:cs="Arial" w:eastAsia="Arial" w:hAnsi="Arial"/>
          <w:sz w:val="17"/>
          <w:szCs w:val="17"/>
          <w:u w:val="single" w:color="auto"/>
          <w:color w:val="auto"/>
        </w:rPr>
        <w:t>Terminated Portion</w:t>
      </w:r>
      <w:r>
        <w:rPr>
          <w:rFonts w:ascii="Arial" w:cs="Arial" w:eastAsia="Arial" w:hAnsi="Arial"/>
          <w:sz w:val="17"/>
          <w:szCs w:val="17"/>
          <w:color w:val="auto"/>
        </w:rPr>
        <w:t>”) of this Transaction, allocated to Components as Dealer determines in its discretion, such that the Equity Percentage following such partial termination will be equal to or less than 8.5%. In the event that Dealer so designates an Early Termination Date with respect to a portion of this Transaction, a payment shall be made pursuant to Section 6 of the Agreement as if (i) an Early Termination Date had been designated in respect of a Transaction having terms identical to this Transaction and a Number of Options equal to the Terminated Portion, (ii) Counterparty shall be the Affected Party with respect to such partial termination and (iii) such portion of this Transaction shall be the only Affected Transaction. The “</w:t>
      </w:r>
      <w:r>
        <w:rPr>
          <w:rFonts w:ascii="Arial" w:cs="Arial" w:eastAsia="Arial" w:hAnsi="Arial"/>
          <w:sz w:val="17"/>
          <w:szCs w:val="17"/>
          <w:u w:val="single" w:color="auto"/>
          <w:color w:val="auto"/>
        </w:rPr>
        <w:t>Equity Percentage</w:t>
      </w:r>
      <w:r>
        <w:rPr>
          <w:rFonts w:ascii="Arial" w:cs="Arial" w:eastAsia="Arial" w:hAnsi="Arial"/>
          <w:sz w:val="17"/>
          <w:szCs w:val="17"/>
          <w:color w:val="auto"/>
        </w:rPr>
        <w:t>” as of any day is the fraction (A) the numerator of which is the number of Shares that Dealer or any of its affiliates that are subject to aggregation with Dealer beneficially own (within the meaning of Section 13 of the Exchange Act) on such day and (B) the denominator of which is the number of Shares outstanding on such day. Notwithstanding Section 7 of the Agreement, Counterparty may assign its rights and obligations under this Transaction, in whole or in part, on terms reasonably acceptable to both parties, without any payment being owed from Counterparty to Dealer.</w:t>
      </w:r>
    </w:p>
    <w:p>
      <w:pPr>
        <w:spacing w:after="0" w:line="180" w:lineRule="exact"/>
        <w:rPr>
          <w:rFonts w:ascii="Arial" w:cs="Arial" w:eastAsia="Arial" w:hAnsi="Arial"/>
          <w:sz w:val="17"/>
          <w:szCs w:val="17"/>
          <w:color w:val="auto"/>
        </w:rPr>
      </w:pPr>
    </w:p>
    <w:p>
      <w:pPr>
        <w:ind w:right="80" w:firstLine="652"/>
        <w:spacing w:after="0" w:line="255" w:lineRule="auto"/>
        <w:tabs>
          <w:tab w:leader="none" w:pos="13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pacing w:after="0" w:line="189" w:lineRule="exact"/>
        <w:rPr>
          <w:rFonts w:ascii="Arial" w:cs="Arial" w:eastAsia="Arial" w:hAnsi="Arial"/>
          <w:sz w:val="18"/>
          <w:szCs w:val="18"/>
          <w:color w:val="auto"/>
        </w:rPr>
      </w:pPr>
    </w:p>
    <w:p>
      <w:pPr>
        <w:jc w:val="both"/>
        <w:ind w:right="40" w:firstLine="652"/>
        <w:spacing w:after="0" w:line="262" w:lineRule="auto"/>
        <w:tabs>
          <w:tab w:leader="none" w:pos="13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652"/>
        <w:spacing w:after="0" w:line="295" w:lineRule="auto"/>
        <w:tabs>
          <w:tab w:leader="none" w:pos="1354"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160" w:firstLine="652"/>
        <w:spacing w:after="0" w:line="267" w:lineRule="auto"/>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w:t>
      </w:r>
      <w:r>
        <w:rPr>
          <w:rFonts w:ascii="Arial" w:cs="Arial" w:eastAsia="Arial" w:hAnsi="Arial"/>
          <w:sz w:val="17"/>
          <w:szCs w:val="17"/>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u w:val="single" w:color="auto"/>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u w:val="single" w:color="auto"/>
          <w:color w:val="auto"/>
        </w:rPr>
        <w:t>Share Termination Alternative</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w:t>
      </w:r>
    </w:p>
    <w:p>
      <w:pPr>
        <w:sectPr>
          <w:pgSz w:w="11900" w:h="16838" w:orient="portrait"/>
          <w:cols w:equalWidth="0" w:num="2">
            <w:col w:w="2600" w:space="720"/>
            <w:col w:w="8100"/>
          </w:cols>
          <w:pgMar w:left="240" w:top="125" w:right="239" w:bottom="0" w:gutter="0" w:footer="0" w:header="0"/>
          <w:type w:val="continuous"/>
        </w:sectPr>
      </w:pPr>
    </w:p>
    <w:bookmarkStart w:id="54" w:name="page55"/>
    <w:bookmarkEnd w:id="54"/>
    <w:p>
      <w:pPr>
        <w:ind w:left="3320" w:right="160"/>
        <w:spacing w:after="0" w:line="275" w:lineRule="auto"/>
        <w:rPr>
          <w:sz w:val="20"/>
          <w:szCs w:val="20"/>
          <w:color w:val="auto"/>
        </w:rPr>
      </w:pPr>
      <w:r>
        <w:rPr>
          <w:rFonts w:ascii="Arial" w:cs="Arial" w:eastAsia="Arial" w:hAnsi="Arial"/>
          <w:sz w:val="18"/>
          <w:szCs w:val="18"/>
          <w:color w:val="auto"/>
        </w:rPr>
        <w:t>Tender Offer involves a choice of consideration to be received by holders, such holder shall be deemed to have elected to receive the maximum possible amount of cash.</w:t>
      </w:r>
    </w:p>
    <w:p>
      <w:pPr>
        <w:sectPr>
          <w:pgSz w:w="11900" w:h="16838" w:orient="portrait"/>
          <w:cols w:equalWidth="0" w:num="1">
            <w:col w:w="11420"/>
          </w:cols>
          <w:pgMar w:left="240" w:top="125" w:right="239" w:bottom="91"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2600" w:space="720"/>
            <w:col w:w="8100"/>
          </w:cols>
          <w:pgMar w:left="240" w:top="125" w:right="239" w:bottom="91"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 xml:space="preserve">If Share Termination Alternative is applicable, the provisions of Sections 9.8, 9.9, 9.10, 9.11 and 9.12 of the Equity Definitions will be applicable as if Physical Settlement applied to the termination of the Transaction, except that all references to “Shares” shall be read as references to “Share Termination Delivery Units”;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Representation and Agreement contained in Section 9.11 of the Equity Definitions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by excluding any representations therein relating to restrictions, obligations, limitations or requirements under applicable securities laws as a result of the fact that Buyer is the issuer of any Share Termination Delivery Units (or any part thereof).</w:t>
      </w:r>
    </w:p>
    <w:p>
      <w:pPr>
        <w:spacing w:after="0" w:line="179" w:lineRule="exact"/>
        <w:rPr>
          <w:sz w:val="20"/>
          <w:szCs w:val="20"/>
          <w:color w:val="auto"/>
        </w:rPr>
      </w:pPr>
    </w:p>
    <w:p>
      <w:pPr>
        <w:sectPr>
          <w:pgSz w:w="11900" w:h="16838" w:orient="portrait"/>
          <w:cols w:equalWidth="0" w:num="2">
            <w:col w:w="2600" w:space="720"/>
            <w:col w:w="8100"/>
          </w:cols>
          <w:pgMar w:left="240" w:top="125" w:right="239" w:bottom="91" w:gutter="0" w:footer="0" w:header="0"/>
          <w:type w:val="continuous"/>
        </w:sectPr>
      </w:pPr>
    </w:p>
    <w:p>
      <w:pPr>
        <w:ind w:left="1360" w:hanging="708"/>
        <w:spacing w:after="0"/>
        <w:tabs>
          <w:tab w:leader="none" w:pos="13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3" w:lineRule="exact"/>
        <w:rPr>
          <w:sz w:val="20"/>
          <w:szCs w:val="20"/>
          <w:color w:val="auto"/>
        </w:rPr>
      </w:pPr>
    </w:p>
    <w:p>
      <w:pPr>
        <w:ind w:left="1620" w:right="160"/>
        <w:spacing w:after="0" w:line="255" w:lineRule="auto"/>
        <w:rPr>
          <w:sz w:val="20"/>
          <w:szCs w:val="20"/>
          <w:color w:val="auto"/>
        </w:rPr>
      </w:pPr>
      <w:r>
        <w:rPr>
          <w:rFonts w:ascii="Arial" w:cs="Arial" w:eastAsia="Arial" w:hAnsi="Arial"/>
          <w:sz w:val="18"/>
          <w:szCs w:val="18"/>
          <w:color w:val="auto"/>
        </w:rPr>
        <w:t>“(f) Upon the occurrence of an Event of Default or Termination Event with respect to a party who is the Defaulting Party or the Affected Party (“</w:t>
      </w:r>
      <w:r>
        <w:rPr>
          <w:rFonts w:ascii="Arial" w:cs="Arial" w:eastAsia="Arial" w:hAnsi="Arial"/>
          <w:sz w:val="18"/>
          <w:szCs w:val="18"/>
          <w:u w:val="single" w:color="auto"/>
          <w:color w:val="auto"/>
        </w:rPr>
        <w:t>X</w:t>
      </w:r>
      <w:r>
        <w:rPr>
          <w:rFonts w:ascii="Arial" w:cs="Arial" w:eastAsia="Arial" w:hAnsi="Arial"/>
          <w:sz w:val="18"/>
          <w:szCs w:val="18"/>
          <w:color w:val="auto"/>
        </w:rPr>
        <w:t>”), the other party (“</w:t>
      </w:r>
      <w:r>
        <w:rPr>
          <w:rFonts w:ascii="Arial" w:cs="Arial" w:eastAsia="Arial" w:hAnsi="Arial"/>
          <w:sz w:val="18"/>
          <w:szCs w:val="18"/>
          <w:u w:val="single" w:color="auto"/>
          <w:color w:val="auto"/>
        </w:rPr>
        <w:t>Y</w:t>
      </w:r>
      <w:r>
        <w:rPr>
          <w:rFonts w:ascii="Arial" w:cs="Arial" w:eastAsia="Arial" w:hAnsi="Arial"/>
          <w:sz w:val="18"/>
          <w:szCs w:val="18"/>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20" w:right="360"/>
        <w:spacing w:after="0" w:line="262" w:lineRule="auto"/>
        <w:rPr>
          <w:sz w:val="20"/>
          <w:szCs w:val="20"/>
          <w:color w:val="auto"/>
        </w:rPr>
      </w:pPr>
      <w:r>
        <w:rPr>
          <w:rFonts w:ascii="Arial" w:cs="Arial" w:eastAsia="Arial" w:hAnsi="Arial"/>
          <w:sz w:val="18"/>
          <w:szCs w:val="18"/>
          <w:color w:val="auto"/>
        </w:rPr>
        <w:t>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181" w:lineRule="exact"/>
        <w:rPr>
          <w:sz w:val="20"/>
          <w:szCs w:val="20"/>
          <w:color w:val="auto"/>
        </w:rPr>
      </w:pPr>
    </w:p>
    <w:p>
      <w:pPr>
        <w:ind w:left="162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Contract</w:t>
      </w:r>
      <w:r>
        <w:rPr>
          <w:rFonts w:ascii="Arial" w:cs="Arial" w:eastAsia="Arial" w:hAnsi="Arial"/>
          <w:sz w:val="18"/>
          <w:szCs w:val="18"/>
          <w:color w:val="auto"/>
        </w:rPr>
        <w:t>” shall mean for purposes of this Section 6(f) any transaction relating to Shares between X and Y (or any Affiliate of Y) that qualifies as ‘equity’ under applicable accounting rules.</w:t>
      </w:r>
    </w:p>
    <w:p>
      <w:pPr>
        <w:spacing w:after="0" w:line="170" w:lineRule="exact"/>
        <w:rPr>
          <w:sz w:val="20"/>
          <w:szCs w:val="20"/>
          <w:color w:val="auto"/>
        </w:rPr>
      </w:pPr>
    </w:p>
    <w:p>
      <w:pPr>
        <w:ind w:left="1620" w:right="60"/>
        <w:spacing w:after="0" w:line="262"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620" w:right="480"/>
        <w:spacing w:after="0" w:line="275"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620" w:right="240"/>
        <w:spacing w:after="0" w:line="262"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ind w:right="380" w:firstLine="652"/>
        <w:spacing w:after="0" w:line="339" w:lineRule="auto"/>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24" w:lineRule="exact"/>
        <w:rPr>
          <w:rFonts w:ascii="Arial" w:cs="Arial" w:eastAsia="Arial" w:hAnsi="Arial"/>
          <w:sz w:val="16"/>
          <w:szCs w:val="16"/>
          <w:color w:val="auto"/>
        </w:rPr>
      </w:pPr>
    </w:p>
    <w:p>
      <w:pPr>
        <w:ind w:right="120" w:firstLine="652"/>
        <w:spacing w:after="0" w:line="309" w:lineRule="auto"/>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8" w:lineRule="exact"/>
        <w:rPr>
          <w:rFonts w:ascii="Arial" w:cs="Arial" w:eastAsia="Arial" w:hAnsi="Arial"/>
          <w:sz w:val="16"/>
          <w:szCs w:val="16"/>
          <w:color w:val="auto"/>
        </w:rPr>
      </w:pPr>
    </w:p>
    <w:p>
      <w:pPr>
        <w:ind w:firstLine="652"/>
        <w:spacing w:after="0" w:line="284" w:lineRule="auto"/>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Unwind</w:t>
      </w:r>
      <w:r>
        <w:rPr>
          <w:rFonts w:ascii="Arial" w:cs="Arial" w:eastAsia="Arial" w:hAnsi="Arial"/>
          <w:sz w:val="16"/>
          <w:szCs w:val="16"/>
          <w:color w:val="auto"/>
        </w:rPr>
        <w:t>. In the event the sale of the Convertible Notes is not consummated with the initial purchasers pursuant to the Underwriting Agreement, for any reason by the close of business in New York on April 15, 2009 (or such later date as agreed upon by the parties which in no event shall be later than the third Scheduled Trading Day following April 15, 2009) (such date or such later date as agreed upon being the “</w:t>
      </w:r>
      <w:r>
        <w:rPr>
          <w:rFonts w:ascii="Arial" w:cs="Arial" w:eastAsia="Arial" w:hAnsi="Arial"/>
          <w:sz w:val="16"/>
          <w:szCs w:val="16"/>
          <w:u w:val="single" w:color="auto"/>
          <w:color w:val="auto"/>
        </w:rPr>
        <w:t>Accelerated Unwind Date</w:t>
      </w:r>
      <w:r>
        <w:rPr>
          <w:rFonts w:ascii="Arial" w:cs="Arial" w:eastAsia="Arial" w:hAnsi="Arial"/>
          <w:sz w:val="16"/>
          <w:szCs w:val="16"/>
          <w:color w:val="auto"/>
        </w:rPr>
        <w:t>”), this Transaction shall automatically terminate (the “</w:t>
      </w:r>
      <w:r>
        <w:rPr>
          <w:rFonts w:ascii="Arial" w:cs="Arial" w:eastAsia="Arial" w:hAnsi="Arial"/>
          <w:sz w:val="16"/>
          <w:szCs w:val="16"/>
          <w:u w:val="single" w:color="auto"/>
          <w:color w:val="auto"/>
        </w:rPr>
        <w:t>Accelerated Unwind</w:t>
      </w:r>
      <w:r>
        <w:rPr>
          <w:rFonts w:ascii="Arial" w:cs="Arial" w:eastAsia="Arial" w:hAnsi="Arial"/>
          <w:sz w:val="16"/>
          <w:szCs w:val="16"/>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which shall be paid in cash or Shares at the option of the Counterparty (and if paid in Shares, with the market valuation of such Shares being determined in a commercially reasonable manner by the Calculation Agent).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firstLine="652"/>
        <w:spacing w:after="0" w:line="255" w:lineRule="auto"/>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Counterparty understands and agrees that Agent will act as agent for both parties with respect to the Transaction. Agent is so acting solely in its capacity as agent for Counterparty and Dealer pursuant to instructions from Counterparty and Dealer. Agent shall have no responsibility or personal liability to either party arising from any failure by either party to pay or perform any obligation under the Transaction. Each party agrees to proceed solely against the other to collect or recover any amount owing to it or enforce any of its rights in connection with or as a result of the Transaction.</w:t>
      </w:r>
    </w:p>
    <w:p>
      <w:pPr>
        <w:sectPr>
          <w:pgSz w:w="11900" w:h="16838" w:orient="portrait"/>
          <w:cols w:equalWidth="0" w:num="1">
            <w:col w:w="11420"/>
          </w:cols>
          <w:pgMar w:left="240" w:top="125" w:right="239" w:bottom="91" w:gutter="0" w:footer="0" w:header="0"/>
          <w:type w:val="continuous"/>
        </w:sectPr>
      </w:pPr>
    </w:p>
    <w:bookmarkStart w:id="55" w:name="page56"/>
    <w:bookmarkEnd w:id="55"/>
    <w:p>
      <w:pPr>
        <w:ind w:right="140" w:firstLine="645"/>
        <w:spacing w:after="0" w:line="252" w:lineRule="auto"/>
        <w:rPr>
          <w:sz w:val="20"/>
          <w:szCs w:val="20"/>
          <w:color w:val="auto"/>
        </w:rPr>
      </w:pPr>
      <w:r>
        <w:rPr>
          <w:rFonts w:ascii="Arial" w:cs="Arial" w:eastAsia="Arial" w:hAnsi="Arial"/>
          <w:sz w:val="18"/>
          <w:szCs w:val="18"/>
          <w:color w:val="auto"/>
        </w:rPr>
        <w:t>Notwithstanding any provisions of the Agreement, all communications relating to the Transaction or the Agreement shall be transmitted exclusively through Agent at Morgan Stanley Bank, N.A., 750 Seventh Avenue, 29</w:t>
      </w:r>
      <w:r>
        <w:rPr>
          <w:rFonts w:ascii="Arial" w:cs="Arial" w:eastAsia="Arial" w:hAnsi="Arial"/>
          <w:sz w:val="35"/>
          <w:szCs w:val="35"/>
          <w:color w:val="auto"/>
          <w:vertAlign w:val="superscript"/>
        </w:rPr>
        <w:t>th</w:t>
      </w:r>
      <w:r>
        <w:rPr>
          <w:rFonts w:ascii="Arial" w:cs="Arial" w:eastAsia="Arial" w:hAnsi="Arial"/>
          <w:sz w:val="18"/>
          <w:szCs w:val="18"/>
          <w:color w:val="auto"/>
        </w:rPr>
        <w:t xml:space="preserve"> Floor, New York, New York 10019.</w:t>
      </w:r>
    </w:p>
    <w:p>
      <w:pPr>
        <w:spacing w:after="0" w:line="1" w:lineRule="exact"/>
        <w:rPr>
          <w:sz w:val="20"/>
          <w:szCs w:val="20"/>
          <w:color w:val="auto"/>
        </w:rPr>
      </w:pPr>
    </w:p>
    <w:p>
      <w:pPr>
        <w:ind w:left="1360" w:hanging="708"/>
        <w:spacing w:after="0"/>
        <w:tabs>
          <w:tab w:leader="none" w:pos="136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p>
    <w:p>
      <w:pPr>
        <w:spacing w:after="0" w:line="213" w:lineRule="exact"/>
        <w:rPr>
          <w:rFonts w:ascii="Arial" w:cs="Arial" w:eastAsia="Arial" w:hAnsi="Arial"/>
          <w:sz w:val="18"/>
          <w:szCs w:val="18"/>
          <w:color w:val="auto"/>
        </w:rPr>
      </w:pPr>
    </w:p>
    <w:p>
      <w:pPr>
        <w:ind w:right="80" w:firstLine="652"/>
        <w:spacing w:after="0" w:line="282" w:lineRule="auto"/>
        <w:tabs>
          <w:tab w:leader="none" w:pos="1360"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Counterparty hereby agrees that if at any time, in the reasonable judgment of counsel for the Dealer, the Shares acquired by Dealer for the purpose of hedging its obligations pursuant to the Transaction (other than such Shares, if any, that are, at the time of such determination, due to be delivered to Counterparty in connection with a Net Share Settlement of the Transaction) (the “Hedge Shares”),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w:t>
      </w:r>
    </w:p>
    <w:p>
      <w:pPr>
        <w:spacing w:after="0" w:line="5" w:lineRule="exact"/>
        <w:rPr>
          <w:rFonts w:ascii="Arial" w:cs="Arial" w:eastAsia="Arial" w:hAnsi="Arial"/>
          <w:sz w:val="16"/>
          <w:szCs w:val="16"/>
          <w:color w:val="auto"/>
        </w:rPr>
      </w:pPr>
    </w:p>
    <w:p>
      <w:pPr>
        <w:ind w:left="300" w:hanging="293"/>
        <w:spacing w:after="0"/>
        <w:tabs>
          <w:tab w:leader="none" w:pos="3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provide disclosure opinions of nationally recognized outside counsel to Counterparty customary in form for registered offerings of equity securities,</w:t>
      </w:r>
    </w:p>
    <w:p>
      <w:pPr>
        <w:spacing w:after="0" w:line="19" w:lineRule="exact"/>
        <w:rPr>
          <w:rFonts w:ascii="Arial" w:cs="Arial" w:eastAsia="Arial" w:hAnsi="Arial"/>
          <w:sz w:val="17"/>
          <w:szCs w:val="17"/>
          <w:color w:val="auto"/>
        </w:rPr>
      </w:pPr>
    </w:p>
    <w:p>
      <w:pPr>
        <w:ind w:right="40" w:firstLine="7"/>
        <w:spacing w:after="0" w:line="265" w:lineRule="auto"/>
        <w:tabs>
          <w:tab w:leader="none" w:pos="29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174" w:lineRule="exact"/>
        <w:rPr>
          <w:rFonts w:ascii="Arial" w:cs="Arial" w:eastAsia="Arial" w:hAnsi="Arial"/>
          <w:sz w:val="17"/>
          <w:szCs w:val="17"/>
          <w:color w:val="auto"/>
        </w:rPr>
      </w:pPr>
    </w:p>
    <w:p>
      <w:pPr>
        <w:ind w:left="1360" w:hanging="708"/>
        <w:spacing w:after="0"/>
        <w:tabs>
          <w:tab w:leader="none" w:pos="136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Annex B.</w:t>
      </w:r>
    </w:p>
    <w:p>
      <w:pPr>
        <w:spacing w:after="0" w:line="190" w:lineRule="exact"/>
        <w:rPr>
          <w:rFonts w:ascii="Arial" w:cs="Arial" w:eastAsia="Arial" w:hAnsi="Arial"/>
          <w:sz w:val="16"/>
          <w:szCs w:val="16"/>
          <w:color w:val="auto"/>
        </w:rPr>
      </w:pPr>
    </w:p>
    <w:p>
      <w:pPr>
        <w:ind w:left="1360" w:hanging="708"/>
        <w:spacing w:after="0"/>
        <w:tabs>
          <w:tab w:leader="none" w:pos="136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w:t>
      </w:r>
    </w:p>
    <w:p>
      <w:pPr>
        <w:spacing w:after="0" w:line="26"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60" w:hanging="708"/>
        <w:spacing w:after="0"/>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w:t>
      </w:r>
    </w:p>
    <w:p>
      <w:pPr>
        <w:spacing w:after="0" w:line="26" w:lineRule="exact"/>
        <w:rPr>
          <w:rFonts w:ascii="Arial" w:cs="Arial" w:eastAsia="Arial" w:hAnsi="Arial"/>
          <w:sz w:val="18"/>
          <w:szCs w:val="18"/>
          <w:color w:val="auto"/>
        </w:rPr>
      </w:pPr>
    </w:p>
    <w:p>
      <w:pPr>
        <w:ind w:right="28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OF 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76" w:lineRule="exact"/>
        <w:rPr>
          <w:rFonts w:ascii="Arial" w:cs="Arial" w:eastAsia="Arial" w:hAnsi="Arial"/>
          <w:sz w:val="18"/>
          <w:szCs w:val="18"/>
          <w:color w:val="auto"/>
        </w:rPr>
      </w:pPr>
    </w:p>
    <w:p>
      <w:pPr>
        <w:ind w:right="180" w:firstLine="652"/>
        <w:spacing w:after="0" w:line="262"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 Agent will furnish Counterparty upon written request a statement as to the source and amount of any remuneration received or to be received by Agent in connection with the Transaction evidenced hereby.</w:t>
      </w:r>
    </w:p>
    <w:p>
      <w:pPr>
        <w:spacing w:after="0" w:line="168" w:lineRule="exact"/>
        <w:rPr>
          <w:rFonts w:ascii="Arial" w:cs="Arial" w:eastAsia="Arial" w:hAnsi="Arial"/>
          <w:sz w:val="18"/>
          <w:szCs w:val="18"/>
          <w:color w:val="auto"/>
        </w:rPr>
      </w:pPr>
    </w:p>
    <w:p>
      <w:pPr>
        <w:ind w:right="40" w:firstLine="652"/>
        <w:spacing w:after="0" w:line="254"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Role of Agent</w:t>
      </w:r>
      <w:r>
        <w:rPr>
          <w:rFonts w:ascii="Arial" w:cs="Arial" w:eastAsia="Arial" w:hAnsi="Arial"/>
          <w:sz w:val="18"/>
          <w:szCs w:val="18"/>
          <w:color w:val="auto"/>
        </w:rPr>
        <w:t>. (i) Agent is acting as agent for Dealer but does not guarantee the performance of Dealer or Counterparty; (ii) Dealer is not a member of the Securities Investor Protection Corporation; (iii) Agent, Dealer and Counterparty each hereby acknowledges that any transactions by Dealer or Agent in the Shares will be undertaken by Dealer as principal for its own account; and (iv) all of the actions to be taken by Dealer and Agent in connection with the Transaction shall be taken by Dealer or Agent independently and without any advance or subsequent consultation with Counterparty; and (v) Agent is hereby authorized to act as agent for Counterparty only to the extent required to satisfy the requirements of Rule 15a-6 under the Exchange Act in respect of the Transaction described hereby.</w:t>
      </w:r>
    </w:p>
    <w:p>
      <w:pPr>
        <w:spacing w:after="0" w:line="176" w:lineRule="exact"/>
        <w:rPr>
          <w:rFonts w:ascii="Arial" w:cs="Arial" w:eastAsia="Arial" w:hAnsi="Arial"/>
          <w:sz w:val="18"/>
          <w:szCs w:val="18"/>
          <w:color w:val="auto"/>
        </w:rPr>
      </w:pPr>
    </w:p>
    <w:p>
      <w:pPr>
        <w:ind w:right="300" w:firstLine="652"/>
        <w:spacing w:after="0" w:line="275" w:lineRule="auto"/>
        <w:tabs>
          <w:tab w:leader="none" w:pos="1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On or prior to the Effective Date, Dealer shall deliver to Counterparty an executed copy of a guarantee in the form attached hereto as Annex 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firstLine="645"/>
        <w:spacing w:after="0" w:line="258" w:lineRule="auto"/>
        <w:rPr>
          <w:sz w:val="20"/>
          <w:szCs w:val="20"/>
          <w:color w:val="auto"/>
        </w:rPr>
      </w:pPr>
      <w:r>
        <w:rPr>
          <w:rFonts w:ascii="Arial" w:cs="Arial" w:eastAsia="Arial" w:hAnsi="Arial"/>
          <w:sz w:val="18"/>
          <w:szCs w:val="18"/>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this Transaction, by manually signing this Confirmation or this page hereof as evidence of agreement to such terms and providing the other information requested herein and immediately returning an executed copy to Agent at Morgan Stanley Bank, N.A., 750 Seventh Avenue, 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10019.</w:t>
      </w:r>
    </w:p>
    <w:p>
      <w:pPr>
        <w:spacing w:after="0" w:line="9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Morgan Stanley &amp; Co. International plc</w:t>
      </w:r>
    </w:p>
    <w:p>
      <w:pPr>
        <w:spacing w:after="0" w:line="200" w:lineRule="exact"/>
        <w:rPr>
          <w:sz w:val="20"/>
          <w:szCs w:val="20"/>
          <w:color w:val="auto"/>
        </w:rPr>
      </w:pPr>
    </w:p>
    <w:p>
      <w:pPr>
        <w:spacing w:after="0" w:line="24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Rachel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13970</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 w:lineRule="exact"/>
        <w:rPr>
          <w:sz w:val="20"/>
          <w:szCs w:val="20"/>
          <w:color w:val="auto"/>
        </w:rPr>
      </w:pPr>
    </w:p>
    <w:p>
      <w:pPr>
        <w:ind w:left="638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Rachel Patel</w:t>
      </w:r>
    </w:p>
    <w:p>
      <w:pPr>
        <w:sectPr>
          <w:pgSz w:w="11900" w:h="16838" w:orient="portrait"/>
          <w:cols w:equalWidth="0" w:num="1">
            <w:col w:w="11400"/>
          </w:cols>
          <w:pgMar w:left="240" w:top="125" w:right="259" w:bottom="0" w:gutter="0" w:footer="0" w:header="0"/>
        </w:sectPr>
      </w:pPr>
    </w:p>
    <w:bookmarkStart w:id="56" w:name="page57"/>
    <w:bookmarkEnd w:id="56"/>
    <w:p>
      <w:pPr>
        <w:spacing w:after="0" w:line="62" w:lineRule="exact"/>
        <w:rPr>
          <w:sz w:val="20"/>
          <w:szCs w:val="20"/>
          <w:color w:val="auto"/>
        </w:rPr>
      </w:pPr>
    </w:p>
    <w:p>
      <w:pPr>
        <w:ind w:left="6380"/>
        <w:spacing w:after="0"/>
        <w:tabs>
          <w:tab w:leader="none" w:pos="7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agent</w:t>
      </w:r>
    </w:p>
    <w:p>
      <w:pPr>
        <w:spacing w:after="0" w:line="200" w:lineRule="exact"/>
        <w:rPr>
          <w:sz w:val="20"/>
          <w:szCs w:val="20"/>
          <w:color w:val="auto"/>
        </w:rPr>
      </w:pPr>
    </w:p>
    <w:p>
      <w:pPr>
        <w:spacing w:after="0" w:line="24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Susan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13970</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 w:lineRule="exact"/>
        <w:rPr>
          <w:sz w:val="20"/>
          <w:szCs w:val="20"/>
          <w:color w:val="auto"/>
        </w:rPr>
      </w:pPr>
    </w:p>
    <w:p>
      <w:pPr>
        <w:ind w:left="638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Susan E. Carroll</w:t>
      </w:r>
    </w:p>
    <w:p>
      <w:pPr>
        <w:spacing w:after="0" w:line="21" w:lineRule="exact"/>
        <w:rPr>
          <w:sz w:val="20"/>
          <w:szCs w:val="20"/>
          <w:color w:val="auto"/>
        </w:rPr>
      </w:pPr>
    </w:p>
    <w:p>
      <w:pPr>
        <w:ind w:left="6380"/>
        <w:spacing w:after="0"/>
        <w:tabs>
          <w:tab w:leader="none" w:pos="7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Ronald C. Foster</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94"/>
        </w:trPr>
        <w:tc>
          <w:tcPr>
            <w:tcW w:w="6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Name:</w:t>
            </w:r>
          </w:p>
        </w:tc>
        <w:tc>
          <w:tcPr>
            <w:tcW w:w="3960" w:type="dxa"/>
            <w:vAlign w:val="bottom"/>
            <w:tcBorders>
              <w:top w:val="single" w:sz="8" w:color="auto"/>
            </w:tcBorders>
          </w:tcPr>
          <w:p>
            <w:pPr>
              <w:ind w:left="180"/>
              <w:spacing w:after="0" w:line="194" w:lineRule="exact"/>
              <w:rPr>
                <w:sz w:val="20"/>
                <w:szCs w:val="20"/>
                <w:color w:val="auto"/>
              </w:rPr>
            </w:pPr>
            <w:r>
              <w:rPr>
                <w:rFonts w:ascii="Arial" w:cs="Arial" w:eastAsia="Arial" w:hAnsi="Arial"/>
                <w:sz w:val="18"/>
                <w:szCs w:val="18"/>
                <w:color w:val="auto"/>
              </w:rPr>
              <w:t>Ronald C. Foster</w:t>
            </w: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80"/>
              <w:spacing w:after="0"/>
              <w:rPr>
                <w:sz w:val="20"/>
                <w:szCs w:val="20"/>
                <w:color w:val="auto"/>
              </w:rPr>
            </w:pPr>
            <w:r>
              <w:rPr>
                <w:rFonts w:ascii="Arial" w:cs="Arial" w:eastAsia="Arial" w:hAnsi="Arial"/>
                <w:sz w:val="18"/>
                <w:szCs w:val="18"/>
                <w:color w:val="auto"/>
              </w:rPr>
              <w:t>Vice President of Finance and</w:t>
            </w:r>
          </w:p>
        </w:tc>
      </w:tr>
      <w:tr>
        <w:trPr>
          <w:trHeight w:val="229"/>
        </w:trPr>
        <w:tc>
          <w:tcPr>
            <w:tcW w:w="66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726884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ANNEX 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Number of Options per</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b w:val="1"/>
                <w:bCs w:val="1"/>
                <w:color w:val="auto"/>
              </w:rPr>
              <w:t>Premium per</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Expiration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jc w:val="center"/>
              <w:ind w:left="628"/>
              <w:spacing w:after="0"/>
              <w:rPr>
                <w:sz w:val="20"/>
                <w:szCs w:val="20"/>
                <w:color w:val="auto"/>
              </w:rPr>
            </w:pPr>
            <w:r>
              <w:rPr>
                <w:rFonts w:ascii="Arial" w:cs="Arial" w:eastAsia="Arial" w:hAnsi="Arial"/>
                <w:sz w:val="14"/>
                <w:szCs w:val="14"/>
                <w:b w:val="1"/>
                <w:bCs w:val="1"/>
                <w:color w:val="auto"/>
                <w:w w:val="92"/>
              </w:rPr>
              <w:t>Component</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jc w:val="right"/>
              <w:ind w:right="72"/>
              <w:spacing w:after="0"/>
              <w:rPr>
                <w:sz w:val="20"/>
                <w:szCs w:val="20"/>
                <w:color w:val="auto"/>
              </w:rPr>
            </w:pPr>
            <w:r>
              <w:rPr>
                <w:rFonts w:ascii="Arial" w:cs="Arial" w:eastAsia="Arial" w:hAnsi="Arial"/>
                <w:sz w:val="14"/>
                <w:szCs w:val="14"/>
                <w:b w:val="1"/>
                <w:bCs w:val="1"/>
                <w:color w:val="auto"/>
              </w:rPr>
              <w:t>Component</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10/16/2012</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10/17/2012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10/18/2012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10/19/2012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10/22/2012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10/23/2012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10/24/2012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10/25/2012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10/26/2012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10/29/2012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10/30/2012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10/31/2012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11/2/2012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11/5/2012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11/6/2012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11/7/2012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11/8/2012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11/12/2012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11/13/2012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11/14/2012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tcPr>
          <w:p>
            <w:pPr>
              <w:spacing w:after="0"/>
              <w:rPr>
                <w:sz w:val="18"/>
                <w:szCs w:val="18"/>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11/16/2012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80" w:type="dxa"/>
            <w:vAlign w:val="bottom"/>
            <w:tcBorders>
              <w:left w:val="single" w:sz="8" w:color="CCEEFF"/>
            </w:tcBorders>
            <w:shd w:val="clear" w:color="auto" w:fill="CCEEFF"/>
          </w:tcPr>
          <w:p>
            <w:pPr>
              <w:jc w:val="right"/>
              <w:ind w:right="17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11/19/2012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Aggregate Premium for all Components</w:t>
            </w: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7,525,000.00</w:t>
            </w:r>
          </w:p>
        </w:tc>
        <w:tc>
          <w:tcPr>
            <w:tcW w:w="1980" w:type="dxa"/>
            <w:vAlign w:val="bottom"/>
            <w:tcBorders>
              <w:left w:val="single" w:sz="8" w:color="CCEEFF"/>
            </w:tcBorders>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10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Schedule (as contemplated by the confirmation dated April 8, 2008 between Micron Technology, Inc. and Morgan Stanley &amp; Co. International plc for issuer capped share call option transaction (the “Confirmation”)) setting forth the increased Number of Options for all Components upon the exercise of the option to purchase additional 4.25% Convertible Senior Notes due October 15, 2013 pursuant to Section 2 of the Underwriting Agreement (as defined in the Confirmation).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Component</w:t>
            </w:r>
          </w:p>
        </w:tc>
        <w:tc>
          <w:tcPr>
            <w:tcW w:w="2260" w:type="dxa"/>
            <w:vAlign w:val="bottom"/>
          </w:tcPr>
          <w:p>
            <w:pPr>
              <w:jc w:val="center"/>
              <w:ind w:left="608"/>
              <w:spacing w:after="0"/>
              <w:rPr>
                <w:sz w:val="20"/>
                <w:szCs w:val="20"/>
                <w:color w:val="auto"/>
              </w:rPr>
            </w:pPr>
            <w:r>
              <w:rPr>
                <w:rFonts w:ascii="Arial" w:cs="Arial" w:eastAsia="Arial" w:hAnsi="Arial"/>
                <w:sz w:val="14"/>
                <w:szCs w:val="14"/>
                <w:b w:val="1"/>
                <w:bCs w:val="1"/>
                <w:color w:val="auto"/>
                <w:w w:val="93"/>
              </w:rPr>
              <w:t>Number of Options per</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33"/>
              <w:spacing w:after="0"/>
              <w:rPr>
                <w:sz w:val="20"/>
                <w:szCs w:val="20"/>
                <w:color w:val="auto"/>
              </w:rPr>
            </w:pPr>
            <w:r>
              <w:rPr>
                <w:rFonts w:ascii="Arial" w:cs="Arial" w:eastAsia="Arial" w:hAnsi="Arial"/>
                <w:sz w:val="14"/>
                <w:szCs w:val="14"/>
                <w:b w:val="1"/>
                <w:bCs w:val="1"/>
                <w:color w:val="auto"/>
              </w:rPr>
              <w:t>Premium per</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0"/>
        </w:trPr>
        <w:tc>
          <w:tcPr>
            <w:tcW w:w="1820" w:type="dxa"/>
            <w:vAlign w:val="bottom"/>
            <w:gridSpan w:val="2"/>
            <w:vMerge w:val="continue"/>
          </w:tcPr>
          <w:p>
            <w:pPr>
              <w:spacing w:after="0"/>
              <w:rPr>
                <w:sz w:val="14"/>
                <w:szCs w:val="14"/>
                <w:color w:val="auto"/>
              </w:rPr>
            </w:pPr>
          </w:p>
        </w:tc>
        <w:tc>
          <w:tcPr>
            <w:tcW w:w="2260" w:type="dxa"/>
            <w:vAlign w:val="bottom"/>
          </w:tcPr>
          <w:p>
            <w:pPr>
              <w:jc w:val="center"/>
              <w:ind w:left="588"/>
              <w:spacing w:after="0"/>
              <w:rPr>
                <w:sz w:val="20"/>
                <w:szCs w:val="20"/>
                <w:color w:val="auto"/>
              </w:rPr>
            </w:pPr>
            <w:r>
              <w:rPr>
                <w:rFonts w:ascii="Arial" w:cs="Arial" w:eastAsia="Arial" w:hAnsi="Arial"/>
                <w:sz w:val="14"/>
                <w:szCs w:val="14"/>
                <w:b w:val="1"/>
                <w:bCs w:val="1"/>
                <w:color w:val="auto"/>
                <w:w w:val="92"/>
              </w:rPr>
              <w:t>Component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73"/>
              <w:spacing w:after="0"/>
              <w:rPr>
                <w:sz w:val="20"/>
                <w:szCs w:val="20"/>
                <w:color w:val="auto"/>
              </w:rPr>
            </w:pPr>
            <w:r>
              <w:rPr>
                <w:rFonts w:ascii="Arial" w:cs="Arial" w:eastAsia="Arial" w:hAnsi="Arial"/>
                <w:sz w:val="14"/>
                <w:szCs w:val="14"/>
                <w:b w:val="1"/>
                <w:bCs w:val="1"/>
                <w:color w:val="auto"/>
              </w:rPr>
              <w:t>Component</w:t>
            </w: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2012"/>
              <w:spacing w:after="0"/>
              <w:rPr>
                <w:sz w:val="20"/>
                <w:szCs w:val="20"/>
                <w:color w:val="auto"/>
              </w:rPr>
            </w:pPr>
            <w:r>
              <w:rPr>
                <w:rFonts w:ascii="Arial" w:cs="Arial" w:eastAsia="Arial" w:hAnsi="Arial"/>
                <w:sz w:val="18"/>
                <w:szCs w:val="18"/>
                <w:color w:val="auto"/>
                <w:w w:val="88"/>
              </w:rPr>
              <w:t>10/16/2012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Pr>
          <w:p>
            <w:pPr>
              <w:spacing w:after="0"/>
              <w:rPr>
                <w:sz w:val="18"/>
                <w:szCs w:val="18"/>
                <w:color w:val="auto"/>
              </w:rPr>
            </w:pPr>
          </w:p>
        </w:tc>
        <w:tc>
          <w:tcPr>
            <w:tcW w:w="2000" w:type="dxa"/>
            <w:vAlign w:val="bottom"/>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Pr>
          <w:p>
            <w:pPr>
              <w:spacing w:after="0"/>
              <w:rPr>
                <w:sz w:val="18"/>
                <w:szCs w:val="18"/>
                <w:color w:val="auto"/>
              </w:rPr>
            </w:pPr>
          </w:p>
        </w:tc>
        <w:tc>
          <w:tcPr>
            <w:tcW w:w="2920" w:type="dxa"/>
            <w:vAlign w:val="bottom"/>
          </w:tcPr>
          <w:p>
            <w:pPr>
              <w:jc w:val="right"/>
              <w:ind w:right="2012"/>
              <w:spacing w:after="0"/>
              <w:rPr>
                <w:sz w:val="20"/>
                <w:szCs w:val="20"/>
                <w:color w:val="auto"/>
              </w:rPr>
            </w:pPr>
            <w:r>
              <w:rPr>
                <w:rFonts w:ascii="Arial" w:cs="Arial" w:eastAsia="Arial" w:hAnsi="Arial"/>
                <w:sz w:val="18"/>
                <w:szCs w:val="18"/>
                <w:color w:val="auto"/>
                <w:w w:val="88"/>
              </w:rPr>
              <w:t>10/17/2012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012"/>
              <w:spacing w:after="0"/>
              <w:rPr>
                <w:sz w:val="20"/>
                <w:szCs w:val="20"/>
                <w:color w:val="auto"/>
              </w:rPr>
            </w:pPr>
            <w:r>
              <w:rPr>
                <w:rFonts w:ascii="Arial" w:cs="Arial" w:eastAsia="Arial" w:hAnsi="Arial"/>
                <w:sz w:val="18"/>
                <w:szCs w:val="18"/>
                <w:color w:val="auto"/>
                <w:w w:val="88"/>
              </w:rPr>
              <w:t>10/18/2012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Pr>
          <w:p>
            <w:pPr>
              <w:spacing w:after="0"/>
              <w:rPr>
                <w:sz w:val="18"/>
                <w:szCs w:val="18"/>
                <w:color w:val="auto"/>
              </w:rPr>
            </w:pPr>
          </w:p>
        </w:tc>
        <w:tc>
          <w:tcPr>
            <w:tcW w:w="2000" w:type="dxa"/>
            <w:vAlign w:val="bottom"/>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Pr>
          <w:p>
            <w:pPr>
              <w:spacing w:after="0"/>
              <w:rPr>
                <w:sz w:val="18"/>
                <w:szCs w:val="18"/>
                <w:color w:val="auto"/>
              </w:rPr>
            </w:pPr>
          </w:p>
        </w:tc>
        <w:tc>
          <w:tcPr>
            <w:tcW w:w="2920" w:type="dxa"/>
            <w:vAlign w:val="bottom"/>
          </w:tcPr>
          <w:p>
            <w:pPr>
              <w:jc w:val="right"/>
              <w:ind w:right="2012"/>
              <w:spacing w:after="0"/>
              <w:rPr>
                <w:sz w:val="20"/>
                <w:szCs w:val="20"/>
                <w:color w:val="auto"/>
              </w:rPr>
            </w:pPr>
            <w:r>
              <w:rPr>
                <w:rFonts w:ascii="Arial" w:cs="Arial" w:eastAsia="Arial" w:hAnsi="Arial"/>
                <w:sz w:val="18"/>
                <w:szCs w:val="18"/>
                <w:color w:val="auto"/>
                <w:w w:val="88"/>
              </w:rPr>
              <w:t>10/19/2012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012"/>
              <w:spacing w:after="0"/>
              <w:rPr>
                <w:sz w:val="20"/>
                <w:szCs w:val="20"/>
                <w:color w:val="auto"/>
              </w:rPr>
            </w:pPr>
            <w:r>
              <w:rPr>
                <w:rFonts w:ascii="Arial" w:cs="Arial" w:eastAsia="Arial" w:hAnsi="Arial"/>
                <w:sz w:val="18"/>
                <w:szCs w:val="18"/>
                <w:color w:val="auto"/>
                <w:w w:val="88"/>
              </w:rPr>
              <w:t>10/22/2012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Pr>
          <w:p>
            <w:pPr>
              <w:spacing w:after="0"/>
              <w:rPr>
                <w:sz w:val="18"/>
                <w:szCs w:val="18"/>
                <w:color w:val="auto"/>
              </w:rPr>
            </w:pPr>
          </w:p>
        </w:tc>
        <w:tc>
          <w:tcPr>
            <w:tcW w:w="2000" w:type="dxa"/>
            <w:vAlign w:val="bottom"/>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Pr>
          <w:p>
            <w:pPr>
              <w:spacing w:after="0"/>
              <w:rPr>
                <w:sz w:val="18"/>
                <w:szCs w:val="18"/>
                <w:color w:val="auto"/>
              </w:rPr>
            </w:pPr>
          </w:p>
        </w:tc>
        <w:tc>
          <w:tcPr>
            <w:tcW w:w="2920" w:type="dxa"/>
            <w:vAlign w:val="bottom"/>
          </w:tcPr>
          <w:p>
            <w:pPr>
              <w:jc w:val="right"/>
              <w:ind w:right="2012"/>
              <w:spacing w:after="0"/>
              <w:rPr>
                <w:sz w:val="20"/>
                <w:szCs w:val="20"/>
                <w:color w:val="auto"/>
              </w:rPr>
            </w:pPr>
            <w:r>
              <w:rPr>
                <w:rFonts w:ascii="Arial" w:cs="Arial" w:eastAsia="Arial" w:hAnsi="Arial"/>
                <w:sz w:val="18"/>
                <w:szCs w:val="18"/>
                <w:color w:val="auto"/>
                <w:w w:val="88"/>
              </w:rPr>
              <w:t>10/23/2012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012"/>
              <w:spacing w:after="0"/>
              <w:rPr>
                <w:sz w:val="20"/>
                <w:szCs w:val="20"/>
                <w:color w:val="auto"/>
              </w:rPr>
            </w:pPr>
            <w:r>
              <w:rPr>
                <w:rFonts w:ascii="Arial" w:cs="Arial" w:eastAsia="Arial" w:hAnsi="Arial"/>
                <w:sz w:val="18"/>
                <w:szCs w:val="18"/>
                <w:color w:val="auto"/>
                <w:w w:val="88"/>
              </w:rPr>
              <w:t>10/24/2012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Pr>
          <w:p>
            <w:pPr>
              <w:spacing w:after="0"/>
              <w:rPr>
                <w:sz w:val="18"/>
                <w:szCs w:val="18"/>
                <w:color w:val="auto"/>
              </w:rPr>
            </w:pPr>
          </w:p>
        </w:tc>
        <w:tc>
          <w:tcPr>
            <w:tcW w:w="2000" w:type="dxa"/>
            <w:vAlign w:val="bottom"/>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Pr>
          <w:p>
            <w:pPr>
              <w:spacing w:after="0"/>
              <w:rPr>
                <w:sz w:val="18"/>
                <w:szCs w:val="18"/>
                <w:color w:val="auto"/>
              </w:rPr>
            </w:pPr>
          </w:p>
        </w:tc>
        <w:tc>
          <w:tcPr>
            <w:tcW w:w="2920" w:type="dxa"/>
            <w:vAlign w:val="bottom"/>
          </w:tcPr>
          <w:p>
            <w:pPr>
              <w:jc w:val="right"/>
              <w:ind w:right="2012"/>
              <w:spacing w:after="0"/>
              <w:rPr>
                <w:sz w:val="20"/>
                <w:szCs w:val="20"/>
                <w:color w:val="auto"/>
              </w:rPr>
            </w:pPr>
            <w:r>
              <w:rPr>
                <w:rFonts w:ascii="Arial" w:cs="Arial" w:eastAsia="Arial" w:hAnsi="Arial"/>
                <w:sz w:val="18"/>
                <w:szCs w:val="18"/>
                <w:color w:val="auto"/>
                <w:w w:val="88"/>
              </w:rPr>
              <w:t>10/25/2012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jc w:val="right"/>
              <w:ind w:right="2012"/>
              <w:spacing w:after="0"/>
              <w:rPr>
                <w:sz w:val="20"/>
                <w:szCs w:val="20"/>
                <w:color w:val="auto"/>
              </w:rPr>
            </w:pPr>
            <w:r>
              <w:rPr>
                <w:rFonts w:ascii="Arial" w:cs="Arial" w:eastAsia="Arial" w:hAnsi="Arial"/>
                <w:sz w:val="18"/>
                <w:szCs w:val="18"/>
                <w:color w:val="auto"/>
                <w:w w:val="88"/>
              </w:rPr>
              <w:t>10/26/2012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633,390</w:t>
            </w:r>
          </w:p>
        </w:tc>
        <w:tc>
          <w:tcPr>
            <w:tcW w:w="280" w:type="dxa"/>
            <w:vAlign w:val="bottom"/>
          </w:tcPr>
          <w:p>
            <w:pPr>
              <w:spacing w:after="0"/>
              <w:rPr>
                <w:sz w:val="18"/>
                <w:szCs w:val="18"/>
                <w:color w:val="auto"/>
              </w:rPr>
            </w:pPr>
          </w:p>
        </w:tc>
        <w:tc>
          <w:tcPr>
            <w:tcW w:w="2000" w:type="dxa"/>
            <w:vAlign w:val="bottom"/>
          </w:tcPr>
          <w:p>
            <w:pPr>
              <w:jc w:val="right"/>
              <w:ind w:right="17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346,150.00</w:t>
            </w:r>
          </w:p>
        </w:tc>
        <w:tc>
          <w:tcPr>
            <w:tcW w:w="280" w:type="dxa"/>
            <w:vAlign w:val="bottom"/>
          </w:tcPr>
          <w:p>
            <w:pPr>
              <w:spacing w:after="0"/>
              <w:rPr>
                <w:sz w:val="18"/>
                <w:szCs w:val="18"/>
                <w:color w:val="auto"/>
              </w:rPr>
            </w:pPr>
          </w:p>
        </w:tc>
        <w:tc>
          <w:tcPr>
            <w:tcW w:w="2920" w:type="dxa"/>
            <w:vAlign w:val="bottom"/>
          </w:tcPr>
          <w:p>
            <w:pPr>
              <w:jc w:val="right"/>
              <w:ind w:right="2012"/>
              <w:spacing w:after="0"/>
              <w:rPr>
                <w:sz w:val="20"/>
                <w:szCs w:val="20"/>
                <w:color w:val="auto"/>
              </w:rPr>
            </w:pPr>
            <w:r>
              <w:rPr>
                <w:rFonts w:ascii="Arial" w:cs="Arial" w:eastAsia="Arial" w:hAnsi="Arial"/>
                <w:sz w:val="18"/>
                <w:szCs w:val="18"/>
                <w:color w:val="auto"/>
                <w:w w:val="88"/>
              </w:rPr>
              <w:t>10/29/2012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10/30/2012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12</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10/31/2012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14</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11/2/2012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11/5/2012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16</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11/6/2012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11/7/2012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18</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11/8/2012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11/9/2012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20</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11/12/2012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11/13/2012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22</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11/14/2012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11/15/2012</w:t>
            </w:r>
          </w:p>
        </w:tc>
        <w:tc>
          <w:tcPr>
            <w:tcW w:w="40" w:type="dxa"/>
            <w:vAlign w:val="bottom"/>
          </w:tcPr>
          <w:p>
            <w:pPr>
              <w:spacing w:after="0"/>
              <w:rPr>
                <w:sz w:val="18"/>
                <w:szCs w:val="18"/>
                <w:color w:val="auto"/>
              </w:rPr>
            </w:pPr>
          </w:p>
        </w:tc>
      </w:tr>
      <w:tr>
        <w:trPr>
          <w:trHeight w:val="215"/>
        </w:trPr>
        <w:tc>
          <w:tcPr>
            <w:tcW w:w="660" w:type="dxa"/>
            <w:vAlign w:val="bottom"/>
          </w:tcPr>
          <w:p>
            <w:pPr>
              <w:ind w:left="20"/>
              <w:spacing w:after="0"/>
              <w:rPr>
                <w:sz w:val="20"/>
                <w:szCs w:val="20"/>
                <w:color w:val="auto"/>
              </w:rPr>
            </w:pPr>
            <w:r>
              <w:rPr>
                <w:rFonts w:ascii="Arial" w:cs="Arial" w:eastAsia="Arial" w:hAnsi="Arial"/>
                <w:sz w:val="18"/>
                <w:szCs w:val="18"/>
                <w:color w:val="auto"/>
              </w:rPr>
              <w:t>24</w:t>
            </w:r>
          </w:p>
        </w:tc>
        <w:tc>
          <w:tcPr>
            <w:tcW w:w="4120" w:type="dxa"/>
            <w:vAlign w:val="bottom"/>
            <w:gridSpan w:val="2"/>
          </w:tcPr>
          <w:p>
            <w:pPr>
              <w:jc w:val="right"/>
              <w:ind w:right="40"/>
              <w:spacing w:after="0"/>
              <w:rPr>
                <w:sz w:val="20"/>
                <w:szCs w:val="20"/>
                <w:color w:val="auto"/>
              </w:rPr>
            </w:pPr>
            <w:r>
              <w:rPr>
                <w:rFonts w:ascii="Arial" w:cs="Arial" w:eastAsia="Arial" w:hAnsi="Arial"/>
                <w:sz w:val="18"/>
                <w:szCs w:val="18"/>
                <w:color w:val="auto"/>
              </w:rPr>
              <w:t>633,390</w:t>
            </w:r>
          </w:p>
        </w:tc>
        <w:tc>
          <w:tcPr>
            <w:tcW w:w="1360" w:type="dxa"/>
            <w:vAlign w:val="bottom"/>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tcPr>
          <w:p>
            <w:pPr>
              <w:ind w:left="160"/>
              <w:spacing w:after="0"/>
              <w:rPr>
                <w:sz w:val="20"/>
                <w:szCs w:val="20"/>
                <w:color w:val="auto"/>
              </w:rPr>
            </w:pPr>
            <w:r>
              <w:rPr>
                <w:rFonts w:ascii="Arial" w:cs="Arial" w:eastAsia="Arial" w:hAnsi="Arial"/>
                <w:sz w:val="18"/>
                <w:szCs w:val="18"/>
                <w:color w:val="auto"/>
              </w:rPr>
              <w:t>11/16/2012</w:t>
            </w:r>
          </w:p>
        </w:tc>
        <w:tc>
          <w:tcPr>
            <w:tcW w:w="40" w:type="dxa"/>
            <w:vAlign w:val="bottom"/>
          </w:tcPr>
          <w:p>
            <w:pPr>
              <w:spacing w:after="0"/>
              <w:rPr>
                <w:sz w:val="18"/>
                <w:szCs w:val="18"/>
                <w:color w:val="auto"/>
              </w:rPr>
            </w:pPr>
          </w:p>
        </w:tc>
      </w:tr>
      <w:tr>
        <w:trPr>
          <w:trHeight w:val="215"/>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4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633,409</w:t>
            </w:r>
          </w:p>
        </w:tc>
        <w:tc>
          <w:tcPr>
            <w:tcW w:w="136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346,150.00</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11/19/2012</w:t>
            </w:r>
          </w:p>
        </w:tc>
        <w:tc>
          <w:tcPr>
            <w:tcW w:w="40" w:type="dxa"/>
            <w:vAlign w:val="bottom"/>
          </w:tcPr>
          <w:p>
            <w:pPr>
              <w:spacing w:after="0"/>
              <w:rPr>
                <w:sz w:val="18"/>
                <w:szCs w:val="18"/>
                <w:color w:val="auto"/>
              </w:rPr>
            </w:pPr>
          </w:p>
        </w:tc>
      </w:tr>
      <w:tr>
        <w:trPr>
          <w:trHeight w:val="363"/>
        </w:trPr>
        <w:tc>
          <w:tcPr>
            <w:tcW w:w="660" w:type="dxa"/>
            <w:vAlign w:val="bottom"/>
          </w:tcPr>
          <w:p>
            <w:pPr>
              <w:spacing w:after="0"/>
              <w:rPr>
                <w:sz w:val="24"/>
                <w:szCs w:val="24"/>
                <w:color w:val="auto"/>
              </w:rPr>
            </w:pPr>
          </w:p>
        </w:tc>
        <w:tc>
          <w:tcPr>
            <w:tcW w:w="412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Aggregate Premium for all Components</w:t>
            </w:r>
          </w:p>
        </w:tc>
        <w:tc>
          <w:tcPr>
            <w:tcW w:w="1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8,653,750.00</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6"/>
        </w:trPr>
        <w:tc>
          <w:tcPr>
            <w:tcW w:w="660" w:type="dxa"/>
            <w:vAlign w:val="bottom"/>
            <w:tcBorders>
              <w:bottom w:val="single" w:sz="8" w:color="010101"/>
            </w:tcBorders>
          </w:tcPr>
          <w:p>
            <w:pPr>
              <w:spacing w:after="0"/>
              <w:rPr>
                <w:sz w:val="24"/>
                <w:szCs w:val="24"/>
                <w:color w:val="auto"/>
              </w:rPr>
            </w:pPr>
          </w:p>
        </w:tc>
        <w:tc>
          <w:tcPr>
            <w:tcW w:w="40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ANNEX B</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Form of Opinion</w:t>
      </w:r>
    </w:p>
    <w:p>
      <w:pPr>
        <w:spacing w:after="0" w:line="223" w:lineRule="exact"/>
        <w:rPr>
          <w:sz w:val="20"/>
          <w:szCs w:val="20"/>
          <w:color w:val="auto"/>
        </w:rPr>
      </w:pPr>
    </w:p>
    <w:p>
      <w:pPr>
        <w:ind w:left="660" w:hanging="653"/>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been duly incorporated and is an existing corporation in good standing under the laws of the State of Delaware.</w:t>
      </w:r>
    </w:p>
    <w:p>
      <w:pPr>
        <w:spacing w:after="0" w:line="222" w:lineRule="exact"/>
        <w:rPr>
          <w:rFonts w:ascii="Arial" w:cs="Arial" w:eastAsia="Arial" w:hAnsi="Arial"/>
          <w:sz w:val="18"/>
          <w:szCs w:val="18"/>
          <w:color w:val="auto"/>
        </w:rPr>
      </w:pPr>
    </w:p>
    <w:p>
      <w:pPr>
        <w:ind w:left="660" w:hanging="653"/>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is duly qualified as a foreign corporation for the transaction of business and is in good standing in the State of Idaho.</w:t>
      </w:r>
    </w:p>
    <w:p>
      <w:pPr>
        <w:spacing w:after="0" w:line="222" w:lineRule="exact"/>
        <w:rPr>
          <w:rFonts w:ascii="Arial" w:cs="Arial" w:eastAsia="Arial" w:hAnsi="Arial"/>
          <w:sz w:val="18"/>
          <w:szCs w:val="18"/>
          <w:color w:val="auto"/>
        </w:rPr>
      </w:pPr>
    </w:p>
    <w:p>
      <w:pPr>
        <w:ind w:left="660" w:hanging="653"/>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Confirmation has been duly authorized, executed and delivered by the Company.</w:t>
      </w:r>
    </w:p>
    <w:p>
      <w:pPr>
        <w:spacing w:after="0" w:line="222" w:lineRule="exact"/>
        <w:rPr>
          <w:rFonts w:ascii="Arial" w:cs="Arial" w:eastAsia="Arial" w:hAnsi="Arial"/>
          <w:sz w:val="18"/>
          <w:szCs w:val="18"/>
          <w:color w:val="auto"/>
        </w:rPr>
      </w:pPr>
    </w:p>
    <w:p>
      <w:pPr>
        <w:ind w:left="660" w:right="200" w:hanging="653"/>
        <w:spacing w:after="0" w:line="275" w:lineRule="auto"/>
        <w:tabs>
          <w:tab w:leader="none" w:pos="67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execution and delivery by the Company of the Confirmation does not result in any violation by the Company of the Certificate of Incorporation or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26884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620"/>
        <w:spacing w:after="0"/>
        <w:rPr>
          <w:sz w:val="20"/>
          <w:szCs w:val="20"/>
          <w:color w:val="auto"/>
        </w:rPr>
      </w:pPr>
      <w:r>
        <w:rPr>
          <w:rFonts w:ascii="Arial" w:cs="Arial" w:eastAsia="Arial" w:hAnsi="Arial"/>
          <w:sz w:val="18"/>
          <w:szCs w:val="18"/>
          <w:b w:val="1"/>
          <w:bCs w:val="1"/>
          <w:color w:val="auto"/>
        </w:rPr>
        <w:t>ANNEX C</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Form of Guarantee</w:t>
      </w:r>
    </w:p>
    <w:p>
      <w:pPr>
        <w:spacing w:after="0" w:line="2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1585 BROADWAY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1381125" cy="204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81125" cy="204470"/>
                    </a:xfrm>
                    <a:prstGeom prst="rect">
                      <a:avLst/>
                    </a:prstGeom>
                    <a:noFill/>
                  </pic:spPr>
                </pic:pic>
              </a:graphicData>
            </a:graphic>
          </wp:anchor>
        </w:drawing>
      </w:r>
    </w:p>
    <w:p>
      <w:pPr>
        <w:spacing w:after="0" w:line="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NEW YORK, NY 10036-8293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April 8, 2009</w:t>
      </w:r>
    </w:p>
    <w:p>
      <w:pPr>
        <w:sectPr>
          <w:pgSz w:w="11900" w:h="16838" w:orient="portrait"/>
          <w:cols w:equalWidth="0" w:num="1">
            <w:col w:w="11460"/>
          </w:cols>
          <w:pgMar w:left="240" w:top="140" w:right="199" w:bottom="0" w:gutter="0" w:footer="0" w:header="0"/>
        </w:sect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8000 S. Federal Way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Boise, Idaho 83716-9632</w:t>
      </w:r>
    </w:p>
    <w:p>
      <w:pPr>
        <w:spacing w:after="0" w:line="200" w:lineRule="exact"/>
        <w:rPr>
          <w:sz w:val="20"/>
          <w:szCs w:val="20"/>
          <w:color w:val="auto"/>
        </w:rPr>
      </w:pPr>
    </w:p>
    <w:p>
      <w:pPr>
        <w:sectPr>
          <w:pgSz w:w="11900" w:h="16838" w:orient="portrait"/>
          <w:cols w:equalWidth="0" w:num="2">
            <w:col w:w="260" w:space="700"/>
            <w:col w:w="10500"/>
          </w:cols>
          <w:pgMar w:left="240" w:top="140" w:right="199" w:bottom="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consideration of that certain trade dated as of April 8, 2009 Confirm Number by and between Morgan Stanley &amp; Co. International plc (hereinafter “MS International”) and Micron Technology, Inc. (hereinafter “Counterparty”) (such confirmation exchanged between the parties hereinafter the “Confirmation”), Morgan Stanley, a Delaware corporation (hereinafter “MS”), hereby irrevocably and unconditionally guarantees to Counterparty, with effect from the date of the Confirmation, the due and punctual payment of all amounts payable by MS International under the Confirmation when the same shall become due and payable, whether on scheduled payment dates, upon demand, upon declaration of termination or otherwise, in accordance with the terms of the Confirmation and giving effect to any applicable grace period. Upon failure of MS International punctually to pay any such amounts, and upon written demand by Counterparty to MS at its address set forth in the signature block of this Guarantee (or to such other address as MS may specify in writing), MS agrees to pay or cause to be paid such amounts; provided that delay by Counterparty in giving such demand shall in no event affect MS’s obligations under this Guarantee.</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MS hereby agrees that its obligations hereunder shall be unconditional and will not be discharged except by complete payment of the amounts payable under the Confirmation, irrespective of any claim as to the Confirmation’s validity, regularity or enforceability or the lack of authority of MS International to execute or deliver the Confirmation; or any change in or amendment to the Confirmation; or any waiver or consent by Counterparty with respect to any provisions thereof; or the absence of any action to enforce the Confirmation, or the recovery of any judgment against MS International or of any action to enforce a judgment against MS International under the Confirmation; any similar circumstance which might otherwise constitute a legal or equitable discharge or defense of a guarantor generally.</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MS hereby waives diligence, presentment, demand on MS International for payment or otherwise (except as provided hereinabove), filing of claims, requirement of a prior proceeding against MS International and protest or notice, except as provided for in the Confirmation with respect to amounts payable by MS International. If at any time payment under the Confirmation is rescinded or must be otherwise restored or returned by Counterparty upon the insolvency, bankruptcy or reorganization of MS International or MS or otherwise, MS’s obligations hereunder with respect to such payment shall be reinstated upon such restoration or return being made by Counterparty.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MS represents to Counterparty as of the date hereof:</w:t>
      </w:r>
    </w:p>
    <w:p>
      <w:pPr>
        <w:sectPr>
          <w:pgSz w:w="11900" w:h="16838" w:orient="portrait"/>
          <w:cols w:equalWidth="0" w:num="1">
            <w:col w:w="11460"/>
          </w:cols>
          <w:pgMar w:left="240" w:top="140" w:right="199" w:bottom="0" w:gutter="0" w:footer="0" w:header="0"/>
          <w:type w:val="continuous"/>
        </w:sectPr>
      </w:pPr>
    </w:p>
    <w:bookmarkStart w:id="58" w:name="page59"/>
    <w:bookmarkEnd w:id="58"/>
    <w:p>
      <w:pPr>
        <w:ind w:right="440" w:firstLine="7"/>
        <w:spacing w:after="0" w:line="275" w:lineRule="auto"/>
        <w:tabs>
          <w:tab w:leader="none" w:pos="71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incorporation and has full power and legal right to execute and deliver this Guarantee and to perform the provisions of this Guarantee on its part to be performed;</w:t>
      </w:r>
    </w:p>
    <w:p>
      <w:pPr>
        <w:spacing w:after="0" w:line="170" w:lineRule="exact"/>
        <w:rPr>
          <w:rFonts w:ascii="Arial" w:cs="Arial" w:eastAsia="Arial" w:hAnsi="Arial"/>
          <w:sz w:val="18"/>
          <w:szCs w:val="18"/>
          <w:color w:val="auto"/>
        </w:rPr>
      </w:pPr>
    </w:p>
    <w:p>
      <w:pPr>
        <w:ind w:right="540" w:firstLine="7"/>
        <w:spacing w:after="0" w:line="339" w:lineRule="auto"/>
        <w:tabs>
          <w:tab w:leader="none" w:pos="71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its execution, delivery and performance of this Guarantee have been and remain duly authorized by all necessary corporate action and do not contravene any provision of its certificate of incorporation or by-laws or any law, regulation or contractual restriction binding on it or its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right="20" w:firstLine="7"/>
        <w:spacing w:after="0" w:line="300" w:lineRule="auto"/>
        <w:tabs>
          <w:tab w:leader="none" w:pos="71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consents, authorizations, approvals and clearances (including, without limitation, any necessary exchange control approval) and notifications, reports and registrations requisite for its due execution, delivery and performance of this Guarantee have been obtained from or, as the case may be, filed with the relevant governmental authorities having jurisdiction and remain in full force and effect and all conditions thereof have been duly complied with and no other action by, and no notice to or filing with, any governmental authority having jurisdiction is required for such execution, delivery or performance; and</w:t>
      </w:r>
    </w:p>
    <w:p>
      <w:pPr>
        <w:spacing w:after="0" w:line="154" w:lineRule="exact"/>
        <w:rPr>
          <w:rFonts w:ascii="Arial" w:cs="Arial" w:eastAsia="Arial" w:hAnsi="Arial"/>
          <w:sz w:val="16"/>
          <w:szCs w:val="16"/>
          <w:color w:val="auto"/>
        </w:rPr>
      </w:pPr>
    </w:p>
    <w:p>
      <w:pPr>
        <w:ind w:right="20" w:firstLine="7"/>
        <w:spacing w:after="0" w:line="339" w:lineRule="auto"/>
        <w:tabs>
          <w:tab w:leader="none" w:pos="71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this Guarantee is its legal, valid and binding obligation enforceable against it in accordance with its terms except as enforcement hereof may be limited by applicable bankruptcy, insolvency, reorganization or other similar laws affecting the enforcement of creditors’ right or by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-1388110</wp:posOffset>
            </wp:positionV>
            <wp:extent cx="726884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105"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By accepting this Guarantee and executing the Confirmation, Counterparty agrees that MS shall be subrogated to all rights of Counterparty against MS International in respect of any amounts paid by MS pursuant to this Guarantee, provided that MS shall be entitled to enforce or to receive any payment arising out of or based upon such right of subrogation only to the extent that it has paid all amounts payable by MS International under the Confirmation..</w:t>
      </w:r>
    </w:p>
    <w:p>
      <w:pPr>
        <w:spacing w:after="0" w:line="149" w:lineRule="exact"/>
        <w:rPr>
          <w:sz w:val="20"/>
          <w:szCs w:val="20"/>
          <w:color w:val="auto"/>
        </w:rPr>
      </w:pPr>
    </w:p>
    <w:p>
      <w:pPr>
        <w:jc w:val="both"/>
        <w:ind w:right="60"/>
        <w:spacing w:after="0" w:line="284" w:lineRule="auto"/>
        <w:rPr>
          <w:sz w:val="20"/>
          <w:szCs w:val="20"/>
          <w:color w:val="auto"/>
        </w:rPr>
      </w:pPr>
      <w:r>
        <w:rPr>
          <w:rFonts w:ascii="Arial" w:cs="Arial" w:eastAsia="Arial" w:hAnsi="Arial"/>
          <w:sz w:val="17"/>
          <w:szCs w:val="17"/>
          <w:color w:val="auto"/>
        </w:rPr>
        <w:t>This Guarantee shall expire on the last Expiration Date as defined in the Confirmation, however, this guarantee may be terminated upon 15 days prior written notice to that effect actually received by Counterparty. Such expiration or termination shall not, however, affect or reduce MS’s obligation hereunder for any liability of MS International incurred with respect to transactions entered into by MS International prior to such expiration.</w:t>
      </w:r>
    </w:p>
    <w:p>
      <w:pPr>
        <w:spacing w:after="0" w:line="16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This Guarantee shall be governed by and construed in accordance with the laws of the State of New York. All capitalized terms not otherwise defined herein shall have the respective meanings assigned to them in the Confirmation.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-130175</wp:posOffset>
            </wp:positionV>
            <wp:extent cx="27285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728595" cy="8255"/>
                    </a:xfrm>
                    <a:prstGeom prst="rect">
                      <a:avLst/>
                    </a:prstGeom>
                    <a:noFill/>
                  </pic:spPr>
                </pic:pic>
              </a:graphicData>
            </a:graphic>
          </wp:anchor>
        </w:drawing>
      </w:r>
    </w:p>
    <w:p>
      <w:pPr>
        <w:spacing w:after="0" w:line="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Title:</w:t>
      </w:r>
    </w:p>
    <w:p>
      <w:pPr>
        <w:spacing w:after="0" w:line="8"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1585 Broadway</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84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ectPr>
          <w:pgSz w:w="11900" w:h="16838" w:orient="portrait"/>
          <w:cols w:equalWidth="0" w:num="1">
            <w:col w:w="11340"/>
          </w:cols>
          <w:pgMar w:left="240" w:top="340"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10.3</w:t>
      </w:r>
    </w:p>
    <w:p>
      <w:pPr>
        <w:spacing w:after="0" w:line="223" w:lineRule="exact"/>
        <w:rPr>
          <w:sz w:val="20"/>
          <w:szCs w:val="20"/>
          <w:color w:val="auto"/>
        </w:rPr>
      </w:pPr>
    </w:p>
    <w:p>
      <w:pPr>
        <w:ind w:left="9480"/>
        <w:spacing w:after="0"/>
        <w:rPr>
          <w:sz w:val="20"/>
          <w:szCs w:val="20"/>
          <w:color w:val="auto"/>
        </w:rPr>
      </w:pPr>
      <w:r>
        <w:rPr>
          <w:rFonts w:ascii="Arial" w:cs="Arial" w:eastAsia="Arial" w:hAnsi="Arial"/>
          <w:sz w:val="18"/>
          <w:szCs w:val="18"/>
          <w:b w:val="1"/>
          <w:bCs w:val="1"/>
          <w:u w:val="single" w:color="auto"/>
          <w:color w:val="auto"/>
        </w:rPr>
        <w:t>EXECUTION VERSION</w:t>
      </w:r>
    </w:p>
    <w:p>
      <w:pPr>
        <w:spacing w:after="0" w:line="241"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 xml:space="preserve">Deutsche Bank </w:t>
      </w:r>
      <w:r>
        <w:rPr>
          <w:sz w:val="1"/>
          <w:szCs w:val="1"/>
          <w:color w:val="auto"/>
        </w:rPr>
        <w:drawing>
          <wp:inline distT="0" distB="0" distL="0" distR="0">
            <wp:extent cx="281305" cy="2730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1305" cy="273050"/>
                    </a:xfrm>
                    <a:prstGeom prst="rect">
                      <a:avLst/>
                    </a:prstGeom>
                    <a:noFill/>
                    <a:ln>
                      <a:noFill/>
                    </a:ln>
                  </pic:spPr>
                </pic:pic>
              </a:graphicData>
            </a:graphic>
          </wp:inline>
        </w:drawing>
      </w:r>
    </w:p>
    <w:p>
      <w:pPr>
        <w:spacing w:after="0" w:line="21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Deutsche Bank AG, London Branch</w:t>
      </w:r>
    </w:p>
    <w:p>
      <w:pPr>
        <w:spacing w:after="0" w:line="2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Winchester house</w:t>
      </w:r>
    </w:p>
    <w:p>
      <w:pPr>
        <w:spacing w:after="0" w:line="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1 Great Winchester St,</w:t>
      </w:r>
    </w:p>
    <w:p>
      <w:pPr>
        <w:spacing w:after="0" w:line="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London EC2N 2DB</w:t>
      </w:r>
    </w:p>
    <w:p>
      <w:pPr>
        <w:spacing w:after="0" w:line="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Telephone: 44 20 7545 8000</w:t>
      </w:r>
    </w:p>
    <w:p>
      <w:pPr>
        <w:spacing w:after="0" w:line="20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c/o Deutsche Bank Securities Inc.</w:t>
      </w:r>
    </w:p>
    <w:p>
      <w:pPr>
        <w:spacing w:after="0" w:line="22"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60 Wall Street</w:t>
      </w:r>
    </w:p>
    <w:p>
      <w:pPr>
        <w:spacing w:after="0" w:line="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New York, NY 10005</w:t>
      </w:r>
    </w:p>
    <w:p>
      <w:pPr>
        <w:spacing w:after="0" w:line="8"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Telephone: 212-250-2500</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Opening Transaction</w:t>
      </w:r>
    </w:p>
    <w:p>
      <w:pPr>
        <w:spacing w:after="0" w:line="21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b w:val="1"/>
          <w:bCs w:val="1"/>
          <w:color w:val="auto"/>
        </w:rPr>
        <w:t>April 8, 2009</w:t>
      </w:r>
    </w:p>
    <w:p>
      <w:pPr>
        <w:spacing w:after="0" w:line="22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Micron Technology, Inc.</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8000 S. Federal Way</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Boise, Idaho 83716-9632</w:t>
      </w:r>
    </w:p>
    <w:p>
      <w:pPr>
        <w:spacing w:after="0" w:line="204"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From:</w:t>
      </w:r>
      <w:r>
        <w:rPr>
          <w:sz w:val="20"/>
          <w:szCs w:val="20"/>
          <w:color w:val="auto"/>
        </w:rPr>
        <w:tab/>
      </w:r>
      <w:r>
        <w:rPr>
          <w:rFonts w:ascii="Arial" w:cs="Arial" w:eastAsia="Arial" w:hAnsi="Arial"/>
          <w:sz w:val="18"/>
          <w:szCs w:val="18"/>
          <w:color w:val="auto"/>
        </w:rPr>
        <w:t>Deutsche Bank AG, London Branch</w:t>
      </w:r>
    </w:p>
    <w:p>
      <w:pPr>
        <w:spacing w:after="0" w:line="22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Issuer Capped Share Call Option Transaction</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80" w:type="dxa"/>
            <w:vAlign w:val="bottom"/>
          </w:tcPr>
          <w:p>
            <w:pPr>
              <w:spacing w:after="0"/>
              <w:rPr>
                <w:sz w:val="20"/>
                <w:szCs w:val="20"/>
                <w:color w:val="auto"/>
              </w:rPr>
            </w:pPr>
            <w:r>
              <w:rPr>
                <w:rFonts w:ascii="Arial" w:cs="Arial" w:eastAsia="Arial" w:hAnsi="Arial"/>
                <w:sz w:val="18"/>
                <w:szCs w:val="18"/>
                <w:b w:val="1"/>
                <w:bCs w:val="1"/>
                <w:color w:val="auto"/>
              </w:rPr>
              <w:t>Ref. No:</w:t>
            </w:r>
          </w:p>
        </w:tc>
        <w:tc>
          <w:tcPr>
            <w:tcW w:w="780" w:type="dxa"/>
            <w:vAlign w:val="bottom"/>
          </w:tcPr>
          <w:p>
            <w:pPr>
              <w:jc w:val="right"/>
              <w:spacing w:after="0"/>
              <w:rPr>
                <w:sz w:val="20"/>
                <w:szCs w:val="20"/>
                <w:color w:val="auto"/>
              </w:rPr>
            </w:pPr>
            <w:r>
              <w:rPr>
                <w:rFonts w:ascii="Arial" w:cs="Arial" w:eastAsia="Arial" w:hAnsi="Arial"/>
                <w:sz w:val="18"/>
                <w:szCs w:val="18"/>
                <w:color w:val="auto"/>
              </w:rPr>
              <w:t>325758</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 of this communication (this “</w:t>
      </w:r>
      <w:r>
        <w:rPr>
          <w:rFonts w:ascii="Arial" w:cs="Arial" w:eastAsia="Arial" w:hAnsi="Arial"/>
          <w:sz w:val="16"/>
          <w:szCs w:val="16"/>
          <w:u w:val="single" w:color="auto"/>
          <w:color w:val="auto"/>
        </w:rPr>
        <w:t>Confirmation</w:t>
      </w:r>
      <w:r>
        <w:rPr>
          <w:rFonts w:ascii="Arial" w:cs="Arial" w:eastAsia="Arial" w:hAnsi="Arial"/>
          <w:sz w:val="16"/>
          <w:szCs w:val="16"/>
          <w:color w:val="auto"/>
        </w:rPr>
        <w:t>”) is to set forth the terms and conditions of the above-referenced transaction entered into 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Trade Date specified below (the “</w:t>
      </w:r>
      <w:r>
        <w:rPr>
          <w:rFonts w:ascii="Arial" w:cs="Arial" w:eastAsia="Arial" w:hAnsi="Arial"/>
          <w:sz w:val="17"/>
          <w:szCs w:val="17"/>
          <w:u w:val="single" w:color="auto"/>
          <w:color w:val="auto"/>
        </w:rPr>
        <w:t>Transaction</w:t>
      </w:r>
      <w:r>
        <w:rPr>
          <w:rFonts w:ascii="Arial" w:cs="Arial" w:eastAsia="Arial" w:hAnsi="Arial"/>
          <w:sz w:val="17"/>
          <w:szCs w:val="17"/>
          <w:color w:val="auto"/>
        </w:rPr>
        <w:t>”) between Deutsche Bank AG, London Branch (“</w:t>
      </w:r>
      <w:r>
        <w:rPr>
          <w:rFonts w:ascii="Arial" w:cs="Arial" w:eastAsia="Arial" w:hAnsi="Arial"/>
          <w:sz w:val="17"/>
          <w:szCs w:val="17"/>
          <w:u w:val="single" w:color="auto"/>
          <w:color w:val="auto"/>
        </w:rPr>
        <w:t>Dealer</w:t>
      </w:r>
      <w:r>
        <w:rPr>
          <w:rFonts w:ascii="Arial" w:cs="Arial" w:eastAsia="Arial" w:hAnsi="Arial"/>
          <w:sz w:val="17"/>
          <w:szCs w:val="17"/>
          <w:color w:val="auto"/>
        </w:rPr>
        <w:t>”) and Micron Technology, Inc. (“</w:t>
      </w:r>
      <w:r>
        <w:rPr>
          <w:rFonts w:ascii="Arial" w:cs="Arial" w:eastAsia="Arial" w:hAnsi="Arial"/>
          <w:sz w:val="17"/>
          <w:szCs w:val="17"/>
          <w:u w:val="single" w:color="auto"/>
          <w:color w:val="auto"/>
        </w:rPr>
        <w:t>Issuer</w:t>
      </w:r>
      <w:r>
        <w:rPr>
          <w:rFonts w:ascii="Arial" w:cs="Arial" w:eastAsia="Arial" w:hAnsi="Arial"/>
          <w:sz w:val="17"/>
          <w:szCs w:val="17"/>
          <w:color w:val="auto"/>
        </w:rPr>
        <w:t>” 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Counterparty</w:t>
      </w:r>
      <w:r>
        <w:rPr>
          <w:rFonts w:ascii="Arial" w:cs="Arial" w:eastAsia="Arial" w:hAnsi="Arial"/>
          <w:sz w:val="16"/>
          <w:szCs w:val="16"/>
          <w:color w:val="auto"/>
        </w:rPr>
        <w:t>”). Dealer is acting as principal and Deutsche Bank Securities Inc. (“</w:t>
      </w:r>
      <w:r>
        <w:rPr>
          <w:rFonts w:ascii="Arial" w:cs="Arial" w:eastAsia="Arial" w:hAnsi="Arial"/>
          <w:sz w:val="16"/>
          <w:szCs w:val="16"/>
          <w:u w:val="single" w:color="auto"/>
          <w:color w:val="auto"/>
        </w:rPr>
        <w:t>Agent</w:t>
      </w:r>
      <w:r>
        <w:rPr>
          <w:rFonts w:ascii="Arial" w:cs="Arial" w:eastAsia="Arial" w:hAnsi="Arial"/>
          <w:sz w:val="16"/>
          <w:szCs w:val="16"/>
          <w:color w:val="auto"/>
        </w:rPr>
        <w:t>”), its affiliate, is acting as agent for Dealer and Counterparty for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Transaction under this Confirmation. This communication constitutes a “Confirmation” as referred to in the ISDA Master Agreement specified below. This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Confirmation is a confirmation for purposes of Rule 10b-10 promulgated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2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color w:val="auto"/>
        </w:rPr>
        <w:t>DEUTSCHE BANK AG IS NOT REGISTERED AS A BROKER OR DEALER UNDER THE U.S. SECURITIES EXCHANGE ACT OF 1934, AS AMENDED. DEUTSCHE BANK SECURITIES INC. HAS ACTED SOLELY AS AGENT IN CONNECTION WITH THE TRANSACTION AND HAS NO OBLIGATION, BY WAY OF ISSUANCE, ENDORSEMENT, GUARANTEE OR OTHERWISE WITH RESPECT TO THE PERFORMANCE OF EITHER PARTY UNDER THE TRANSACTION. DEUTSCHE BANK AG, LONDON BRANCH IS NOT A MEMBER OF THE SECURITIES INVESTOR PROTECTION CORPORATION (SIPC).</w:t>
      </w:r>
    </w:p>
    <w:p>
      <w:pPr>
        <w:spacing w:after="0" w:line="189" w:lineRule="exact"/>
        <w:rPr>
          <w:sz w:val="20"/>
          <w:szCs w:val="20"/>
          <w:color w:val="auto"/>
        </w:rPr>
      </w:pPr>
    </w:p>
    <w:p>
      <w:pPr>
        <w:jc w:val="both"/>
        <w:ind w:right="60" w:firstLine="652"/>
        <w:spacing w:after="0" w:line="257" w:lineRule="auto"/>
        <w:tabs>
          <w:tab w:leader="none" w:pos="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2000 ISDA Definitions (including the Annex thereto) (the “</w:t>
      </w:r>
      <w:r>
        <w:rPr>
          <w:rFonts w:ascii="Arial" w:cs="Arial" w:eastAsia="Arial" w:hAnsi="Arial"/>
          <w:sz w:val="18"/>
          <w:szCs w:val="18"/>
          <w:u w:val="single" w:color="auto"/>
          <w:color w:val="auto"/>
        </w:rPr>
        <w:t>2000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u w:val="single" w:color="auto"/>
          <w:color w:val="auto"/>
        </w:rPr>
        <w:t>Equity Definitions</w:t>
      </w:r>
      <w:r>
        <w:rPr>
          <w:rFonts w:ascii="Arial" w:cs="Arial" w:eastAsia="Arial" w:hAnsi="Arial"/>
          <w:sz w:val="18"/>
          <w:szCs w:val="18"/>
          <w:color w:val="auto"/>
        </w:rPr>
        <w:t>”, and together with the 2000 Definitions, the “</w:t>
      </w:r>
      <w:r>
        <w:rPr>
          <w:rFonts w:ascii="Arial" w:cs="Arial" w:eastAsia="Arial" w:hAnsi="Arial"/>
          <w:sz w:val="18"/>
          <w:szCs w:val="18"/>
          <w:u w:val="single" w:color="auto"/>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u w:val="single" w:color="auto"/>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Chairman of the Supervisory Board: Clemens Börsig Board of Managing Directors: Hermann-Josef Lamberti, Josef Ackermann, Anthony DiIorio, Hugo Banziger</w:t>
      </w:r>
    </w:p>
    <w:p>
      <w:pPr>
        <w:spacing w:after="0" w:line="170" w:lineRule="exact"/>
        <w:rPr>
          <w:sz w:val="20"/>
          <w:szCs w:val="20"/>
          <w:color w:val="auto"/>
        </w:rPr>
      </w:pPr>
    </w:p>
    <w:p>
      <w:pPr>
        <w:jc w:val="both"/>
        <w:ind w:right="100"/>
        <w:spacing w:after="0" w:line="284" w:lineRule="auto"/>
        <w:rPr>
          <w:sz w:val="20"/>
          <w:szCs w:val="20"/>
          <w:color w:val="auto"/>
        </w:rPr>
      </w:pPr>
      <w:r>
        <w:rPr>
          <w:rFonts w:ascii="Arial" w:cs="Arial" w:eastAsia="Arial" w:hAnsi="Arial"/>
          <w:sz w:val="17"/>
          <w:szCs w:val="17"/>
          <w:color w:val="auto"/>
        </w:rPr>
        <w:t>Deutsche Bank AG is regulated by the FSA for the conduct of designated investment business in the UK, is a member of the London Stock Exchange and is a limited liability company incorporated in the Federal Republic of Germany HRB No. 30 000 District Court of Frankfurt am Main; Branch Registration No. in England and Wales BR000005, Registered address: Winchester House, 1 Great Winchester Street, London EC2N 2DB.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726884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firstLine="645"/>
        <w:spacing w:after="0" w:line="262"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in the form of the 2002 ISDA Master Agreement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7"/>
          <w:szCs w:val="17"/>
          <w:u w:val="single" w:color="auto"/>
          <w:color w:val="auto"/>
        </w:rPr>
        <w:t>USD</w:t>
      </w:r>
      <w:r>
        <w:rPr>
          <w:rFonts w:ascii="Arial" w:cs="Arial" w:eastAsia="Arial" w:hAnsi="Arial"/>
          <w:sz w:val="17"/>
          <w:szCs w:val="17"/>
          <w:color w:val="auto"/>
        </w:rPr>
        <w:t>”) as the Termination Currency). The parties hereby agree that no Transactions other than the Transaction to which this Confirmation relates shall be governed by the Agreement.</w:t>
      </w:r>
    </w:p>
    <w:p>
      <w:pPr>
        <w:spacing w:after="0" w:line="173" w:lineRule="exact"/>
        <w:rPr>
          <w:sz w:val="20"/>
          <w:szCs w:val="20"/>
          <w:color w:val="auto"/>
        </w:rPr>
      </w:pPr>
    </w:p>
    <w:p>
      <w:pPr>
        <w:ind w:right="40" w:firstLine="645"/>
        <w:spacing w:after="0" w:line="305"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between this Confirmation and the Definitions or the Agreement, as the case may be, this Confirmation shall govern.</w:t>
      </w:r>
    </w:p>
    <w:p>
      <w:pPr>
        <w:spacing w:after="0" w:line="148" w:lineRule="exact"/>
        <w:rPr>
          <w:sz w:val="20"/>
          <w:szCs w:val="20"/>
          <w:color w:val="auto"/>
        </w:rPr>
      </w:pPr>
    </w:p>
    <w:p>
      <w:pPr>
        <w:ind w:right="60" w:firstLine="652"/>
        <w:spacing w:after="0" w:line="275"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This Transaction constitutes a Share Option Transaction for purposes of the Equity Definitions. The terms of the particular Transaction to which this Confirmation relates are as follows:</w:t>
      </w:r>
    </w:p>
    <w:p>
      <w:pPr>
        <w:sectPr>
          <w:pgSz w:w="11900" w:h="16838" w:orient="portrait"/>
          <w:cols w:equalWidth="0" w:num="1">
            <w:col w:w="11420"/>
          </w:cols>
          <w:pgMar w:left="240" w:top="121" w:right="23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General Terms: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Trade Date: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April 8, 2009</w:t>
            </w:r>
          </w:p>
        </w:tc>
      </w:tr>
      <w:tr>
        <w:trPr>
          <w:trHeight w:val="415"/>
        </w:trPr>
        <w:tc>
          <w:tcPr>
            <w:tcW w:w="3900" w:type="dxa"/>
            <w:vAlign w:val="bottom"/>
          </w:tcPr>
          <w:p>
            <w:pPr>
              <w:ind w:left="660"/>
              <w:spacing w:after="0"/>
              <w:rPr>
                <w:sz w:val="20"/>
                <w:szCs w:val="20"/>
                <w:color w:val="auto"/>
              </w:rPr>
            </w:pPr>
            <w:r>
              <w:rPr>
                <w:rFonts w:ascii="Arial" w:cs="Arial" w:eastAsia="Arial" w:hAnsi="Arial"/>
                <w:sz w:val="18"/>
                <w:szCs w:val="18"/>
                <w:color w:val="auto"/>
              </w:rPr>
              <w:t>Components:</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The Transaction will be divided into individual Components, each with the terms set forth in</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2"/>
              </w:rPr>
              <w:t>this Confirmation, and, in particular, with the Number of Options and Expiration Date set forth</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6"/>
              </w:rPr>
              <w:t>in Annex A to this Confirmation. The exercise, valuation and settlement of the Transaction</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9"/>
              </w:rPr>
              <w:t>will be effected separately for each Component as if each Component were a separate</w:t>
            </w:r>
          </w:p>
        </w:tc>
      </w:tr>
      <w:tr>
        <w:trPr>
          <w:trHeight w:val="229"/>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Transaction under the Agreement.</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Option Style: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European</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Option Type: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Call</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Seller:</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Dealer</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Buyer:</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Counterparty</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Shares:</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Common Stock (par value $0.10 per Share) of Counterparty (Ticker: “MU”)</w:t>
            </w:r>
          </w:p>
        </w:tc>
      </w:tr>
      <w:tr>
        <w:trPr>
          <w:trHeight w:val="415"/>
        </w:trPr>
        <w:tc>
          <w:tcPr>
            <w:tcW w:w="390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5"/>
              </w:rPr>
              <w:t xml:space="preserve">For each Component, as provided in Annex A to this Confirmation;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if Morgan</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1"/>
              </w:rPr>
              <w:t>Stanley &amp; Co. Incorporated and Goldman, Sachs &amp; Co., as representatives of the Underwriters</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2"/>
              </w:rPr>
              <w:t>named in the Underwriting Agreement dated April 8, 2009 between Counterparty and Morgan</w:t>
            </w:r>
          </w:p>
        </w:tc>
      </w:tr>
      <w:tr>
        <w:trPr>
          <w:trHeight w:val="189"/>
        </w:trPr>
        <w:tc>
          <w:tcPr>
            <w:tcW w:w="3900" w:type="dxa"/>
            <w:vAlign w:val="bottom"/>
          </w:tcPr>
          <w:p>
            <w:pPr>
              <w:spacing w:after="0"/>
              <w:rPr>
                <w:sz w:val="16"/>
                <w:szCs w:val="16"/>
                <w:color w:val="auto"/>
              </w:rPr>
            </w:pPr>
          </w:p>
        </w:tc>
        <w:tc>
          <w:tcPr>
            <w:tcW w:w="7560" w:type="dxa"/>
            <w:vAlign w:val="bottom"/>
            <w:gridSpan w:val="7"/>
          </w:tcPr>
          <w:p>
            <w:pPr>
              <w:ind w:left="680"/>
              <w:spacing w:after="0" w:line="189" w:lineRule="exact"/>
              <w:rPr>
                <w:sz w:val="20"/>
                <w:szCs w:val="20"/>
                <w:color w:val="auto"/>
              </w:rPr>
            </w:pPr>
            <w:r>
              <w:rPr>
                <w:rFonts w:ascii="Arial" w:cs="Arial" w:eastAsia="Arial" w:hAnsi="Arial"/>
                <w:sz w:val="18"/>
                <w:szCs w:val="18"/>
                <w:color w:val="auto"/>
                <w:w w:val="98"/>
              </w:rPr>
              <w:t>Stanley &amp; Co. Incorporated and Goldman, Sachs &amp; Co. (the “Underwriting Agreement”),</w:t>
            </w: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1"/>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exercise the option to purchase additional 4.25% Convertible Senior Notes due October 15,</w:t>
            </w:r>
          </w:p>
        </w:tc>
      </w:tr>
      <w:tr>
        <w:trPr>
          <w:trHeight w:val="189"/>
        </w:trPr>
        <w:tc>
          <w:tcPr>
            <w:tcW w:w="3900" w:type="dxa"/>
            <w:vAlign w:val="bottom"/>
          </w:tcPr>
          <w:p>
            <w:pPr>
              <w:spacing w:after="0"/>
              <w:rPr>
                <w:sz w:val="16"/>
                <w:szCs w:val="16"/>
                <w:color w:val="auto"/>
              </w:rPr>
            </w:pPr>
          </w:p>
        </w:tc>
        <w:tc>
          <w:tcPr>
            <w:tcW w:w="7560" w:type="dxa"/>
            <w:vAlign w:val="bottom"/>
            <w:gridSpan w:val="7"/>
          </w:tcPr>
          <w:p>
            <w:pPr>
              <w:ind w:left="680"/>
              <w:spacing w:after="0" w:line="189" w:lineRule="exact"/>
              <w:rPr>
                <w:sz w:val="20"/>
                <w:szCs w:val="20"/>
                <w:color w:val="auto"/>
              </w:rPr>
            </w:pPr>
            <w:r>
              <w:rPr>
                <w:rFonts w:ascii="Arial" w:cs="Arial" w:eastAsia="Arial" w:hAnsi="Arial"/>
                <w:sz w:val="18"/>
                <w:szCs w:val="18"/>
                <w:color w:val="auto"/>
                <w:w w:val="94"/>
              </w:rPr>
              <w:t>2013 (“Additional Convertible Notes”) pursuant to Section 2 of the Underwriting Agreement,</w:t>
            </w: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r>
      <w:tr>
        <w:trPr>
          <w:trHeight w:val="221"/>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3"/>
              </w:rPr>
              <w:t>the Number of Options for each Component shall be automatically increased, effective upon</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payment by Counterparty of the Additional Premium on the Additional Premium Payment</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Date, by a number of Options equal to the product of (x) the Number of Options for such</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5"/>
              </w:rPr>
              <w:t>Component as set forth in Annex A to this Confirmation and (y) a fraction, the numerator of</w:t>
            </w:r>
          </w:p>
        </w:tc>
      </w:tr>
      <w:tr>
        <w:trPr>
          <w:trHeight w:val="229"/>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which is the number of Additional</w:t>
            </w:r>
          </w:p>
        </w:tc>
      </w:tr>
      <w:tr>
        <w:trPr>
          <w:trHeight w:val="430"/>
        </w:trPr>
        <w:tc>
          <w:tcPr>
            <w:tcW w:w="3900" w:type="dxa"/>
            <w:vAlign w:val="bottom"/>
          </w:tcPr>
          <w:p>
            <w:pPr>
              <w:spacing w:after="0"/>
              <w:rPr>
                <w:sz w:val="24"/>
                <w:szCs w:val="24"/>
                <w:color w:val="auto"/>
              </w:rPr>
            </w:pPr>
          </w:p>
        </w:tc>
        <w:tc>
          <w:tcPr>
            <w:tcW w:w="2220" w:type="dxa"/>
            <w:vAlign w:val="bottom"/>
            <w:gridSpan w:val="3"/>
          </w:tcPr>
          <w:p>
            <w:pPr>
              <w:ind w:left="176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1"/>
        </w:trPr>
        <w:tc>
          <w:tcPr>
            <w:tcW w:w="390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r>
      <w:tr>
        <w:trPr>
          <w:trHeight w:val="761"/>
        </w:trPr>
        <w:tc>
          <w:tcPr>
            <w:tcW w:w="3900" w:type="dxa"/>
            <w:vAlign w:val="bottom"/>
          </w:tcPr>
          <w:p>
            <w:pPr>
              <w:spacing w:after="0"/>
              <w:rPr>
                <w:sz w:val="24"/>
                <w:szCs w:val="24"/>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Convertible Notes in denominations of USD1,000 principal amount issued pursuant to such</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1"/>
              </w:rPr>
              <w:t>exercise and the denominator of which is the number of Convertible Notes in denominations of</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6"/>
              </w:rPr>
              <w:t>USD1,000 principal amount issued prior to such exercise, subject to rounding as deemed</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appropriate by the Calculation Agent, and Calculation Agent will promptly provide</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Counterparty and Dealer a schedule setting forth the increased Number of Options for all</w:t>
            </w:r>
          </w:p>
        </w:tc>
      </w:tr>
      <w:tr>
        <w:trPr>
          <w:trHeight w:val="229"/>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Components.</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One Share per Option</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2220" w:type="dxa"/>
            <w:vAlign w:val="bottom"/>
            <w:gridSpan w:val="3"/>
          </w:tcPr>
          <w:p>
            <w:pPr>
              <w:ind w:left="680"/>
              <w:spacing w:after="0"/>
              <w:rPr>
                <w:sz w:val="20"/>
                <w:szCs w:val="20"/>
                <w:color w:val="auto"/>
              </w:rPr>
            </w:pPr>
            <w:r>
              <w:rPr>
                <w:rFonts w:ascii="Arial" w:cs="Arial" w:eastAsia="Arial" w:hAnsi="Arial"/>
                <w:sz w:val="18"/>
                <w:szCs w:val="18"/>
                <w:color w:val="auto"/>
              </w:rPr>
              <w:t>5.08375</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Cap Price:</w:t>
            </w:r>
          </w:p>
        </w:tc>
        <w:tc>
          <w:tcPr>
            <w:tcW w:w="2220" w:type="dxa"/>
            <w:vAlign w:val="bottom"/>
            <w:gridSpan w:val="3"/>
          </w:tcPr>
          <w:p>
            <w:pPr>
              <w:ind w:left="680"/>
              <w:spacing w:after="0"/>
              <w:rPr>
                <w:sz w:val="20"/>
                <w:szCs w:val="20"/>
                <w:color w:val="auto"/>
              </w:rPr>
            </w:pPr>
            <w:r>
              <w:rPr>
                <w:rFonts w:ascii="Arial" w:cs="Arial" w:eastAsia="Arial" w:hAnsi="Arial"/>
                <w:sz w:val="18"/>
                <w:szCs w:val="18"/>
                <w:color w:val="auto"/>
              </w:rPr>
              <w:t>6.64000</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5"/>
        </w:trPr>
        <w:tc>
          <w:tcPr>
            <w:tcW w:w="3900" w:type="dxa"/>
            <w:vAlign w:val="bottom"/>
          </w:tcPr>
          <w:p>
            <w:pPr>
              <w:ind w:left="660"/>
              <w:spacing w:after="0"/>
              <w:rPr>
                <w:sz w:val="20"/>
                <w:szCs w:val="20"/>
                <w:color w:val="auto"/>
              </w:rPr>
            </w:pPr>
            <w:r>
              <w:rPr>
                <w:rFonts w:ascii="Arial" w:cs="Arial" w:eastAsia="Arial" w:hAnsi="Arial"/>
                <w:sz w:val="18"/>
                <w:szCs w:val="18"/>
                <w:color w:val="auto"/>
              </w:rPr>
              <w:t>Premium:</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The premium for each Component shall be as provided in Annex A to this Confirmation and</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3"/>
              </w:rPr>
              <w:t xml:space="preserve">the aggregate Premium for the Transaction is USD4,300,000;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if the Number of</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Options is increased pursuant to the proviso to the definition of “Number of Options” above,</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3"/>
              </w:rPr>
              <w:t>Counterparty shall pay on the Additional Premium Payment Date an additional Premium (the</w:t>
            </w:r>
          </w:p>
        </w:tc>
      </w:tr>
      <w:tr>
        <w:trPr>
          <w:trHeight w:val="189"/>
        </w:trPr>
        <w:tc>
          <w:tcPr>
            <w:tcW w:w="3900" w:type="dxa"/>
            <w:vAlign w:val="bottom"/>
          </w:tcPr>
          <w:p>
            <w:pPr>
              <w:spacing w:after="0"/>
              <w:rPr>
                <w:sz w:val="16"/>
                <w:szCs w:val="16"/>
                <w:color w:val="auto"/>
              </w:rPr>
            </w:pPr>
          </w:p>
        </w:tc>
        <w:tc>
          <w:tcPr>
            <w:tcW w:w="7560" w:type="dxa"/>
            <w:vAlign w:val="bottom"/>
            <w:gridSpan w:val="7"/>
          </w:tcPr>
          <w:p>
            <w:pPr>
              <w:ind w:left="680"/>
              <w:spacing w:after="0" w:line="189" w:lineRule="exact"/>
              <w:rPr>
                <w:sz w:val="20"/>
                <w:szCs w:val="20"/>
                <w:color w:val="auto"/>
              </w:rPr>
            </w:pPr>
            <w:r>
              <w:rPr>
                <w:rFonts w:ascii="Arial" w:cs="Arial" w:eastAsia="Arial" w:hAnsi="Arial"/>
                <w:sz w:val="18"/>
                <w:szCs w:val="18"/>
                <w:color w:val="auto"/>
                <w:w w:val="93"/>
              </w:rPr>
              <w:t>“Additional Premium”) equal to the product of the number of Options by which the aggregate</w:t>
            </w:r>
          </w:p>
        </w:tc>
      </w:tr>
      <w:tr>
        <w:trPr>
          <w:trHeight w:val="20"/>
        </w:trPr>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r>
      <w:tr>
        <w:trPr>
          <w:trHeight w:val="221"/>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Number of Options for such Components is so increased and USD0.5465. Dealer and</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Counterparty hereby agree that, notwithstanding anything to the contrary herein or in the</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3"/>
              </w:rPr>
              <w:t>Agreement, following the payment of the Premium (including the Additional Premium, if any),</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1"/>
              </w:rPr>
              <w:t>in the event that (a) an Early Termination Date (whether as a result of an Event of Default or a</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Termination Event) occurs or is designated with respect to any Transaction and, as a result,</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Counterparty owes to Dealer the amount calculated under Section 6(e) of the Agreement</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4"/>
              </w:rPr>
              <w:t>(calculated as if the Transactions were terminated on such Early Termination Date were the</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sole Transactions under the Agreement) or (b) Counterparty owes to Dealer, pursuant to</w:t>
            </w:r>
          </w:p>
        </w:tc>
      </w:tr>
      <w:tr>
        <w:trPr>
          <w:trHeight w:val="215"/>
        </w:trPr>
        <w:tc>
          <w:tcPr>
            <w:tcW w:w="3900" w:type="dxa"/>
            <w:vAlign w:val="bottom"/>
          </w:tcPr>
          <w:p>
            <w:pPr>
              <w:spacing w:after="0"/>
              <w:rPr>
                <w:sz w:val="18"/>
                <w:szCs w:val="18"/>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Section 12.7 or Section 12.9 or the Equity Definitions, an amount calculated under</w:t>
            </w:r>
          </w:p>
        </w:tc>
      </w:tr>
      <w:tr>
        <w:trPr>
          <w:trHeight w:val="229"/>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Section 12.8 of the Equity Definitions, such amount shall be deemed to be zero.</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The Effective Date</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April 15, 2009 or such other date as agreed by the parties.</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Additional Premium Payment Date: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The closing date for the purchase and sale of the Additional Convertible Notes.</w:t>
            </w:r>
          </w:p>
        </w:tc>
      </w:tr>
      <w:tr>
        <w:trPr>
          <w:trHeight w:val="430"/>
        </w:trPr>
        <w:tc>
          <w:tcPr>
            <w:tcW w:w="3900" w:type="dxa"/>
            <w:vAlign w:val="bottom"/>
          </w:tcPr>
          <w:p>
            <w:pPr>
              <w:ind w:left="660"/>
              <w:spacing w:after="0"/>
              <w:rPr>
                <w:sz w:val="20"/>
                <w:szCs w:val="20"/>
                <w:color w:val="auto"/>
              </w:rPr>
            </w:pPr>
            <w:r>
              <w:rPr>
                <w:rFonts w:ascii="Arial" w:cs="Arial" w:eastAsia="Arial" w:hAnsi="Arial"/>
                <w:sz w:val="18"/>
                <w:szCs w:val="18"/>
                <w:color w:val="auto"/>
              </w:rPr>
              <w:t>Exchange: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New York Stock Exchange</w:t>
            </w:r>
          </w:p>
        </w:tc>
      </w:tr>
      <w:tr>
        <w:trPr>
          <w:trHeight w:val="415"/>
        </w:trPr>
        <w:tc>
          <w:tcPr>
            <w:tcW w:w="390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w w:val="97"/>
              </w:rPr>
              <w:t>All Exchanges located in the United States on which the equity securities or equity-linked</w:t>
            </w:r>
          </w:p>
        </w:tc>
      </w:tr>
      <w:tr>
        <w:trPr>
          <w:trHeight w:val="229"/>
        </w:trPr>
        <w:tc>
          <w:tcPr>
            <w:tcW w:w="3900" w:type="dxa"/>
            <w:vAlign w:val="bottom"/>
          </w:tcPr>
          <w:p>
            <w:pPr>
              <w:spacing w:after="0"/>
              <w:rPr>
                <w:sz w:val="19"/>
                <w:szCs w:val="19"/>
                <w:color w:val="auto"/>
              </w:rPr>
            </w:pPr>
          </w:p>
        </w:tc>
        <w:tc>
          <w:tcPr>
            <w:tcW w:w="7560" w:type="dxa"/>
            <w:vAlign w:val="bottom"/>
            <w:gridSpan w:val="7"/>
          </w:tcPr>
          <w:p>
            <w:pPr>
              <w:ind w:left="680"/>
              <w:spacing w:after="0"/>
              <w:rPr>
                <w:sz w:val="20"/>
                <w:szCs w:val="20"/>
                <w:color w:val="auto"/>
              </w:rPr>
            </w:pPr>
            <w:r>
              <w:rPr>
                <w:rFonts w:ascii="Arial" w:cs="Arial" w:eastAsia="Arial" w:hAnsi="Arial"/>
                <w:sz w:val="18"/>
                <w:szCs w:val="18"/>
                <w:color w:val="auto"/>
              </w:rPr>
              <w:t>securities of Counterparty are traded.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-5705475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-5705475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Procedures for Exercise:</w:t>
            </w:r>
          </w:p>
        </w:tc>
        <w:tc>
          <w:tcPr>
            <w:tcW w:w="1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430"/>
        </w:trPr>
        <w:tc>
          <w:tcPr>
            <w:tcW w:w="4060" w:type="dxa"/>
            <w:vAlign w:val="bottom"/>
          </w:tcPr>
          <w:p>
            <w:pPr>
              <w:ind w:left="660"/>
              <w:spacing w:after="0"/>
              <w:rPr>
                <w:sz w:val="20"/>
                <w:szCs w:val="20"/>
                <w:color w:val="auto"/>
              </w:rPr>
            </w:pPr>
            <w:r>
              <w:rPr>
                <w:rFonts w:ascii="Arial" w:cs="Arial" w:eastAsia="Arial" w:hAnsi="Arial"/>
                <w:sz w:val="18"/>
                <w:szCs w:val="18"/>
                <w:color w:val="auto"/>
              </w:rPr>
              <w:t>Expiration Time:</w:t>
            </w:r>
          </w:p>
        </w:tc>
        <w:tc>
          <w:tcPr>
            <w:tcW w:w="7400" w:type="dxa"/>
            <w:vAlign w:val="bottom"/>
            <w:gridSpan w:val="3"/>
          </w:tcPr>
          <w:p>
            <w:pPr>
              <w:ind w:left="520"/>
              <w:spacing w:after="0"/>
              <w:rPr>
                <w:sz w:val="20"/>
                <w:szCs w:val="20"/>
                <w:color w:val="auto"/>
              </w:rPr>
            </w:pPr>
            <w:r>
              <w:rPr>
                <w:rFonts w:ascii="Arial" w:cs="Arial" w:eastAsia="Arial" w:hAnsi="Arial"/>
                <w:sz w:val="18"/>
                <w:szCs w:val="18"/>
                <w:color w:val="auto"/>
              </w:rPr>
              <w:t>Valuation Time</w:t>
            </w:r>
          </w:p>
        </w:tc>
      </w:tr>
      <w:tr>
        <w:trPr>
          <w:trHeight w:val="415"/>
        </w:trPr>
        <w:tc>
          <w:tcPr>
            <w:tcW w:w="406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7400" w:type="dxa"/>
            <w:vAlign w:val="bottom"/>
            <w:gridSpan w:val="3"/>
          </w:tcPr>
          <w:p>
            <w:pPr>
              <w:ind w:left="520"/>
              <w:spacing w:after="0"/>
              <w:rPr>
                <w:sz w:val="20"/>
                <w:szCs w:val="20"/>
                <w:color w:val="auto"/>
              </w:rPr>
            </w:pPr>
            <w:r>
              <w:rPr>
                <w:rFonts w:ascii="Arial" w:cs="Arial" w:eastAsia="Arial" w:hAnsi="Arial"/>
                <w:sz w:val="18"/>
                <w:szCs w:val="18"/>
                <w:color w:val="auto"/>
                <w:w w:val="93"/>
              </w:rPr>
              <w:t>As provided in Annex A to this Confirmation (or, if such date is not a Scheduled Trading Day,</w:t>
            </w:r>
          </w:p>
        </w:tc>
      </w:tr>
      <w:tr>
        <w:trPr>
          <w:trHeight w:val="229"/>
        </w:trPr>
        <w:tc>
          <w:tcPr>
            <w:tcW w:w="4060" w:type="dxa"/>
            <w:vAlign w:val="bottom"/>
          </w:tcPr>
          <w:p>
            <w:pPr>
              <w:spacing w:after="0"/>
              <w:rPr>
                <w:sz w:val="19"/>
                <w:szCs w:val="19"/>
                <w:color w:val="auto"/>
              </w:rPr>
            </w:pPr>
          </w:p>
        </w:tc>
        <w:tc>
          <w:tcPr>
            <w:tcW w:w="7400" w:type="dxa"/>
            <w:vAlign w:val="bottom"/>
            <w:gridSpan w:val="3"/>
          </w:tcPr>
          <w:p>
            <w:pPr>
              <w:ind w:left="520"/>
              <w:spacing w:after="0"/>
              <w:rPr>
                <w:sz w:val="20"/>
                <w:szCs w:val="20"/>
                <w:color w:val="auto"/>
              </w:rPr>
            </w:pPr>
            <w:r>
              <w:rPr>
                <w:rFonts w:ascii="Arial" w:cs="Arial" w:eastAsia="Arial" w:hAnsi="Arial"/>
                <w:sz w:val="18"/>
                <w:szCs w:val="18"/>
                <w:color w:val="auto"/>
                <w:w w:val="94"/>
              </w:rPr>
              <w:t>the next following Scheduled Trading Day that is not already an Expiration Date for another</w:t>
            </w:r>
          </w:p>
        </w:tc>
      </w:tr>
      <w:tr>
        <w:trPr>
          <w:trHeight w:val="430"/>
        </w:trPr>
        <w:tc>
          <w:tcPr>
            <w:tcW w:w="4060" w:type="dxa"/>
            <w:vAlign w:val="bottom"/>
          </w:tcPr>
          <w:p>
            <w:pPr>
              <w:spacing w:after="0"/>
              <w:rPr>
                <w:sz w:val="24"/>
                <w:szCs w:val="24"/>
                <w:color w:val="auto"/>
              </w:rPr>
            </w:pPr>
          </w:p>
        </w:tc>
        <w:tc>
          <w:tcPr>
            <w:tcW w:w="2520" w:type="dxa"/>
            <w:vAlign w:val="bottom"/>
            <w:gridSpan w:val="2"/>
          </w:tcPr>
          <w:p>
            <w:pPr>
              <w:ind w:left="160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r>
      <w:tr>
        <w:trPr>
          <w:trHeight w:val="131"/>
        </w:trPr>
        <w:tc>
          <w:tcPr>
            <w:tcW w:w="40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r>
      <w:tr>
        <w:trPr>
          <w:trHeight w:val="761"/>
        </w:trPr>
        <w:tc>
          <w:tcPr>
            <w:tcW w:w="4060" w:type="dxa"/>
            <w:vAlign w:val="bottom"/>
          </w:tcPr>
          <w:p>
            <w:pPr>
              <w:spacing w:after="0"/>
              <w:rPr>
                <w:sz w:val="24"/>
                <w:szCs w:val="24"/>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 xml:space="preserve">Component);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the Equity</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8"/>
              </w:rPr>
              <w:t>Definitions, if that date is a Disrupted Day, the Calculation Agent may determine that the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3"/>
              </w:rPr>
              <w:t>Expiration Date for such Component is a Disrupted Day in whole or in part, in which case the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7"/>
              </w:rPr>
              <w:t>Calculation Agent shall, in its reasonable discretion, determine the number of Options for</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5"/>
              </w:rPr>
              <w:t>which such day shall be the Expiration Date and (i) allocate the remaining Options for such</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9"/>
              </w:rPr>
              <w:t>Expiration Date to one or more of the remaining Expiration Dates, (ii) designate the first</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2"/>
              </w:rPr>
              <w:t>succeeding Scheduled Trading Day that is not a Disrupted Day and is not or is not deemed to</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2"/>
              </w:rPr>
              <w:t>be an Expiration Date in respect of any other Component of the Transaction hereunder as the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6"/>
              </w:rPr>
              <w:t xml:space="preserve">Expiration Date for such remaining Options, or (iii) a combination thereof; </w:t>
            </w:r>
            <w:r>
              <w:rPr>
                <w:rFonts w:ascii="Arial" w:cs="Arial" w:eastAsia="Arial" w:hAnsi="Arial"/>
                <w:sz w:val="18"/>
                <w:szCs w:val="18"/>
                <w:i w:val="1"/>
                <w:iCs w:val="1"/>
                <w:color w:val="auto"/>
                <w:w w:val="96"/>
              </w:rPr>
              <w:t>provided further</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7"/>
              </w:rPr>
              <w:t>that if the Expiration Date for a Component (including any portion of a Component whose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4"/>
              </w:rPr>
              <w:t>Expiration Date was postponed as a result of clause (ii) or (iii) above) has not occurred as of</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2"/>
              </w:rPr>
              <w:t>the Final Disruption Date, (a) such Final Disruption Date shall be deemed to be the Expiration</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4"/>
              </w:rPr>
              <w:t>Date and Valuation Date for such Component, and (b) the Calculation Agent shall determine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7"/>
              </w:rPr>
              <w:t>the VWAP Price for such Component on the basis of its good faith estimate of the trading</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8"/>
              </w:rPr>
              <w:t>value for the relevant Shares. Section 6.6 of the Equity Definitions shall not apply to any</w:t>
            </w:r>
          </w:p>
        </w:tc>
      </w:tr>
      <w:tr>
        <w:trPr>
          <w:trHeight w:val="229"/>
        </w:trPr>
        <w:tc>
          <w:tcPr>
            <w:tcW w:w="4060" w:type="dxa"/>
            <w:vAlign w:val="bottom"/>
          </w:tcPr>
          <w:p>
            <w:pPr>
              <w:spacing w:after="0"/>
              <w:rPr>
                <w:sz w:val="19"/>
                <w:szCs w:val="19"/>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Valuation Date occurring on an Expiration Date.</w:t>
            </w:r>
          </w:p>
        </w:tc>
      </w:tr>
      <w:tr>
        <w:trPr>
          <w:trHeight w:val="457"/>
        </w:trPr>
        <w:tc>
          <w:tcPr>
            <w:tcW w:w="406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November 30, 2012</w:t>
            </w:r>
          </w:p>
        </w:tc>
      </w:tr>
      <w:tr>
        <w:trPr>
          <w:trHeight w:val="442"/>
        </w:trPr>
        <w:tc>
          <w:tcPr>
            <w:tcW w:w="406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4"/>
              </w:rPr>
              <w:t>Section 6.3(a) of the Equity Definitions is hereby amended by replacing clause (ii) thereof in</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8"/>
              </w:rPr>
              <w:t>its entirety with the following: “(ii) an Exchange Disruption, or” and inserting immediately</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following clause (iii) thereof the following: “; in each case that the Calculation Agent</w:t>
            </w:r>
          </w:p>
        </w:tc>
      </w:tr>
      <w:tr>
        <w:trPr>
          <w:trHeight w:val="229"/>
        </w:trPr>
        <w:tc>
          <w:tcPr>
            <w:tcW w:w="4060" w:type="dxa"/>
            <w:vAlign w:val="bottom"/>
          </w:tcPr>
          <w:p>
            <w:pPr>
              <w:spacing w:after="0"/>
              <w:rPr>
                <w:sz w:val="19"/>
                <w:szCs w:val="19"/>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determines is material.”</w:t>
            </w:r>
          </w:p>
        </w:tc>
      </w:tr>
      <w:tr>
        <w:trPr>
          <w:trHeight w:val="442"/>
        </w:trPr>
        <w:tc>
          <w:tcPr>
            <w:tcW w:w="4060" w:type="dxa"/>
            <w:vAlign w:val="bottom"/>
          </w:tcPr>
          <w:p>
            <w:pPr>
              <w:ind w:left="660"/>
              <w:spacing w:after="0"/>
              <w:rPr>
                <w:sz w:val="20"/>
                <w:szCs w:val="20"/>
                <w:color w:val="auto"/>
              </w:rPr>
            </w:pPr>
            <w:r>
              <w:rPr>
                <w:rFonts w:ascii="Arial" w:cs="Arial" w:eastAsia="Arial" w:hAnsi="Arial"/>
                <w:sz w:val="18"/>
                <w:szCs w:val="18"/>
                <w:color w:val="auto"/>
              </w:rPr>
              <w:t>Exchange Business Day; Disrupted Day:</w:t>
            </w: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5"/>
              </w:rPr>
              <w:t>Sections 1.29 and 6.4 of the Equity Definitions are hereby amended by adding “, unless the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Calculation Agent reasonably determines that any failure of such Exchange or Related</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9"/>
              </w:rPr>
              <w:t>Exchange to open does not have a material effect on the trading market for the Shares”</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4"/>
              </w:rPr>
              <w:t>following the words “regular trading sessions” in the third line thereof and the words “regular</w:t>
            </w:r>
          </w:p>
        </w:tc>
      </w:tr>
      <w:tr>
        <w:trPr>
          <w:trHeight w:val="229"/>
        </w:trPr>
        <w:tc>
          <w:tcPr>
            <w:tcW w:w="4060" w:type="dxa"/>
            <w:vAlign w:val="bottom"/>
          </w:tcPr>
          <w:p>
            <w:pPr>
              <w:spacing w:after="0"/>
              <w:rPr>
                <w:sz w:val="19"/>
                <w:szCs w:val="19"/>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trading session” in the second line thereof, respectively.</w:t>
            </w:r>
          </w:p>
        </w:tc>
      </w:tr>
      <w:tr>
        <w:trPr>
          <w:trHeight w:val="415"/>
        </w:trPr>
        <w:tc>
          <w:tcPr>
            <w:tcW w:w="4060" w:type="dxa"/>
            <w:vAlign w:val="bottom"/>
          </w:tcPr>
          <w:p>
            <w:pPr>
              <w:ind w:left="660"/>
              <w:spacing w:after="0"/>
              <w:rPr>
                <w:sz w:val="20"/>
                <w:szCs w:val="20"/>
                <w:color w:val="auto"/>
              </w:rPr>
            </w:pPr>
            <w:r>
              <w:rPr>
                <w:rFonts w:ascii="Arial" w:cs="Arial" w:eastAsia="Arial" w:hAnsi="Arial"/>
                <w:sz w:val="18"/>
                <w:szCs w:val="18"/>
                <w:color w:val="auto"/>
              </w:rPr>
              <w:t>Automatic Exercise:</w:t>
            </w: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Applicable; and means that the Number of Options for the relevant Component will be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3"/>
              </w:rPr>
              <w:t>deemed to be automatically exercised at the Expiration Time on the Expiration Date for such</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1"/>
              </w:rPr>
              <w:t>Component if at such time such Component is In-the-Money, as determined by the Calculation</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6"/>
              </w:rPr>
              <w:t>Agent, unless Buyer notifies Seller (by telephone or in writing) prior to the Expiration Time</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2"/>
              </w:rPr>
              <w:t>on such Expiration Date that it does not wish Automatic Exercise to occur with respect to such</w:t>
            </w:r>
          </w:p>
        </w:tc>
      </w:tr>
      <w:tr>
        <w:trPr>
          <w:trHeight w:val="215"/>
        </w:trPr>
        <w:tc>
          <w:tcPr>
            <w:tcW w:w="4060" w:type="dxa"/>
            <w:vAlign w:val="bottom"/>
          </w:tcPr>
          <w:p>
            <w:pPr>
              <w:spacing w:after="0"/>
              <w:rPr>
                <w:sz w:val="18"/>
                <w:szCs w:val="18"/>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rPr>
              <w:t>Component, in which case Automatic Exercise will not apply with respect to such</w:t>
            </w:r>
          </w:p>
        </w:tc>
      </w:tr>
      <w:tr>
        <w:trPr>
          <w:trHeight w:val="189"/>
        </w:trPr>
        <w:tc>
          <w:tcPr>
            <w:tcW w:w="4060" w:type="dxa"/>
            <w:vAlign w:val="bottom"/>
          </w:tcPr>
          <w:p>
            <w:pPr>
              <w:spacing w:after="0"/>
              <w:rPr>
                <w:sz w:val="16"/>
                <w:szCs w:val="16"/>
                <w:color w:val="auto"/>
              </w:rPr>
            </w:pPr>
          </w:p>
        </w:tc>
        <w:tc>
          <w:tcPr>
            <w:tcW w:w="7400" w:type="dxa"/>
            <w:vAlign w:val="bottom"/>
            <w:gridSpan w:val="3"/>
          </w:tcPr>
          <w:p>
            <w:pPr>
              <w:ind w:left="480"/>
              <w:spacing w:after="0" w:line="189" w:lineRule="exact"/>
              <w:rPr>
                <w:sz w:val="20"/>
                <w:szCs w:val="20"/>
                <w:color w:val="auto"/>
              </w:rPr>
            </w:pPr>
            <w:r>
              <w:rPr>
                <w:rFonts w:ascii="Arial" w:cs="Arial" w:eastAsia="Arial" w:hAnsi="Arial"/>
                <w:sz w:val="18"/>
                <w:szCs w:val="18"/>
                <w:color w:val="auto"/>
                <w:w w:val="95"/>
              </w:rPr>
              <w:t>Component. “In-the-Money” means, in respect of any Component, that the VWAP Price on</w:t>
            </w:r>
          </w:p>
        </w:tc>
      </w:tr>
      <w:tr>
        <w:trPr>
          <w:trHeight w:val="20"/>
        </w:trPr>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35"/>
        </w:trPr>
        <w:tc>
          <w:tcPr>
            <w:tcW w:w="4060" w:type="dxa"/>
            <w:vAlign w:val="bottom"/>
          </w:tcPr>
          <w:p>
            <w:pPr>
              <w:spacing w:after="0"/>
              <w:rPr>
                <w:sz w:val="20"/>
                <w:szCs w:val="20"/>
                <w:color w:val="auto"/>
              </w:rPr>
            </w:pPr>
          </w:p>
        </w:tc>
        <w:tc>
          <w:tcPr>
            <w:tcW w:w="7400" w:type="dxa"/>
            <w:vAlign w:val="bottom"/>
            <w:gridSpan w:val="3"/>
          </w:tcPr>
          <w:p>
            <w:pPr>
              <w:ind w:left="480"/>
              <w:spacing w:after="0"/>
              <w:rPr>
                <w:sz w:val="20"/>
                <w:szCs w:val="20"/>
                <w:color w:val="auto"/>
              </w:rPr>
            </w:pPr>
            <w:r>
              <w:rPr>
                <w:rFonts w:ascii="Arial" w:cs="Arial" w:eastAsia="Arial" w:hAnsi="Arial"/>
                <w:sz w:val="18"/>
                <w:szCs w:val="18"/>
                <w:color w:val="auto"/>
                <w:w w:val="93"/>
              </w:rPr>
              <w:t>the Expiration Date for such Component is greater than the Strike Price for such Component.</w:t>
            </w:r>
          </w:p>
        </w:tc>
      </w:tr>
      <w:tr>
        <w:trPr>
          <w:trHeight w:val="430"/>
        </w:trPr>
        <w:tc>
          <w:tcPr>
            <w:tcW w:w="4060" w:type="dxa"/>
            <w:vAlign w:val="bottom"/>
          </w:tcPr>
          <w:p>
            <w:pPr>
              <w:spacing w:after="0"/>
              <w:rPr>
                <w:sz w:val="24"/>
                <w:szCs w:val="24"/>
                <w:color w:val="auto"/>
              </w:rPr>
            </w:pPr>
          </w:p>
        </w:tc>
        <w:tc>
          <w:tcPr>
            <w:tcW w:w="2520" w:type="dxa"/>
            <w:vAlign w:val="bottom"/>
            <w:gridSpan w:val="2"/>
          </w:tcPr>
          <w:p>
            <w:pPr>
              <w:ind w:left="1600"/>
              <w:spacing w:after="0"/>
              <w:rPr>
                <w:sz w:val="20"/>
                <w:szCs w:val="20"/>
                <w:color w:val="auto"/>
              </w:rPr>
            </w:pPr>
            <w:r>
              <w:rPr>
                <w:rFonts w:ascii="Arial" w:cs="Arial" w:eastAsia="Arial" w:hAnsi="Arial"/>
                <w:sz w:val="18"/>
                <w:szCs w:val="18"/>
                <w:color w:val="auto"/>
              </w:rPr>
              <w:t>4</w:t>
            </w:r>
          </w:p>
        </w:tc>
        <w:tc>
          <w:tcPr>
            <w:tcW w:w="4880" w:type="dxa"/>
            <w:vAlign w:val="bottom"/>
          </w:tcPr>
          <w:p>
            <w:pPr>
              <w:spacing w:after="0"/>
              <w:rPr>
                <w:sz w:val="24"/>
                <w:szCs w:val="24"/>
                <w:color w:val="auto"/>
              </w:rPr>
            </w:pPr>
          </w:p>
        </w:tc>
      </w:tr>
      <w:tr>
        <w:trPr>
          <w:trHeight w:val="131"/>
        </w:trPr>
        <w:tc>
          <w:tcPr>
            <w:tcW w:w="40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8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-5989320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-5989320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0"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Seller’s Telephone Number and Telex and/or Facsimile Number and Contact Details for purpose of Giving Notice: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Terms: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Electing Party: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 Method Election Date:</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Settlement Method: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be provided by Dealer.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20"/>
        <w:spacing w:after="0" w:line="272" w:lineRule="auto"/>
        <w:rPr>
          <w:sz w:val="20"/>
          <w:szCs w:val="20"/>
          <w:color w:val="auto"/>
        </w:rPr>
      </w:pPr>
      <w:r>
        <w:rPr>
          <w:rFonts w:ascii="Arial" w:cs="Arial" w:eastAsia="Arial" w:hAnsi="Arial"/>
          <w:sz w:val="17"/>
          <w:szCs w:val="17"/>
          <w:color w:val="auto"/>
        </w:rPr>
        <w:t xml:space="preserve">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Section 7.1 of the Equity Definitions is hereby amended by replacing the term “Physical Settlement” with the term “Net Share Settlement”,</w:t>
      </w:r>
    </w:p>
    <w:p>
      <w:pPr>
        <w:spacing w:after="0" w:line="1" w:lineRule="exact"/>
        <w:rPr>
          <w:sz w:val="20"/>
          <w:szCs w:val="20"/>
          <w:color w:val="auto"/>
        </w:rPr>
      </w:pPr>
    </w:p>
    <w:p>
      <w:pPr>
        <w:ind w:right="60" w:firstLine="5"/>
        <w:spacing w:after="0" w:line="251" w:lineRule="auto"/>
        <w:tabs>
          <w:tab w:leader="none" w:pos="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Counterparty must make a single irrevocable election for all Components and (c) such Settlement Method Election would be effective only if Counterparty represents and warrants to Dealer in writing on the date of such Settlement Method Election that none of Counterparty and its officers and directors is aware of any material nonpublic information regarding Counterparty or the Shares as of such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Counterparty</w:t>
      </w:r>
    </w:p>
    <w:p>
      <w:pPr>
        <w:spacing w:after="0" w:line="223"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The fifth Scheduled Trading Day prior to the scheduled Expiration Date for the first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Share Settlement</w:t>
      </w:r>
    </w:p>
    <w:p>
      <w:pPr>
        <w:sectPr>
          <w:pgSz w:w="11900" w:h="16838" w:orient="portrait"/>
          <w:cols w:equalWidth="0" w:num="2">
            <w:col w:w="4320" w:space="260"/>
            <w:col w:w="6880"/>
          </w:cols>
          <w:pgMar w:left="240" w:top="340" w:right="199" w:bottom="0" w:gutter="0" w:footer="0" w:header="0"/>
          <w:type w:val="continuous"/>
        </w:sectPr>
      </w:pPr>
    </w:p>
    <w:bookmarkStart w:id="62" w:name="page63"/>
    <w:bookmarkEnd w:id="62"/>
    <w:p>
      <w:pPr>
        <w:ind w:left="660"/>
        <w:spacing w:after="0"/>
        <w:tabs>
          <w:tab w:leader="none" w:pos="4560" w:val="left"/>
        </w:tabs>
        <w:rPr>
          <w:sz w:val="20"/>
          <w:szCs w:val="20"/>
          <w:color w:val="auto"/>
        </w:rPr>
      </w:pPr>
      <w:r>
        <w:rPr>
          <w:rFonts w:ascii="Arial" w:cs="Arial" w:eastAsia="Arial" w:hAnsi="Arial"/>
          <w:sz w:val="18"/>
          <w:szCs w:val="18"/>
          <w:color w:val="auto"/>
        </w:rPr>
        <w:t>Settlement Currency:</w:t>
      </w:r>
      <w:r>
        <w:rPr>
          <w:sz w:val="20"/>
          <w:szCs w:val="20"/>
          <w:color w:val="auto"/>
        </w:rPr>
        <w:tab/>
      </w:r>
      <w:r>
        <w:rPr>
          <w:rFonts w:ascii="Arial" w:cs="Arial" w:eastAsia="Arial" w:hAnsi="Arial"/>
          <w:sz w:val="17"/>
          <w:szCs w:val="17"/>
          <w:color w:val="auto"/>
        </w:rPr>
        <w:t>USD</w:t>
      </w:r>
    </w:p>
    <w:p>
      <w:pPr>
        <w:spacing w:after="0" w:line="223" w:lineRule="exact"/>
        <w:rPr>
          <w:sz w:val="20"/>
          <w:szCs w:val="20"/>
          <w:color w:val="auto"/>
        </w:rPr>
      </w:pPr>
    </w:p>
    <w:p>
      <w:pPr>
        <w:ind w:left="660"/>
        <w:spacing w:after="0"/>
        <w:tabs>
          <w:tab w:leader="none" w:pos="4560" w:val="left"/>
        </w:tabs>
        <w:rPr>
          <w:sz w:val="20"/>
          <w:szCs w:val="20"/>
          <w:color w:val="auto"/>
        </w:rPr>
      </w:pPr>
      <w:r>
        <w:rPr>
          <w:rFonts w:ascii="Arial" w:cs="Arial" w:eastAsia="Arial" w:hAnsi="Arial"/>
          <w:sz w:val="18"/>
          <w:szCs w:val="18"/>
          <w:color w:val="auto"/>
        </w:rPr>
        <w:t>VWAP Price:</w:t>
      </w:r>
      <w:r>
        <w:rPr>
          <w:sz w:val="20"/>
          <w:szCs w:val="20"/>
          <w:color w:val="auto"/>
        </w:rPr>
        <w:tab/>
      </w:r>
      <w:r>
        <w:rPr>
          <w:rFonts w:ascii="Arial" w:cs="Arial" w:eastAsia="Arial" w:hAnsi="Arial"/>
          <w:sz w:val="16"/>
          <w:szCs w:val="16"/>
          <w:color w:val="auto"/>
        </w:rPr>
        <w:t>For any Expiration Date or other Exchange Business Day, as displayed on Bloomberg</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Page “MU.N &lt;Equity&gt; AQR” (or any successor thereto) for the Counterparty with respect to</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the period between 9:30 a.m. to 4:00 p.m. (New York City time) on such day, as determined</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Calculation Agent. If no price is available, or there is a Market Disruption Event on such</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Expiration Date or other Exchange Business Day, the Calculation Agent shall determine the</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VWAP Price in a commercially reasonable manner.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Share Settlement:</w:t>
      </w:r>
    </w:p>
    <w:p>
      <w:pPr>
        <w:spacing w:after="0" w:line="223" w:lineRule="exact"/>
        <w:rPr>
          <w:sz w:val="20"/>
          <w:szCs w:val="20"/>
          <w:color w:val="auto"/>
        </w:rPr>
      </w:pPr>
    </w:p>
    <w:p>
      <w:pPr>
        <w:ind w:left="660"/>
        <w:spacing w:after="0"/>
        <w:tabs>
          <w:tab w:leader="none" w:pos="456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The Settlement Date shall be the third Scheduled Trading Day after the Expiration Date for the</w:t>
      </w:r>
    </w:p>
    <w:p>
      <w:pPr>
        <w:spacing w:after="0" w:line="22" w:lineRule="exact"/>
        <w:rPr>
          <w:sz w:val="20"/>
          <w:szCs w:val="20"/>
          <w:color w:val="auto"/>
        </w:rPr>
      </w:pPr>
    </w:p>
    <w:p>
      <w:pPr>
        <w:ind w:left="4580" w:right="160"/>
        <w:spacing w:after="0" w:line="320" w:lineRule="auto"/>
        <w:rPr>
          <w:sz w:val="20"/>
          <w:szCs w:val="20"/>
          <w:color w:val="auto"/>
        </w:rPr>
      </w:pPr>
      <w:r>
        <w:rPr>
          <w:rFonts w:ascii="Arial" w:cs="Arial" w:eastAsia="Arial" w:hAnsi="Arial"/>
          <w:sz w:val="16"/>
          <w:szCs w:val="16"/>
          <w:color w:val="auto"/>
        </w:rPr>
        <w:t>Component (or, in respect of all or part of its obligation to deliver the Number of Shares to be Delivered, such other earlier date or dates Dealer shall determine in its sole discretion).</w:t>
      </w:r>
    </w:p>
    <w:p>
      <w:pPr>
        <w:spacing w:after="0" w:line="139" w:lineRule="exact"/>
        <w:rPr>
          <w:sz w:val="20"/>
          <w:szCs w:val="20"/>
          <w:color w:val="auto"/>
        </w:rPr>
      </w:pPr>
    </w:p>
    <w:p>
      <w:pPr>
        <w:ind w:left="660"/>
        <w:spacing w:after="0"/>
        <w:tabs>
          <w:tab w:leader="none" w:pos="4560" w:val="left"/>
        </w:tabs>
        <w:rPr>
          <w:sz w:val="20"/>
          <w:szCs w:val="20"/>
          <w:color w:val="auto"/>
        </w:rPr>
      </w:pPr>
      <w:r>
        <w:rPr>
          <w:rFonts w:ascii="Arial" w:cs="Arial" w:eastAsia="Arial" w:hAnsi="Arial"/>
          <w:sz w:val="18"/>
          <w:szCs w:val="18"/>
          <w:color w:val="auto"/>
        </w:rPr>
        <w:t>Net Share Settlement:</w:t>
      </w:r>
      <w:r>
        <w:rPr>
          <w:sz w:val="20"/>
          <w:szCs w:val="20"/>
          <w:color w:val="auto"/>
        </w:rPr>
        <w:tab/>
      </w:r>
      <w:r>
        <w:rPr>
          <w:rFonts w:ascii="Arial" w:cs="Arial" w:eastAsia="Arial" w:hAnsi="Arial"/>
          <w:sz w:val="16"/>
          <w:szCs w:val="16"/>
          <w:color w:val="auto"/>
        </w:rPr>
        <w:t>If Net Share Settlement applies, on the Settlement Date for each Component, Dealer shall</w:t>
      </w:r>
    </w:p>
    <w:p>
      <w:pPr>
        <w:spacing w:after="0" w:line="22" w:lineRule="exact"/>
        <w:rPr>
          <w:sz w:val="20"/>
          <w:szCs w:val="20"/>
          <w:color w:val="auto"/>
        </w:rPr>
      </w:pPr>
    </w:p>
    <w:p>
      <w:pPr>
        <w:ind w:left="4580" w:right="140"/>
        <w:spacing w:after="0" w:line="252" w:lineRule="auto"/>
        <w:rPr>
          <w:sz w:val="20"/>
          <w:szCs w:val="20"/>
          <w:color w:val="auto"/>
        </w:rPr>
      </w:pPr>
      <w:r>
        <w:rPr>
          <w:rFonts w:ascii="Arial" w:cs="Arial" w:eastAsia="Arial" w:hAnsi="Arial"/>
          <w:sz w:val="18"/>
          <w:szCs w:val="18"/>
          <w:color w:val="auto"/>
        </w:rPr>
        <w:t>deliver to Counterparty a number of Shares equal to the Number of Shares to be Delivered for such Component to the account specified by Counterparty and cash in lieu of any fractional shares for such Component valued at the VWAP Price on the Expiration Date for such Component.</w:t>
      </w:r>
    </w:p>
    <w:p>
      <w:pPr>
        <w:sectPr>
          <w:pgSz w:w="11900" w:h="16838" w:orient="portrait"/>
          <w:cols w:equalWidth="0" w:num="1">
            <w:col w:w="11460"/>
          </w:cols>
          <w:pgMar w:left="240" w:top="125" w:right="199" w:bottom="0" w:gutter="0" w:footer="0" w:header="0"/>
        </w:sectPr>
      </w:pP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Shares to be Delivered: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any Component, subject to the last sentence of Section 9.5 of the Equity Definitions:</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80010</wp:posOffset>
            </wp:positionV>
            <wp:extent cx="726884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80"/>
          </w:cols>
          <w:pgMar w:left="240" w:top="125" w:right="199" w:bottom="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2"/>
              </w:rPr>
              <w:t>(i) if the VWAP Price on the Expiration Date for such Component exceeds the Strike Price for</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0"/>
              </w:rPr>
              <w:t>such Component but is less than the Cap Price for such Component, a number of Shares equal</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to (i) the product of (A) the excess of such VWAP Price over such Strike Price, (B) the</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4"/>
              </w:rPr>
              <w:t xml:space="preserve">Number of Options for such Component and (C) the Option Entitlement, </w:t>
            </w:r>
            <w:r>
              <w:rPr>
                <w:rFonts w:ascii="Arial" w:cs="Arial" w:eastAsia="Arial" w:hAnsi="Arial"/>
                <w:sz w:val="18"/>
                <w:szCs w:val="18"/>
                <w:i w:val="1"/>
                <w:iCs w:val="1"/>
                <w:color w:val="auto"/>
                <w:w w:val="94"/>
              </w:rPr>
              <w:t>divided by</w:t>
            </w:r>
            <w:r>
              <w:rPr>
                <w:rFonts w:ascii="Arial" w:cs="Arial" w:eastAsia="Arial" w:hAnsi="Arial"/>
                <w:sz w:val="18"/>
                <w:szCs w:val="18"/>
                <w:color w:val="auto"/>
                <w:w w:val="94"/>
              </w:rPr>
              <w:t xml:space="preserve"> (ii) such</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VWAP Price;</w:t>
            </w:r>
          </w:p>
        </w:tc>
      </w:tr>
      <w:tr>
        <w:trPr>
          <w:trHeight w:val="415"/>
        </w:trPr>
        <w:tc>
          <w:tcPr>
            <w:tcW w:w="3760" w:type="dxa"/>
            <w:vAlign w:val="bottom"/>
          </w:tcPr>
          <w:p>
            <w:pPr>
              <w:spacing w:after="0"/>
              <w:rPr>
                <w:sz w:val="24"/>
                <w:szCs w:val="24"/>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(ii) if the VWAP Price on the Expiration Date for such Component equals or exceeds the Cap</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5"/>
              </w:rPr>
              <w:t>Price for such Component, a number of Shares equal to (i) the product of (A) the excess of</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2"/>
              </w:rPr>
              <w:t>such Cap Price over the Strike Price for such Component, (B) the Number of Options for such</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 xml:space="preserve">Component and (C) the Option 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tc>
      </w:tr>
      <w:tr>
        <w:trPr>
          <w:trHeight w:val="415"/>
        </w:trPr>
        <w:tc>
          <w:tcPr>
            <w:tcW w:w="3760" w:type="dxa"/>
            <w:vAlign w:val="bottom"/>
          </w:tcPr>
          <w:p>
            <w:pPr>
              <w:spacing w:after="0"/>
              <w:rPr>
                <w:sz w:val="24"/>
                <w:szCs w:val="24"/>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(iii) if the VWAP Price on the Expiration Date for such Component is less than or equal to the</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Strike Price for such Component, a number of Shares equal to zero.</w:t>
            </w:r>
          </w:p>
        </w:tc>
      </w:tr>
      <w:tr>
        <w:trPr>
          <w:trHeight w:val="415"/>
        </w:trPr>
        <w:tc>
          <w:tcPr>
            <w:tcW w:w="376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7700" w:type="dxa"/>
            <w:vAlign w:val="bottom"/>
          </w:tcPr>
          <w:p>
            <w:pPr>
              <w:ind w:left="820"/>
              <w:spacing w:after="0"/>
              <w:rPr>
                <w:sz w:val="20"/>
                <w:szCs w:val="20"/>
                <w:color w:val="auto"/>
              </w:rPr>
            </w:pPr>
            <w:r>
              <w:rPr>
                <w:rFonts w:ascii="Arial" w:cs="Arial" w:eastAsia="Arial" w:hAnsi="Arial"/>
                <w:sz w:val="18"/>
                <w:szCs w:val="18"/>
                <w:color w:val="auto"/>
                <w:w w:val="91"/>
              </w:rPr>
              <w:t>The provisions of Sections 9.1(c), 9.8, 9.9, 9.10, 9.11 and 9.12 of the Equity Definitions will be</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 xml:space="preserve">applicable, as if Physical Settlement applied to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5"/>
              </w:rPr>
              <w:t>Representation and Agreement contained in Section 9.11 of the Equity Definitions shall be</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modified by excluding any representations therein relating to restrictions, obligations,</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limitations or requirements under applicable securities laws as a result of the fact that</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Counterparty is the issuer of any Shares.</w:t>
            </w:r>
          </w:p>
        </w:tc>
      </w:tr>
      <w:tr>
        <w:trPr>
          <w:trHeight w:val="430"/>
        </w:trPr>
        <w:tc>
          <w:tcPr>
            <w:tcW w:w="3760" w:type="dxa"/>
            <w:vAlign w:val="bottom"/>
          </w:tcPr>
          <w:p>
            <w:pPr>
              <w:ind w:left="340"/>
              <w:spacing w:after="0"/>
              <w:rPr>
                <w:sz w:val="20"/>
                <w:szCs w:val="20"/>
                <w:color w:val="auto"/>
              </w:rPr>
            </w:pPr>
            <w:r>
              <w:rPr>
                <w:rFonts w:ascii="Arial" w:cs="Arial" w:eastAsia="Arial" w:hAnsi="Arial"/>
                <w:sz w:val="18"/>
                <w:szCs w:val="18"/>
                <w:i w:val="1"/>
                <w:iCs w:val="1"/>
                <w:color w:val="auto"/>
              </w:rPr>
              <w:t>Cash Settlement:</w:t>
            </w:r>
          </w:p>
        </w:tc>
        <w:tc>
          <w:tcPr>
            <w:tcW w:w="7700" w:type="dxa"/>
            <w:vAlign w:val="bottom"/>
          </w:tcPr>
          <w:p>
            <w:pPr>
              <w:spacing w:after="0"/>
              <w:rPr>
                <w:sz w:val="24"/>
                <w:szCs w:val="24"/>
                <w:color w:val="auto"/>
              </w:rPr>
            </w:pPr>
          </w:p>
        </w:tc>
      </w:tr>
      <w:tr>
        <w:trPr>
          <w:trHeight w:val="415"/>
        </w:trPr>
        <w:tc>
          <w:tcPr>
            <w:tcW w:w="3760" w:type="dxa"/>
            <w:vAlign w:val="bottom"/>
          </w:tcPr>
          <w:p>
            <w:pPr>
              <w:ind w:left="660"/>
              <w:spacing w:after="0"/>
              <w:rPr>
                <w:sz w:val="20"/>
                <w:szCs w:val="20"/>
                <w:color w:val="auto"/>
              </w:rPr>
            </w:pPr>
            <w:r>
              <w:rPr>
                <w:rFonts w:ascii="Arial" w:cs="Arial" w:eastAsia="Arial" w:hAnsi="Arial"/>
                <w:sz w:val="18"/>
                <w:szCs w:val="18"/>
                <w:color w:val="auto"/>
              </w:rPr>
              <w:t>Cash Settlement Payment Date:</w:t>
            </w:r>
          </w:p>
        </w:tc>
        <w:tc>
          <w:tcPr>
            <w:tcW w:w="7700" w:type="dxa"/>
            <w:vAlign w:val="bottom"/>
          </w:tcPr>
          <w:p>
            <w:pPr>
              <w:ind w:left="820"/>
              <w:spacing w:after="0"/>
              <w:rPr>
                <w:sz w:val="20"/>
                <w:szCs w:val="20"/>
                <w:color w:val="auto"/>
              </w:rPr>
            </w:pPr>
            <w:r>
              <w:rPr>
                <w:rFonts w:ascii="Arial" w:cs="Arial" w:eastAsia="Arial" w:hAnsi="Arial"/>
                <w:sz w:val="18"/>
                <w:szCs w:val="18"/>
                <w:color w:val="auto"/>
                <w:w w:val="99"/>
              </w:rPr>
              <w:t>The Cash Settlement Payment Date shall be the third Scheduled Trading Day after the</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Expiration Date for each Component.</w:t>
            </w:r>
          </w:p>
        </w:tc>
      </w:tr>
      <w:tr>
        <w:trPr>
          <w:trHeight w:val="415"/>
        </w:trPr>
        <w:tc>
          <w:tcPr>
            <w:tcW w:w="3760" w:type="dxa"/>
            <w:vAlign w:val="bottom"/>
          </w:tcPr>
          <w:p>
            <w:pPr>
              <w:ind w:left="660"/>
              <w:spacing w:after="0"/>
              <w:rPr>
                <w:sz w:val="20"/>
                <w:szCs w:val="20"/>
                <w:color w:val="auto"/>
              </w:rPr>
            </w:pPr>
            <w:r>
              <w:rPr>
                <w:rFonts w:ascii="Arial" w:cs="Arial" w:eastAsia="Arial" w:hAnsi="Arial"/>
                <w:sz w:val="18"/>
                <w:szCs w:val="18"/>
                <w:color w:val="auto"/>
              </w:rPr>
              <w:t>Cash Settlement:</w:t>
            </w:r>
          </w:p>
        </w:tc>
        <w:tc>
          <w:tcPr>
            <w:tcW w:w="7700" w:type="dxa"/>
            <w:vAlign w:val="bottom"/>
          </w:tcPr>
          <w:p>
            <w:pPr>
              <w:ind w:left="820"/>
              <w:spacing w:after="0"/>
              <w:rPr>
                <w:sz w:val="20"/>
                <w:szCs w:val="20"/>
                <w:color w:val="auto"/>
              </w:rPr>
            </w:pPr>
            <w:r>
              <w:rPr>
                <w:rFonts w:ascii="Arial" w:cs="Arial" w:eastAsia="Arial" w:hAnsi="Arial"/>
                <w:sz w:val="18"/>
                <w:szCs w:val="18"/>
                <w:color w:val="auto"/>
              </w:rPr>
              <w:t>If Cash Settlement applies, on the relevant Cash Settlement Payment Date for such</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2"/>
              </w:rPr>
              <w:t>Component, Dealer shall pay to Counterparty an amount equal to the sum of the Option Cash</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Settlement Amount for each Component to the account specified by Counterparty.</w:t>
            </w:r>
          </w:p>
        </w:tc>
      </w:tr>
      <w:tr>
        <w:trPr>
          <w:trHeight w:val="430"/>
        </w:trPr>
        <w:tc>
          <w:tcPr>
            <w:tcW w:w="3760" w:type="dxa"/>
            <w:vAlign w:val="bottom"/>
          </w:tcPr>
          <w:p>
            <w:pPr>
              <w:ind w:left="660"/>
              <w:spacing w:after="0"/>
              <w:rPr>
                <w:sz w:val="20"/>
                <w:szCs w:val="20"/>
                <w:color w:val="auto"/>
              </w:rPr>
            </w:pPr>
            <w:r>
              <w:rPr>
                <w:rFonts w:ascii="Arial" w:cs="Arial" w:eastAsia="Arial" w:hAnsi="Arial"/>
                <w:sz w:val="18"/>
                <w:szCs w:val="18"/>
                <w:color w:val="auto"/>
              </w:rPr>
              <w:t>Strike Price Differential:</w:t>
            </w:r>
          </w:p>
        </w:tc>
        <w:tc>
          <w:tcPr>
            <w:tcW w:w="7700" w:type="dxa"/>
            <w:vAlign w:val="bottom"/>
          </w:tcPr>
          <w:p>
            <w:pPr>
              <w:ind w:left="820"/>
              <w:spacing w:after="0"/>
              <w:rPr>
                <w:sz w:val="20"/>
                <w:szCs w:val="20"/>
                <w:color w:val="auto"/>
              </w:rPr>
            </w:pPr>
            <w:r>
              <w:rPr>
                <w:rFonts w:ascii="Arial" w:cs="Arial" w:eastAsia="Arial" w:hAnsi="Arial"/>
                <w:sz w:val="18"/>
                <w:szCs w:val="18"/>
                <w:color w:val="auto"/>
              </w:rPr>
              <w:t>For any Component:</w:t>
            </w:r>
          </w:p>
        </w:tc>
      </w:tr>
      <w:tr>
        <w:trPr>
          <w:trHeight w:val="415"/>
        </w:trPr>
        <w:tc>
          <w:tcPr>
            <w:tcW w:w="3760" w:type="dxa"/>
            <w:vAlign w:val="bottom"/>
          </w:tcPr>
          <w:p>
            <w:pPr>
              <w:spacing w:after="0"/>
              <w:rPr>
                <w:sz w:val="24"/>
                <w:szCs w:val="24"/>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2"/>
              </w:rPr>
              <w:t>(i) if the VWAP Price on the Expiration Date for such Component exceeds the Strike Price for</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such Component but is less than the Cap Price for such Component, an amount equal to the</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excess of such VWAP Price over such Strike Price.</w:t>
            </w:r>
          </w:p>
        </w:tc>
      </w:tr>
      <w:tr>
        <w:trPr>
          <w:trHeight w:val="415"/>
        </w:trPr>
        <w:tc>
          <w:tcPr>
            <w:tcW w:w="3760" w:type="dxa"/>
            <w:vAlign w:val="bottom"/>
          </w:tcPr>
          <w:p>
            <w:pPr>
              <w:spacing w:after="0"/>
              <w:rPr>
                <w:sz w:val="24"/>
                <w:szCs w:val="24"/>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(ii) if the VWAP Price on the Expiration Date for such Component equals or exceeds the Cap</w:t>
            </w:r>
          </w:p>
        </w:tc>
      </w:tr>
      <w:tr>
        <w:trPr>
          <w:trHeight w:val="215"/>
        </w:trPr>
        <w:tc>
          <w:tcPr>
            <w:tcW w:w="3760" w:type="dxa"/>
            <w:vAlign w:val="bottom"/>
          </w:tcPr>
          <w:p>
            <w:pPr>
              <w:spacing w:after="0"/>
              <w:rPr>
                <w:sz w:val="18"/>
                <w:szCs w:val="18"/>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Price for such Component, an amount equal to the excess of such Cap Price over the Strike</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Price for such Component; or</w:t>
            </w:r>
          </w:p>
        </w:tc>
      </w:tr>
      <w:tr>
        <w:trPr>
          <w:trHeight w:val="415"/>
        </w:trPr>
        <w:tc>
          <w:tcPr>
            <w:tcW w:w="3760" w:type="dxa"/>
            <w:vAlign w:val="bottom"/>
          </w:tcPr>
          <w:p>
            <w:pPr>
              <w:spacing w:after="0"/>
              <w:rPr>
                <w:sz w:val="24"/>
                <w:szCs w:val="24"/>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w w:val="93"/>
              </w:rPr>
              <w:t>(iii) if the VWAP Price on the Expiration Date for such Component is less than or equal to the</w:t>
            </w:r>
          </w:p>
        </w:tc>
      </w:tr>
      <w:tr>
        <w:trPr>
          <w:trHeight w:val="229"/>
        </w:trPr>
        <w:tc>
          <w:tcPr>
            <w:tcW w:w="376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Arial" w:cs="Arial" w:eastAsia="Arial" w:hAnsi="Arial"/>
                <w:sz w:val="18"/>
                <w:szCs w:val="18"/>
                <w:color w:val="auto"/>
              </w:rPr>
              <w:t>Strike Price for such Component, zero.</w:t>
            </w:r>
          </w:p>
        </w:tc>
      </w:tr>
      <w:tr>
        <w:trPr>
          <w:trHeight w:val="430"/>
        </w:trPr>
        <w:tc>
          <w:tcPr>
            <w:tcW w:w="3760" w:type="dxa"/>
            <w:vAlign w:val="bottom"/>
          </w:tcPr>
          <w:p>
            <w:pPr>
              <w:spacing w:after="0"/>
              <w:rPr>
                <w:sz w:val="24"/>
                <w:szCs w:val="24"/>
                <w:color w:val="auto"/>
              </w:rPr>
            </w:pPr>
          </w:p>
        </w:tc>
        <w:tc>
          <w:tcPr>
            <w:tcW w:w="7700" w:type="dxa"/>
            <w:vAlign w:val="bottom"/>
          </w:tcPr>
          <w:p>
            <w:pPr>
              <w:ind w:left="1900"/>
              <w:spacing w:after="0"/>
              <w:rPr>
                <w:sz w:val="20"/>
                <w:szCs w:val="20"/>
                <w:color w:val="auto"/>
              </w:rPr>
            </w:pPr>
            <w:r>
              <w:rPr>
                <w:rFonts w:ascii="Arial" w:cs="Arial" w:eastAsia="Arial" w:hAnsi="Arial"/>
                <w:sz w:val="18"/>
                <w:szCs w:val="18"/>
                <w:color w:val="auto"/>
              </w:rPr>
              <w:t>6</w:t>
            </w:r>
          </w:p>
        </w:tc>
      </w:tr>
      <w:tr>
        <w:trPr>
          <w:trHeight w:val="131"/>
        </w:trPr>
        <w:tc>
          <w:tcPr>
            <w:tcW w:w="3760" w:type="dxa"/>
            <w:vAlign w:val="bottom"/>
            <w:tcBorders>
              <w:bottom w:val="single" w:sz="8" w:color="010101"/>
            </w:tcBorders>
          </w:tcPr>
          <w:p>
            <w:pPr>
              <w:spacing w:after="0"/>
              <w:rPr>
                <w:sz w:val="11"/>
                <w:szCs w:val="11"/>
                <w:color w:val="auto"/>
              </w:rPr>
            </w:pPr>
          </w:p>
        </w:tc>
        <w:tc>
          <w:tcPr>
            <w:tcW w:w="7700" w:type="dxa"/>
            <w:vAlign w:val="bottom"/>
            <w:tcBorders>
              <w:bottom w:val="single" w:sz="8" w:color="010101"/>
            </w:tcBorders>
          </w:tcPr>
          <w:p>
            <w:pPr>
              <w:spacing w:after="0"/>
              <w:rPr>
                <w:sz w:val="11"/>
                <w:szCs w:val="11"/>
                <w:color w:val="auto"/>
              </w:rPr>
            </w:pPr>
          </w:p>
        </w:tc>
      </w:tr>
      <w:tr>
        <w:trPr>
          <w:trHeight w:val="776"/>
        </w:trPr>
        <w:tc>
          <w:tcPr>
            <w:tcW w:w="3760" w:type="dxa"/>
            <w:vAlign w:val="bottom"/>
          </w:tcPr>
          <w:p>
            <w:pPr>
              <w:ind w:left="20"/>
              <w:spacing w:after="0"/>
              <w:rPr>
                <w:sz w:val="20"/>
                <w:szCs w:val="20"/>
                <w:color w:val="auto"/>
              </w:rPr>
            </w:pPr>
            <w:r>
              <w:rPr>
                <w:rFonts w:ascii="Arial" w:cs="Arial" w:eastAsia="Arial" w:hAnsi="Arial"/>
                <w:sz w:val="18"/>
                <w:szCs w:val="18"/>
                <w:color w:val="auto"/>
              </w:rPr>
              <w:t>Share Adjustments:</w:t>
            </w:r>
          </w:p>
        </w:tc>
        <w:tc>
          <w:tcPr>
            <w:tcW w:w="7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-521970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-521970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15"/>
        </w:trPr>
        <w:tc>
          <w:tcPr>
            <w:tcW w:w="3820" w:type="dxa"/>
            <w:vAlign w:val="bottom"/>
            <w:gridSpan w:val="2"/>
          </w:tcPr>
          <w:p>
            <w:pPr>
              <w:ind w:left="660"/>
              <w:spacing w:after="0"/>
              <w:rPr>
                <w:sz w:val="20"/>
                <w:szCs w:val="20"/>
                <w:color w:val="auto"/>
              </w:rPr>
            </w:pPr>
            <w:r>
              <w:rPr>
                <w:rFonts w:ascii="Arial" w:cs="Arial" w:eastAsia="Arial" w:hAnsi="Arial"/>
                <w:sz w:val="18"/>
                <w:szCs w:val="18"/>
                <w:color w:val="auto"/>
              </w:rPr>
              <w:t>Method of Adjustment:</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8"/>
              </w:rPr>
              <w:t>Calculation Agent Adjustment; provided that under Section 11.2(e)(v) of the definition of</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6"/>
              </w:rPr>
              <w:t>Potential Adjustment Event the word “repurchase” shall be replaced with the word “tender</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offer”.</w:t>
            </w:r>
          </w:p>
        </w:tc>
      </w:tr>
      <w:tr>
        <w:trPr>
          <w:trHeight w:val="4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Extraordinary Events:</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15"/>
        </w:trPr>
        <w:tc>
          <w:tcPr>
            <w:tcW w:w="1040" w:type="dxa"/>
            <w:vAlign w:val="bottom"/>
          </w:tcPr>
          <w:p>
            <w:pPr>
              <w:ind w:left="20"/>
              <w:spacing w:after="0"/>
              <w:rPr>
                <w:sz w:val="20"/>
                <w:szCs w:val="20"/>
                <w:color w:val="auto"/>
              </w:rPr>
            </w:pPr>
            <w:r>
              <w:rPr>
                <w:rFonts w:ascii="Arial" w:cs="Arial" w:eastAsia="Arial" w:hAnsi="Arial"/>
                <w:sz w:val="18"/>
                <w:szCs w:val="18"/>
                <w:color w:val="auto"/>
                <w:w w:val="97"/>
              </w:rPr>
              <w:t>New Shares:</w:t>
            </w:r>
          </w:p>
        </w:tc>
        <w:tc>
          <w:tcPr>
            <w:tcW w:w="2780" w:type="dxa"/>
            <w:vAlign w:val="bottom"/>
          </w:tcPr>
          <w:p>
            <w:pPr>
              <w:spacing w:after="0"/>
              <w:rPr>
                <w:sz w:val="24"/>
                <w:szCs w:val="24"/>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In the definition of “New Shares” in Section 12.1(i) of the Equity Definitions, the text in</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6"/>
              </w:rPr>
              <w:t>subsection (i) shall be deleted in its entirety and replaced with: “publicly quoted, traded or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6"/>
              </w:rPr>
              <w:t>listed on any of the New York Stock Exchange, the NASDAQ Global Select Market or the</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NASDAQ Global Market (or their respective successors)”.</w:t>
            </w:r>
          </w:p>
        </w:tc>
      </w:tr>
      <w:tr>
        <w:trPr>
          <w:trHeight w:val="4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Consequences of Merger Events:</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15"/>
        </w:trPr>
        <w:tc>
          <w:tcPr>
            <w:tcW w:w="1040" w:type="dxa"/>
            <w:vAlign w:val="bottom"/>
          </w:tcPr>
          <w:p>
            <w:pPr>
              <w:ind w:left="660"/>
              <w:spacing w:after="0"/>
              <w:rPr>
                <w:sz w:val="20"/>
                <w:szCs w:val="20"/>
                <w:color w:val="auto"/>
              </w:rPr>
            </w:pPr>
            <w:r>
              <w:rPr>
                <w:rFonts w:ascii="Arial" w:cs="Arial" w:eastAsia="Arial" w:hAnsi="Arial"/>
                <w:sz w:val="18"/>
                <w:szCs w:val="18"/>
                <w:color w:val="auto"/>
              </w:rPr>
              <w:t>(a)</w:t>
            </w:r>
          </w:p>
        </w:tc>
        <w:tc>
          <w:tcPr>
            <w:tcW w:w="2780" w:type="dxa"/>
            <w:vAlign w:val="bottom"/>
          </w:tcPr>
          <w:p>
            <w:pPr>
              <w:ind w:left="40"/>
              <w:spacing w:after="0"/>
              <w:rPr>
                <w:sz w:val="20"/>
                <w:szCs w:val="20"/>
                <w:color w:val="auto"/>
              </w:rPr>
            </w:pPr>
            <w:r>
              <w:rPr>
                <w:rFonts w:ascii="Arial" w:cs="Arial" w:eastAsia="Arial" w:hAnsi="Arial"/>
                <w:sz w:val="18"/>
                <w:szCs w:val="18"/>
                <w:color w:val="auto"/>
              </w:rPr>
              <w:t>Share-for-Share:</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4"/>
              </w:rPr>
              <w:t>Modified Calculation Agent Adjustment and, for the avoidance of doubt, if the consideration</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0"/>
              </w:rPr>
              <w:t>for the Shares includes (or, at the option of a holder of Shares, may include) shares of an entity</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1"/>
              </w:rPr>
              <w:t>or person not organized under the laws of the United States, any State thereof or the District of</w:t>
            </w:r>
          </w:p>
        </w:tc>
      </w:tr>
      <w:tr>
        <w:trPr>
          <w:trHeight w:val="189"/>
        </w:trPr>
        <w:tc>
          <w:tcPr>
            <w:tcW w:w="10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640" w:type="dxa"/>
            <w:vAlign w:val="bottom"/>
            <w:gridSpan w:val="3"/>
          </w:tcPr>
          <w:p>
            <w:pPr>
              <w:ind w:left="760"/>
              <w:spacing w:after="0" w:line="189" w:lineRule="exact"/>
              <w:rPr>
                <w:sz w:val="20"/>
                <w:szCs w:val="20"/>
                <w:color w:val="auto"/>
              </w:rPr>
            </w:pPr>
            <w:r>
              <w:rPr>
                <w:rFonts w:ascii="Arial" w:cs="Arial" w:eastAsia="Arial" w:hAnsi="Arial"/>
                <w:sz w:val="18"/>
                <w:szCs w:val="18"/>
                <w:color w:val="auto"/>
              </w:rPr>
              <w:t>Columbia (“Foreign Issuer Shares”), then the Calculation Agent may choose to apply</w:t>
            </w:r>
          </w:p>
        </w:tc>
      </w:tr>
      <w:tr>
        <w:trPr>
          <w:trHeight w:val="20"/>
        </w:trPr>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21"/>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Cancellation and Payment (Calculation Agent Determination) to that portion of the</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consideration comprising Foreign Issuer Shares.</w:t>
            </w:r>
          </w:p>
        </w:tc>
      </w:tr>
      <w:tr>
        <w:trPr>
          <w:trHeight w:val="415"/>
        </w:trPr>
        <w:tc>
          <w:tcPr>
            <w:tcW w:w="1040" w:type="dxa"/>
            <w:vAlign w:val="bottom"/>
          </w:tcPr>
          <w:p>
            <w:pPr>
              <w:ind w:left="660"/>
              <w:spacing w:after="0"/>
              <w:rPr>
                <w:sz w:val="20"/>
                <w:szCs w:val="20"/>
                <w:color w:val="auto"/>
              </w:rPr>
            </w:pPr>
            <w:r>
              <w:rPr>
                <w:rFonts w:ascii="Arial" w:cs="Arial" w:eastAsia="Arial" w:hAnsi="Arial"/>
                <w:sz w:val="18"/>
                <w:szCs w:val="18"/>
                <w:color w:val="auto"/>
              </w:rPr>
              <w:t>(b)</w:t>
            </w:r>
          </w:p>
        </w:tc>
        <w:tc>
          <w:tcPr>
            <w:tcW w:w="2780" w:type="dxa"/>
            <w:vAlign w:val="bottom"/>
          </w:tcPr>
          <w:p>
            <w:pPr>
              <w:ind w:left="60"/>
              <w:spacing w:after="0"/>
              <w:rPr>
                <w:sz w:val="20"/>
                <w:szCs w:val="20"/>
                <w:color w:val="auto"/>
              </w:rPr>
            </w:pPr>
            <w:r>
              <w:rPr>
                <w:rFonts w:ascii="Arial" w:cs="Arial" w:eastAsia="Arial" w:hAnsi="Arial"/>
                <w:sz w:val="18"/>
                <w:szCs w:val="18"/>
                <w:color w:val="auto"/>
              </w:rPr>
              <w:t>Share-for-Other:</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7"/>
              </w:rPr>
              <w:t>Cancellation and Payment (Calculation Agent Determination) on that portion of the Other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2"/>
              </w:rPr>
              <w:t>Consideration that consists of cash; Modified Calculation Agent Adjustment on the remainder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1"/>
              </w:rPr>
              <w:t>of the Other Consideration and, for the avoidance of doubt, if the Other Consideration includes</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(or, at the option of a holder of Shares, may include) Foreign Issuer Shares, then the</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Calculation Agent may choose to apply Cancellation and Payment (Calculation Agent</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4"/>
              </w:rPr>
              <w:t>Determination) to that portion of the Other Consideration comprising Foreign Issuer Shares.</w:t>
            </w:r>
          </w:p>
        </w:tc>
      </w:tr>
      <w:tr>
        <w:trPr>
          <w:trHeight w:val="430"/>
        </w:trPr>
        <w:tc>
          <w:tcPr>
            <w:tcW w:w="3820" w:type="dxa"/>
            <w:vAlign w:val="bottom"/>
            <w:gridSpan w:val="2"/>
          </w:tcPr>
          <w:p>
            <w:pPr>
              <w:ind w:left="660"/>
              <w:spacing w:after="0"/>
              <w:rPr>
                <w:sz w:val="20"/>
                <w:szCs w:val="20"/>
                <w:color w:val="auto"/>
              </w:rPr>
            </w:pPr>
            <w:r>
              <w:rPr>
                <w:rFonts w:ascii="Arial" w:cs="Arial" w:eastAsia="Arial" w:hAnsi="Arial"/>
                <w:sz w:val="18"/>
                <w:szCs w:val="18"/>
                <w:color w:val="auto"/>
              </w:rPr>
              <w:t>(c)   Share-for-Combined:</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Component Adjustment</w:t>
            </w:r>
          </w:p>
        </w:tc>
      </w:tr>
      <w:tr>
        <w:trPr>
          <w:trHeight w:val="415"/>
        </w:trPr>
        <w:tc>
          <w:tcPr>
            <w:tcW w:w="1040" w:type="dxa"/>
            <w:vAlign w:val="bottom"/>
          </w:tcPr>
          <w:p>
            <w:pPr>
              <w:ind w:left="20"/>
              <w:spacing w:after="0"/>
              <w:rPr>
                <w:sz w:val="20"/>
                <w:szCs w:val="20"/>
                <w:color w:val="auto"/>
              </w:rPr>
            </w:pPr>
            <w:r>
              <w:rPr>
                <w:rFonts w:ascii="Arial" w:cs="Arial" w:eastAsia="Arial" w:hAnsi="Arial"/>
                <w:sz w:val="18"/>
                <w:szCs w:val="18"/>
                <w:color w:val="auto"/>
                <w:w w:val="93"/>
              </w:rPr>
              <w:t>Tender Offer:</w:t>
            </w:r>
          </w:p>
        </w:tc>
        <w:tc>
          <w:tcPr>
            <w:tcW w:w="2780" w:type="dxa"/>
            <w:vAlign w:val="bottom"/>
          </w:tcPr>
          <w:p>
            <w:pPr>
              <w:spacing w:after="0"/>
              <w:rPr>
                <w:sz w:val="24"/>
                <w:szCs w:val="24"/>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4"/>
              </w:rPr>
              <w:t>Applicable; provided that (a) Section 12.1(d) of the Equity Definitions is hereby amended by</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replacing the words “10%” in the third line with “50%”.</w:t>
            </w:r>
          </w:p>
        </w:tc>
      </w:tr>
      <w:tr>
        <w:trPr>
          <w:trHeight w:val="4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Consequences of Tender Offers:</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30"/>
        </w:trPr>
        <w:tc>
          <w:tcPr>
            <w:tcW w:w="3820" w:type="dxa"/>
            <w:vAlign w:val="bottom"/>
            <w:gridSpan w:val="2"/>
          </w:tcPr>
          <w:p>
            <w:pPr>
              <w:ind w:left="660"/>
              <w:spacing w:after="0"/>
              <w:rPr>
                <w:sz w:val="20"/>
                <w:szCs w:val="20"/>
                <w:color w:val="auto"/>
              </w:rPr>
            </w:pPr>
            <w:r>
              <w:rPr>
                <w:rFonts w:ascii="Arial" w:cs="Arial" w:eastAsia="Arial" w:hAnsi="Arial"/>
                <w:sz w:val="18"/>
                <w:szCs w:val="18"/>
                <w:color w:val="auto"/>
              </w:rPr>
              <w:t>(a)   Share-for-Share:</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Modified Calculation Agent Adjustment</w:t>
            </w:r>
          </w:p>
        </w:tc>
      </w:tr>
      <w:tr>
        <w:trPr>
          <w:trHeight w:val="415"/>
        </w:trPr>
        <w:tc>
          <w:tcPr>
            <w:tcW w:w="1040" w:type="dxa"/>
            <w:vAlign w:val="bottom"/>
          </w:tcPr>
          <w:p>
            <w:pPr>
              <w:ind w:left="660"/>
              <w:spacing w:after="0"/>
              <w:rPr>
                <w:sz w:val="20"/>
                <w:szCs w:val="20"/>
                <w:color w:val="auto"/>
              </w:rPr>
            </w:pPr>
            <w:r>
              <w:rPr>
                <w:rFonts w:ascii="Arial" w:cs="Arial" w:eastAsia="Arial" w:hAnsi="Arial"/>
                <w:sz w:val="18"/>
                <w:szCs w:val="18"/>
                <w:color w:val="auto"/>
              </w:rPr>
              <w:t>(b)</w:t>
            </w:r>
          </w:p>
        </w:tc>
        <w:tc>
          <w:tcPr>
            <w:tcW w:w="2780" w:type="dxa"/>
            <w:vAlign w:val="bottom"/>
          </w:tcPr>
          <w:p>
            <w:pPr>
              <w:ind w:left="60"/>
              <w:spacing w:after="0"/>
              <w:rPr>
                <w:sz w:val="20"/>
                <w:szCs w:val="20"/>
                <w:color w:val="auto"/>
              </w:rPr>
            </w:pPr>
            <w:r>
              <w:rPr>
                <w:rFonts w:ascii="Arial" w:cs="Arial" w:eastAsia="Arial" w:hAnsi="Arial"/>
                <w:sz w:val="18"/>
                <w:szCs w:val="18"/>
                <w:color w:val="auto"/>
              </w:rPr>
              <w:t>Share-for-Other:</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7"/>
              </w:rPr>
              <w:t>Cancellation and Payment (Calculation Agent Determination) on that portion of the Other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2"/>
              </w:rPr>
              <w:t>Consideration that consists of cash; Modified Calculation Agent Adjustment on the remainder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1"/>
              </w:rPr>
              <w:t>of the Other Consideration and, for the avoidance of doubt, if the Other Consideration includes</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(or, at the option of a holder of Shares, may include) Foreign Issuer Shares, then the</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Calculation Agent may choose to apply Cancellation and Payment (Calculation Agent</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4"/>
              </w:rPr>
              <w:t>Determination) to that portion of the Other Consideration comprising Foreign Issuer Shares.</w:t>
            </w:r>
          </w:p>
        </w:tc>
      </w:tr>
      <w:tr>
        <w:trPr>
          <w:trHeight w:val="430"/>
        </w:trPr>
        <w:tc>
          <w:tcPr>
            <w:tcW w:w="3820" w:type="dxa"/>
            <w:vAlign w:val="bottom"/>
            <w:gridSpan w:val="2"/>
          </w:tcPr>
          <w:p>
            <w:pPr>
              <w:ind w:left="660"/>
              <w:spacing w:after="0"/>
              <w:rPr>
                <w:sz w:val="20"/>
                <w:szCs w:val="20"/>
                <w:color w:val="auto"/>
              </w:rPr>
            </w:pPr>
            <w:r>
              <w:rPr>
                <w:rFonts w:ascii="Arial" w:cs="Arial" w:eastAsia="Arial" w:hAnsi="Arial"/>
                <w:sz w:val="18"/>
                <w:szCs w:val="18"/>
                <w:color w:val="auto"/>
              </w:rPr>
              <w:t>(c)   Share-for-Combined:</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Component Adjustment</w:t>
            </w:r>
          </w:p>
        </w:tc>
      </w:tr>
      <w:tr>
        <w:trPr>
          <w:trHeight w:val="415"/>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Nationalization, Insolvency or Delisting:</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3"/>
              </w:rPr>
              <w:t>Cancellation and Payment (Calculation Agent Determination); provided that in addition to the</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provisions of Section 12.6(a)(iii) of</w:t>
            </w:r>
          </w:p>
        </w:tc>
      </w:tr>
      <w:tr>
        <w:trPr>
          <w:trHeight w:val="430"/>
        </w:trPr>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00" w:type="dxa"/>
            <w:vAlign w:val="bottom"/>
            <w:gridSpan w:val="2"/>
          </w:tcPr>
          <w:p>
            <w:pPr>
              <w:ind w:left="1840"/>
              <w:spacing w:after="0"/>
              <w:rPr>
                <w:sz w:val="20"/>
                <w:szCs w:val="20"/>
                <w:color w:val="auto"/>
              </w:rPr>
            </w:pPr>
            <w:r>
              <w:rPr>
                <w:rFonts w:ascii="Arial" w:cs="Arial" w:eastAsia="Arial" w:hAnsi="Arial"/>
                <w:sz w:val="18"/>
                <w:szCs w:val="18"/>
                <w:color w:val="auto"/>
              </w:rPr>
              <w:t>7</w:t>
            </w:r>
          </w:p>
        </w:tc>
        <w:tc>
          <w:tcPr>
            <w:tcW w:w="4440" w:type="dxa"/>
            <w:vAlign w:val="bottom"/>
          </w:tcPr>
          <w:p>
            <w:pPr>
              <w:spacing w:after="0"/>
              <w:rPr>
                <w:sz w:val="24"/>
                <w:szCs w:val="24"/>
                <w:color w:val="auto"/>
              </w:rPr>
            </w:pPr>
          </w:p>
        </w:tc>
      </w:tr>
      <w:tr>
        <w:trPr>
          <w:trHeight w:val="131"/>
        </w:trPr>
        <w:tc>
          <w:tcPr>
            <w:tcW w:w="104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r>
      <w:tr>
        <w:trPr>
          <w:trHeight w:val="761"/>
        </w:trPr>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8"/>
              </w:rPr>
              <w:t>the Equity Definitions, it shall also constitute a Delisting if the Exchange is located in the</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0"/>
              </w:rPr>
              <w:t>United States and the Shares are not immediately re-listed, re-traded or re-quoted on any of the</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9"/>
              </w:rPr>
              <w:t>New York Stock Exchange, the NASDAQ Global Select Market or the NASDAQ Global</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1"/>
              </w:rPr>
              <w:t>Market (or their respective successors); if the Shares are immediately re-listed, re-traded or re-</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89"/>
              </w:rPr>
              <w:t>quoted on any such exchange or quotation system, such exchange or quotation system shall be</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deemed to be the Exchange.</w:t>
            </w:r>
          </w:p>
        </w:tc>
      </w:tr>
      <w:tr>
        <w:trPr>
          <w:trHeight w:val="4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Additional Disruption Events:</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415"/>
        </w:trPr>
        <w:tc>
          <w:tcPr>
            <w:tcW w:w="1040" w:type="dxa"/>
            <w:vAlign w:val="bottom"/>
          </w:tcPr>
          <w:p>
            <w:pPr>
              <w:ind w:left="660"/>
              <w:spacing w:after="0"/>
              <w:rPr>
                <w:sz w:val="20"/>
                <w:szCs w:val="20"/>
                <w:color w:val="auto"/>
              </w:rPr>
            </w:pPr>
            <w:r>
              <w:rPr>
                <w:rFonts w:ascii="Arial" w:cs="Arial" w:eastAsia="Arial" w:hAnsi="Arial"/>
                <w:sz w:val="18"/>
                <w:szCs w:val="18"/>
                <w:color w:val="auto"/>
              </w:rPr>
              <w:t>(a)</w:t>
            </w:r>
          </w:p>
        </w:tc>
        <w:tc>
          <w:tcPr>
            <w:tcW w:w="2780" w:type="dxa"/>
            <w:vAlign w:val="bottom"/>
          </w:tcPr>
          <w:p>
            <w:pPr>
              <w:ind w:left="40"/>
              <w:spacing w:after="0"/>
              <w:rPr>
                <w:sz w:val="20"/>
                <w:szCs w:val="20"/>
                <w:color w:val="auto"/>
              </w:rPr>
            </w:pPr>
            <w:r>
              <w:rPr>
                <w:rFonts w:ascii="Arial" w:cs="Arial" w:eastAsia="Arial" w:hAnsi="Arial"/>
                <w:sz w:val="18"/>
                <w:szCs w:val="18"/>
                <w:color w:val="auto"/>
              </w:rPr>
              <w:t>Change in Law:</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5"/>
              </w:rPr>
              <w:t xml:space="preserve">Applicable;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Section 12.9(a)(ii) of the Equity Definitions is hereby amended by</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(i) replacing the phrase “the interpretation” in the third line thereof with the phrase “or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announcement or statement of the formal or informal interpretation”, (ii) immediately</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7"/>
              </w:rPr>
              <w:t>following the word “that” in the sixth line thereof, adding the phrase “as a result of one or</w:t>
            </w:r>
          </w:p>
        </w:tc>
      </w:tr>
      <w:tr>
        <w:trPr>
          <w:trHeight w:val="215"/>
        </w:trPr>
        <w:tc>
          <w:tcPr>
            <w:tcW w:w="1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w w:val="94"/>
              </w:rPr>
              <w:t>more of the circumstances listed in (A) and (B) above” and (iii) deleting clause (Y) thereof in</w:t>
            </w:r>
          </w:p>
        </w:tc>
      </w:tr>
      <w:tr>
        <w:trPr>
          <w:trHeight w:val="229"/>
        </w:trPr>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its entirety.</w:t>
            </w:r>
          </w:p>
        </w:tc>
      </w:tr>
      <w:tr>
        <w:trPr>
          <w:trHeight w:val="430"/>
        </w:trPr>
        <w:tc>
          <w:tcPr>
            <w:tcW w:w="1040" w:type="dxa"/>
            <w:vAlign w:val="bottom"/>
          </w:tcPr>
          <w:p>
            <w:pPr>
              <w:ind w:left="660"/>
              <w:spacing w:after="0"/>
              <w:rPr>
                <w:sz w:val="20"/>
                <w:szCs w:val="20"/>
                <w:color w:val="auto"/>
              </w:rPr>
            </w:pPr>
            <w:r>
              <w:rPr>
                <w:rFonts w:ascii="Arial" w:cs="Arial" w:eastAsia="Arial" w:hAnsi="Arial"/>
                <w:sz w:val="18"/>
                <w:szCs w:val="18"/>
                <w:color w:val="auto"/>
              </w:rPr>
              <w:t>(b)</w:t>
            </w:r>
          </w:p>
        </w:tc>
        <w:tc>
          <w:tcPr>
            <w:tcW w:w="2780" w:type="dxa"/>
            <w:vAlign w:val="bottom"/>
          </w:tcPr>
          <w:p>
            <w:pPr>
              <w:ind w:left="60"/>
              <w:spacing w:after="0"/>
              <w:rPr>
                <w:sz w:val="20"/>
                <w:szCs w:val="20"/>
                <w:color w:val="auto"/>
              </w:rPr>
            </w:pPr>
            <w:r>
              <w:rPr>
                <w:rFonts w:ascii="Arial" w:cs="Arial" w:eastAsia="Arial" w:hAnsi="Arial"/>
                <w:sz w:val="18"/>
                <w:szCs w:val="18"/>
                <w:color w:val="auto"/>
              </w:rPr>
              <w:t>Failure to Deliver:</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Not Applicable</w:t>
            </w:r>
          </w:p>
        </w:tc>
      </w:tr>
      <w:tr>
        <w:trPr>
          <w:trHeight w:val="430"/>
        </w:trPr>
        <w:tc>
          <w:tcPr>
            <w:tcW w:w="1040" w:type="dxa"/>
            <w:vAlign w:val="bottom"/>
          </w:tcPr>
          <w:p>
            <w:pPr>
              <w:ind w:left="660"/>
              <w:spacing w:after="0"/>
              <w:rPr>
                <w:sz w:val="20"/>
                <w:szCs w:val="20"/>
                <w:color w:val="auto"/>
              </w:rPr>
            </w:pPr>
            <w:r>
              <w:rPr>
                <w:rFonts w:ascii="Arial" w:cs="Arial" w:eastAsia="Arial" w:hAnsi="Arial"/>
                <w:sz w:val="18"/>
                <w:szCs w:val="18"/>
                <w:color w:val="auto"/>
              </w:rPr>
              <w:t>(c)</w:t>
            </w:r>
          </w:p>
        </w:tc>
        <w:tc>
          <w:tcPr>
            <w:tcW w:w="2780" w:type="dxa"/>
            <w:vAlign w:val="bottom"/>
          </w:tcPr>
          <w:p>
            <w:pPr>
              <w:ind w:left="40"/>
              <w:spacing w:after="0"/>
              <w:rPr>
                <w:sz w:val="20"/>
                <w:szCs w:val="20"/>
                <w:color w:val="auto"/>
              </w:rPr>
            </w:pPr>
            <w:r>
              <w:rPr>
                <w:rFonts w:ascii="Arial" w:cs="Arial" w:eastAsia="Arial" w:hAnsi="Arial"/>
                <w:sz w:val="18"/>
                <w:szCs w:val="18"/>
                <w:color w:val="auto"/>
              </w:rPr>
              <w:t>Insolvency Filing:</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Applicable</w:t>
            </w:r>
          </w:p>
        </w:tc>
      </w:tr>
      <w:tr>
        <w:trPr>
          <w:trHeight w:val="430"/>
        </w:trPr>
        <w:tc>
          <w:tcPr>
            <w:tcW w:w="1040" w:type="dxa"/>
            <w:vAlign w:val="bottom"/>
          </w:tcPr>
          <w:p>
            <w:pPr>
              <w:ind w:left="660"/>
              <w:spacing w:after="0"/>
              <w:rPr>
                <w:sz w:val="20"/>
                <w:szCs w:val="20"/>
                <w:color w:val="auto"/>
              </w:rPr>
            </w:pPr>
            <w:r>
              <w:rPr>
                <w:rFonts w:ascii="Arial" w:cs="Arial" w:eastAsia="Arial" w:hAnsi="Arial"/>
                <w:sz w:val="18"/>
                <w:szCs w:val="18"/>
                <w:color w:val="auto"/>
              </w:rPr>
              <w:t>(d)</w:t>
            </w:r>
          </w:p>
        </w:tc>
        <w:tc>
          <w:tcPr>
            <w:tcW w:w="2780" w:type="dxa"/>
            <w:vAlign w:val="bottom"/>
          </w:tcPr>
          <w:p>
            <w:pPr>
              <w:ind w:left="60"/>
              <w:spacing w:after="0"/>
              <w:rPr>
                <w:sz w:val="20"/>
                <w:szCs w:val="20"/>
                <w:color w:val="auto"/>
              </w:rPr>
            </w:pPr>
            <w:r>
              <w:rPr>
                <w:rFonts w:ascii="Arial" w:cs="Arial" w:eastAsia="Arial" w:hAnsi="Arial"/>
                <w:sz w:val="18"/>
                <w:szCs w:val="18"/>
                <w:color w:val="auto"/>
              </w:rPr>
              <w:t>Hedging Disruption:</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Applicable</w:t>
            </w:r>
          </w:p>
        </w:tc>
      </w:tr>
      <w:tr>
        <w:trPr>
          <w:trHeight w:val="430"/>
        </w:trPr>
        <w:tc>
          <w:tcPr>
            <w:tcW w:w="3820" w:type="dxa"/>
            <w:vAlign w:val="bottom"/>
            <w:gridSpan w:val="2"/>
          </w:tcPr>
          <w:p>
            <w:pPr>
              <w:ind w:left="660"/>
              <w:spacing w:after="0"/>
              <w:rPr>
                <w:sz w:val="20"/>
                <w:szCs w:val="20"/>
                <w:color w:val="auto"/>
              </w:rPr>
            </w:pPr>
            <w:r>
              <w:rPr>
                <w:rFonts w:ascii="Arial" w:cs="Arial" w:eastAsia="Arial" w:hAnsi="Arial"/>
                <w:sz w:val="18"/>
                <w:szCs w:val="18"/>
                <w:color w:val="auto"/>
              </w:rPr>
              <w:t>(e)   Increased Cost of Hedging:</w:t>
            </w:r>
          </w:p>
        </w:tc>
        <w:tc>
          <w:tcPr>
            <w:tcW w:w="7640" w:type="dxa"/>
            <w:vAlign w:val="bottom"/>
            <w:gridSpan w:val="3"/>
          </w:tcPr>
          <w:p>
            <w:pPr>
              <w:ind w:left="760"/>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-3522980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-3522980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type w:val="continuous"/>
        </w:sectPr>
      </w:pPr>
    </w:p>
    <w:p>
      <w:pPr>
        <w:spacing w:after="0" w:line="3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Agreements and Acknowledgements Regarding Hedging Activities: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234" w:lineRule="exact"/>
        <w:rPr>
          <w:sz w:val="20"/>
          <w:szCs w:val="20"/>
          <w:color w:val="auto"/>
        </w:rPr>
      </w:pPr>
    </w:p>
    <w:p>
      <w:pPr>
        <w:sectPr>
          <w:pgSz w:w="11900" w:h="16838" w:orient="portrait"/>
          <w:cols w:equalWidth="0" w:num="2">
            <w:col w:w="4080" w:space="480"/>
            <w:col w:w="6840"/>
          </w:cols>
          <w:pgMar w:left="26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Additional Acknowledgements: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Applicable</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Dealer Payment Instructions: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Dealer.</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Counterparty Payment and Delivery Instructions: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To be provided by Counterparty.</w:t>
      </w:r>
    </w:p>
    <w:p>
      <w:pPr>
        <w:spacing w:after="0" w:line="200" w:lineRule="exact"/>
        <w:rPr>
          <w:sz w:val="20"/>
          <w:szCs w:val="20"/>
          <w:color w:val="auto"/>
        </w:rPr>
      </w:pPr>
    </w:p>
    <w:p>
      <w:pPr>
        <w:sectPr>
          <w:pgSz w:w="11900" w:h="16838" w:orient="portrait"/>
          <w:cols w:equalWidth="0" w:num="2">
            <w:col w:w="3840" w:space="720"/>
            <w:col w:w="6840"/>
          </w:cols>
          <w:pgMar w:left="260" w:top="125" w:right="239" w:bottom="0" w:gutter="0" w:footer="0" w:header="0"/>
          <w:type w:val="continuous"/>
        </w:sectPr>
      </w:pPr>
    </w:p>
    <w:p>
      <w:pPr>
        <w:spacing w:after="0" w:line="46" w:lineRule="exact"/>
        <w:rPr>
          <w:sz w:val="20"/>
          <w:szCs w:val="20"/>
          <w:color w:val="auto"/>
        </w:rPr>
      </w:pPr>
    </w:p>
    <w:p>
      <w:pPr>
        <w:ind w:left="-20" w:firstLine="652"/>
        <w:spacing w:after="0" w:line="254"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Dealer;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transferee of the Transaction in accordance with the terms of this Confirmation shall act as Calculation Agent with respect to such transferred Transaction without the prior consent of Counterparty, such consent not to be unreasonably withheld.</w:t>
      </w:r>
    </w:p>
    <w:p>
      <w:pPr>
        <w:spacing w:after="0" w:line="189" w:lineRule="exact"/>
        <w:rPr>
          <w:rFonts w:ascii="Arial" w:cs="Arial" w:eastAsia="Arial" w:hAnsi="Arial"/>
          <w:sz w:val="18"/>
          <w:szCs w:val="18"/>
          <w:color w:val="auto"/>
        </w:rPr>
      </w:pPr>
    </w:p>
    <w:p>
      <w:pPr>
        <w:ind w:left="960" w:hanging="328"/>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3" w:lineRule="exact"/>
        <w:rPr>
          <w:sz w:val="20"/>
          <w:szCs w:val="20"/>
          <w:color w:val="auto"/>
        </w:rPr>
      </w:pPr>
    </w:p>
    <w:p>
      <w:pPr>
        <w:ind w:left="5640" w:right="2520" w:hanging="5008"/>
        <w:spacing w:after="0" w:line="524" w:lineRule="auto"/>
        <w:tabs>
          <w:tab w:leader="none" w:pos="12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Office of Dealer for this Transaction is Winchester house, 1 Great Winchester St, London EC2N 2DB 8</w:t>
      </w: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260" w:hanging="628"/>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Office of Counterparty for this Transaction is: 8000 S. Federal Way, 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-507365</wp:posOffset>
            </wp:positionV>
            <wp:extent cx="726884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3" w:lineRule="exact"/>
        <w:rPr>
          <w:sz w:val="20"/>
          <w:szCs w:val="20"/>
          <w:color w:val="auto"/>
        </w:rPr>
      </w:pPr>
    </w:p>
    <w:p>
      <w:pPr>
        <w:ind w:left="960" w:hanging="328"/>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3" w:lineRule="exact"/>
        <w:rPr>
          <w:sz w:val="20"/>
          <w:szCs w:val="20"/>
          <w:color w:val="auto"/>
        </w:rPr>
      </w:pPr>
    </w:p>
    <w:p>
      <w:pPr>
        <w:ind w:left="1260" w:hanging="628"/>
        <w:spacing w:after="0"/>
        <w:tabs>
          <w:tab w:leader="none" w:pos="1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400"/>
          </w:cols>
          <w:pgMar w:left="260" w:top="125" w:right="239" w:bottom="0" w:gutter="0" w:footer="0" w:header="0"/>
          <w:type w:val="continuous"/>
        </w:sectPr>
      </w:pPr>
    </w:p>
    <w:p>
      <w:pPr>
        <w:spacing w:after="0" w:line="2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3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Telephone:</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8000 South Federal Way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2240" w:space="720"/>
            <w:col w:w="8440"/>
          </w:cols>
          <w:pgMar w:left="260" w:top="125" w:right="239"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Wilson Sonsini Goodrich &amp; Rosati</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2380" w:space="580"/>
            <w:col w:w="8440"/>
          </w:cols>
          <w:pgMar w:left="260" w:top="125" w:right="239" w:bottom="0" w:gutter="0" w:footer="0" w:header="0"/>
          <w:type w:val="continuous"/>
        </w:sectPr>
      </w:pPr>
    </w:p>
    <w:p>
      <w:pPr>
        <w:spacing w:after="0" w:line="8" w:lineRule="exact"/>
        <w:rPr>
          <w:sz w:val="20"/>
          <w:szCs w:val="20"/>
          <w:color w:val="auto"/>
        </w:rPr>
      </w:pPr>
    </w:p>
    <w:p>
      <w:pPr>
        <w:ind w:left="1260" w:hanging="628"/>
        <w:spacing w:after="0"/>
        <w:tabs>
          <w:tab w:leader="none" w:pos="12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Address for notices or communications to Dealer:</w:t>
      </w:r>
    </w:p>
    <w:p>
      <w:pPr>
        <w:sectPr>
          <w:pgSz w:w="11900" w:h="16838" w:orient="portrait"/>
          <w:cols w:equalWidth="0" w:num="1">
            <w:col w:w="11400"/>
          </w:cols>
          <w:pgMar w:left="260" w:top="125" w:right="239" w:bottom="0" w:gutter="0" w:footer="0" w:header="0"/>
          <w:type w:val="continuous"/>
        </w:sectPr>
      </w:pPr>
    </w:p>
    <w:p>
      <w:pPr>
        <w:spacing w:after="0" w:line="246"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Deutsche Bank AG, London Branch</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c/o Deutsche Bank Securities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1005</w:t>
      </w:r>
    </w:p>
    <w:p>
      <w:pPr>
        <w:spacing w:after="0" w:line="200" w:lineRule="exact"/>
        <w:rPr>
          <w:sz w:val="20"/>
          <w:szCs w:val="20"/>
          <w:color w:val="auto"/>
        </w:rPr>
      </w:pPr>
    </w:p>
    <w:p>
      <w:pPr>
        <w:sectPr>
          <w:pgSz w:w="11900" w:h="16838" w:orient="portrait"/>
          <w:cols w:equalWidth="0" w:num="2">
            <w:col w:w="2240" w:space="720"/>
            <w:col w:w="8440"/>
          </w:cols>
          <w:pgMar w:left="260" w:top="125" w:right="239" w:bottom="0" w:gutter="0" w:footer="0" w:header="0"/>
          <w:type w:val="continuous"/>
        </w:sectPr>
      </w:pPr>
    </w:p>
    <w:p>
      <w:pPr>
        <w:spacing w:after="0" w:line="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Documentation Department</w:t>
      </w:r>
    </w:p>
    <w:p>
      <w:pPr>
        <w:spacing w:after="0" w:line="222" w:lineRule="exact"/>
        <w:rPr>
          <w:sz w:val="20"/>
          <w:szCs w:val="20"/>
          <w:color w:val="auto"/>
        </w:rPr>
      </w:pPr>
    </w:p>
    <w:p>
      <w:pPr>
        <w:sectPr>
          <w:pgSz w:w="11900" w:h="16838" w:orient="portrait"/>
          <w:cols w:equalWidth="0" w:num="2">
            <w:col w:w="2240" w:space="720"/>
            <w:col w:w="8440"/>
          </w:cols>
          <w:pgMar w:left="260" w:top="125" w:right="239" w:bottom="0" w:gutter="0" w:footer="0" w:header="0"/>
          <w:type w:val="continuous"/>
        </w:sectPr>
      </w:pPr>
    </w:p>
    <w:p>
      <w:pPr>
        <w:spacing w:after="0" w:line="2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2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w:t>
      </w:r>
    </w:p>
    <w:p>
      <w:pPr>
        <w:spacing w:after="0" w:line="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Stowell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Equity Capital Markets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Deutsche Bank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212-250-6270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646-736-7122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paul.stowell@db.com</w:t>
      </w:r>
    </w:p>
    <w:p>
      <w:pPr>
        <w:spacing w:after="0" w:line="200" w:lineRule="exact"/>
        <w:rPr>
          <w:sz w:val="20"/>
          <w:szCs w:val="20"/>
          <w:color w:val="auto"/>
        </w:rPr>
      </w:pPr>
    </w:p>
    <w:p>
      <w:pPr>
        <w:sectPr>
          <w:pgSz w:w="11900" w:h="16838" w:orient="portrait"/>
          <w:cols w:equalWidth="0" w:num="2">
            <w:col w:w="2400" w:space="560"/>
            <w:col w:w="8440"/>
          </w:cols>
          <w:pgMar w:left="260" w:top="125" w:right="239" w:bottom="0" w:gutter="0" w:footer="0" w:header="0"/>
          <w:type w:val="continuous"/>
        </w:sectPr>
      </w:pPr>
    </w:p>
    <w:p>
      <w:pPr>
        <w:spacing w:after="0" w:line="8" w:lineRule="exact"/>
        <w:rPr>
          <w:sz w:val="20"/>
          <w:szCs w:val="20"/>
          <w:color w:val="auto"/>
        </w:rPr>
      </w:pPr>
    </w:p>
    <w:p>
      <w:pPr>
        <w:ind w:left="960" w:hanging="328"/>
        <w:spacing w:after="0"/>
        <w:tabs>
          <w:tab w:leader="none" w:pos="9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3" w:lineRule="exact"/>
        <w:rPr>
          <w:sz w:val="20"/>
          <w:szCs w:val="20"/>
          <w:color w:val="auto"/>
        </w:rPr>
      </w:pPr>
    </w:p>
    <w:p>
      <w:pPr>
        <w:ind w:left="-20" w:right="720" w:firstLine="652"/>
        <w:spacing w:after="0" w:line="275" w:lineRule="auto"/>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40" w:right="340" w:firstLine="636"/>
        <w:spacing w:after="0" w:line="339" w:lineRule="auto"/>
        <w:tabs>
          <w:tab w:leader="none" w:pos="195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On the Trade Date and on any Additional Premium Date (A) none of Counterparty and its officers and directors is aware of any material nonpublic information regarding Counterparty or the Shares and (B) all reports and other documents filed by Counterparty with the</w:t>
      </w:r>
    </w:p>
    <w:p>
      <w:pPr>
        <w:sectPr>
          <w:pgSz w:w="11900" w:h="16838" w:orient="portrait"/>
          <w:cols w:equalWidth="0" w:num="1">
            <w:col w:w="11400"/>
          </w:cols>
          <w:pgMar w:left="260" w:top="125" w:right="239" w:bottom="0" w:gutter="0" w:footer="0" w:header="0"/>
          <w:type w:val="continuous"/>
        </w:sectPr>
      </w:pPr>
    </w:p>
    <w:bookmarkStart w:id="65" w:name="page66"/>
    <w:bookmarkEnd w:id="65"/>
    <w:p>
      <w:pPr>
        <w:spacing w:after="0" w:line="39"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88" w:lineRule="exact"/>
        <w:rPr>
          <w:sz w:val="20"/>
          <w:szCs w:val="20"/>
          <w:color w:val="auto"/>
        </w:rPr>
      </w:pPr>
    </w:p>
    <w:p>
      <w:pPr>
        <w:ind w:left="660" w:firstLine="636"/>
        <w:spacing w:after="0" w:line="309" w:lineRule="auto"/>
        <w:tabs>
          <w:tab w:leader="none" w:pos="19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Counterparty intends the Transaction to qualify as an equity instrument for purposes of EITF Issue No. 00-19. Without limiting the generality of Section 13.1 of the Equity Definitions, Counterparty acknowledges that Dealer is not making any representations or warranties with respect to the treatment of the Transaction under any accounting standards including FASB Statements 128, 133 ( as amended), 149 or 150,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EITF Issue No. 00-19, 01-6, 03-6 or 07-5 (or any successor issue statements) or under FASB’s Liabilities &amp; Equity Project.</w:t>
      </w:r>
    </w:p>
    <w:p>
      <w:pPr>
        <w:spacing w:after="0" w:line="223" w:lineRule="exact"/>
        <w:rPr>
          <w:sz w:val="20"/>
          <w:szCs w:val="20"/>
          <w:color w:val="auto"/>
        </w:rPr>
      </w:pPr>
    </w:p>
    <w:p>
      <w:pPr>
        <w:ind w:left="660" w:right="340" w:firstLine="636"/>
        <w:spacing w:after="0" w:line="305" w:lineRule="auto"/>
        <w:tabs>
          <w:tab w:leader="none" w:pos="1989" w:val="left"/>
        </w:tabs>
        <w:numPr>
          <w:ilvl w:val="2"/>
          <w:numId w:val="144"/>
        </w:numPr>
        <w:rPr>
          <w:rFonts w:ascii="Arial" w:cs="Arial" w:eastAsia="Arial" w:hAnsi="Arial"/>
          <w:sz w:val="17"/>
          <w:szCs w:val="17"/>
          <w:color w:val="auto"/>
        </w:rPr>
      </w:pPr>
      <w:r>
        <w:rPr>
          <w:rFonts w:ascii="Arial" w:cs="Arial" w:eastAsia="Arial" w:hAnsi="Arial"/>
          <w:sz w:val="17"/>
          <w:szCs w:val="17"/>
          <w:color w:val="auto"/>
        </w:rPr>
        <w:t>Prior to the Trade Date, Counterparty shall deliver to Dealer a resolution of Counterparty’s board of directors (or an authorized committee thereof) authorizing the Transaction and such other certificate or certificates as Dealer shall reasonably request.</w:t>
      </w:r>
    </w:p>
    <w:p>
      <w:pPr>
        <w:spacing w:after="0" w:line="147" w:lineRule="exact"/>
        <w:rPr>
          <w:rFonts w:ascii="Arial" w:cs="Arial" w:eastAsia="Arial" w:hAnsi="Arial"/>
          <w:sz w:val="17"/>
          <w:szCs w:val="17"/>
          <w:color w:val="auto"/>
        </w:rPr>
      </w:pPr>
    </w:p>
    <w:p>
      <w:pPr>
        <w:ind w:left="660" w:right="140" w:firstLine="636"/>
        <w:spacing w:after="0" w:line="275" w:lineRule="auto"/>
        <w:tabs>
          <w:tab w:leader="none" w:pos="196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On the Trade Date and on any Additional Premium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60" w:right="120" w:firstLine="636"/>
        <w:spacing w:after="0" w:line="262" w:lineRule="auto"/>
        <w:tabs>
          <w:tab w:leader="none" w:pos="195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60" w:right="180" w:firstLine="636"/>
        <w:spacing w:after="0" w:line="275" w:lineRule="auto"/>
        <w:tabs>
          <w:tab w:leader="none" w:pos="1966" w:val="left"/>
        </w:tabs>
        <w:numPr>
          <w:ilvl w:val="2"/>
          <w:numId w:val="144"/>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rFonts w:ascii="Arial" w:cs="Arial" w:eastAsia="Arial" w:hAnsi="Arial"/>
          <w:sz w:val="18"/>
          <w:szCs w:val="18"/>
          <w:color w:val="auto"/>
        </w:rPr>
      </w:pPr>
    </w:p>
    <w:p>
      <w:pPr>
        <w:jc w:val="both"/>
        <w:ind w:left="660" w:right="20" w:firstLine="636"/>
        <w:spacing w:after="0" w:line="257" w:lineRule="auto"/>
        <w:tabs>
          <w:tab w:leader="none" w:pos="1975" w:val="left"/>
        </w:tabs>
        <w:numPr>
          <w:ilvl w:val="2"/>
          <w:numId w:val="144"/>
        </w:numPr>
        <w:rPr>
          <w:rFonts w:ascii="Arial" w:cs="Arial" w:eastAsia="Arial" w:hAnsi="Arial"/>
          <w:sz w:val="18"/>
          <w:szCs w:val="18"/>
          <w:color w:val="auto"/>
        </w:rPr>
      </w:pPr>
      <w:r>
        <w:rPr>
          <w:rFonts w:ascii="Arial" w:cs="Arial" w:eastAsia="Arial" w:hAnsi="Arial"/>
          <w:sz w:val="18"/>
          <w:szCs w:val="18"/>
          <w:color w:val="auto"/>
        </w:rPr>
        <w:t>On the Trade Date, the Premium Payment Date and on any Additional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spacing w:after="0" w:line="187" w:lineRule="exact"/>
        <w:rPr>
          <w:rFonts w:ascii="Arial" w:cs="Arial" w:eastAsia="Arial" w:hAnsi="Arial"/>
          <w:sz w:val="18"/>
          <w:szCs w:val="18"/>
          <w:color w:val="auto"/>
        </w:rPr>
      </w:pPr>
    </w:p>
    <w:p>
      <w:pPr>
        <w:ind w:left="660" w:firstLine="636"/>
        <w:spacing w:after="0" w:line="254" w:lineRule="auto"/>
        <w:tabs>
          <w:tab w:leader="none" w:pos="1984" w:val="left"/>
        </w:tabs>
        <w:numPr>
          <w:ilvl w:val="2"/>
          <w:numId w:val="144"/>
        </w:numPr>
        <w:rPr>
          <w:rFonts w:ascii="Arial" w:cs="Arial" w:eastAsia="Arial" w:hAnsi="Arial"/>
          <w:sz w:val="18"/>
          <w:szCs w:val="18"/>
          <w:color w:val="auto"/>
        </w:rPr>
      </w:pPr>
      <w:r>
        <w:rPr>
          <w:rFonts w:ascii="Arial" w:cs="Arial" w:eastAsia="Arial" w:hAnsi="Arial"/>
          <w:sz w:val="18"/>
          <w:szCs w:val="18"/>
          <w:color w:val="auto"/>
        </w:rPr>
        <w:t>(A) During each period starting on the first Expiration Date and ending on the last Expiration Date, in each case sharing a common Final Disruption Date (each a “</w:t>
      </w:r>
      <w:r>
        <w:rPr>
          <w:rFonts w:ascii="Arial" w:cs="Arial" w:eastAsia="Arial" w:hAnsi="Arial"/>
          <w:sz w:val="18"/>
          <w:szCs w:val="18"/>
          <w:u w:val="single" w:color="auto"/>
          <w:color w:val="auto"/>
        </w:rPr>
        <w:t>Settlement Period</w:t>
      </w:r>
      <w:r>
        <w:rPr>
          <w:rFonts w:ascii="Arial" w:cs="Arial" w:eastAsia="Arial" w:hAnsi="Arial"/>
          <w:sz w:val="18"/>
          <w:szCs w:val="18"/>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8"/>
          <w:szCs w:val="18"/>
          <w:u w:val="single" w:color="auto"/>
          <w:color w:val="auto"/>
        </w:rPr>
        <w:t>Regulation M</w:t>
      </w:r>
      <w:r>
        <w:rPr>
          <w:rFonts w:ascii="Arial" w:cs="Arial" w:eastAsia="Arial" w:hAnsi="Arial"/>
          <w:sz w:val="18"/>
          <w:szCs w:val="18"/>
          <w:color w:val="auto"/>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189" w:lineRule="exact"/>
        <w:rPr>
          <w:rFonts w:ascii="Arial" w:cs="Arial" w:eastAsia="Arial" w:hAnsi="Arial"/>
          <w:sz w:val="18"/>
          <w:szCs w:val="18"/>
          <w:color w:val="auto"/>
        </w:rPr>
      </w:pPr>
    </w:p>
    <w:p>
      <w:pPr>
        <w:ind w:left="660" w:right="180" w:firstLine="636"/>
        <w:spacing w:after="0" w:line="255" w:lineRule="auto"/>
        <w:tabs>
          <w:tab w:leader="none" w:pos="1992" w:val="left"/>
        </w:tabs>
        <w:numPr>
          <w:ilvl w:val="2"/>
          <w:numId w:val="144"/>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u w:val="single" w:color="auto"/>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9" w:lineRule="exact"/>
        <w:rPr>
          <w:rFonts w:ascii="Arial" w:cs="Arial" w:eastAsia="Arial" w:hAnsi="Arial"/>
          <w:sz w:val="18"/>
          <w:szCs w:val="18"/>
          <w:color w:val="auto"/>
        </w:rPr>
      </w:pPr>
    </w:p>
    <w:p>
      <w:pPr>
        <w:ind w:right="280" w:firstLine="652"/>
        <w:spacing w:after="0" w:line="275" w:lineRule="auto"/>
        <w:tabs>
          <w:tab w:leader="none" w:pos="129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firstLine="652"/>
        <w:spacing w:after="0" w:line="284" w:lineRule="auto"/>
        <w:tabs>
          <w:tab w:leader="none" w:pos="130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w:t>
      </w:r>
    </w:p>
    <w:p>
      <w:pPr>
        <w:ind w:right="140" w:firstLine="7"/>
        <w:spacing w:after="0" w:line="269" w:lineRule="auto"/>
        <w:tabs>
          <w:tab w:leader="none" w:pos="26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own behalf or through independent professional advice), and understands and accepts, the terms, conditions and risks of the Transaction.</w:t>
      </w:r>
    </w:p>
    <w:p>
      <w:pPr>
        <w:spacing w:after="0" w:line="223" w:lineRule="exact"/>
        <w:rPr>
          <w:sz w:val="20"/>
          <w:szCs w:val="20"/>
          <w:color w:val="auto"/>
        </w:rPr>
      </w:pPr>
    </w:p>
    <w:p>
      <w:pPr>
        <w:ind w:right="300" w:firstLine="652"/>
        <w:spacing w:after="0" w:line="290" w:lineRule="auto"/>
        <w:tabs>
          <w:tab w:leader="none" w:pos="129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2" w:lineRule="exact"/>
        <w:rPr>
          <w:rFonts w:ascii="Arial" w:cs="Arial" w:eastAsia="Arial" w:hAnsi="Arial"/>
          <w:sz w:val="16"/>
          <w:szCs w:val="16"/>
          <w:color w:val="auto"/>
        </w:rPr>
      </w:pPr>
    </w:p>
    <w:p>
      <w:pPr>
        <w:ind w:right="40" w:firstLine="652"/>
        <w:spacing w:after="0" w:line="339" w:lineRule="auto"/>
        <w:tabs>
          <w:tab w:leader="none" w:pos="13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 registration</w:t>
      </w:r>
    </w:p>
    <w:p>
      <w:pPr>
        <w:sectPr>
          <w:pgSz w:w="11900" w:h="16878" w:orient="portrait"/>
          <w:cols w:equalWidth="0" w:num="1">
            <w:col w:w="11400"/>
          </w:cols>
          <w:pgMar w:left="240" w:top="125" w:right="259" w:bottom="0" w:gutter="0" w:footer="0" w:header="0"/>
        </w:sectPr>
      </w:pPr>
    </w:p>
    <w:bookmarkStart w:id="66" w:name="page67"/>
    <w:bookmarkEnd w:id="66"/>
    <w:p>
      <w:pPr>
        <w:ind w:right="300"/>
        <w:spacing w:after="0" w:line="277" w:lineRule="auto"/>
        <w:rPr>
          <w:sz w:val="20"/>
          <w:szCs w:val="20"/>
          <w:color w:val="auto"/>
        </w:rPr>
      </w:pPr>
      <w:r>
        <w:rPr>
          <w:rFonts w:ascii="Arial" w:cs="Arial" w:eastAsia="Arial" w:hAnsi="Arial"/>
          <w:sz w:val="17"/>
          <w:szCs w:val="17"/>
          <w:color w:val="auto"/>
        </w:rPr>
        <w:t>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2" w:lineRule="exact"/>
        <w:rPr>
          <w:sz w:val="20"/>
          <w:szCs w:val="20"/>
          <w:color w:val="auto"/>
        </w:rPr>
      </w:pPr>
    </w:p>
    <w:p>
      <w:pPr>
        <w:ind w:right="280" w:firstLine="652"/>
        <w:spacing w:after="0" w:line="275" w:lineRule="auto"/>
        <w:tabs>
          <w:tab w:leader="none" w:pos="1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jc w:val="both"/>
        <w:ind w:right="260" w:firstLine="652"/>
        <w:spacing w:after="0" w:line="289" w:lineRule="auto"/>
        <w:tabs>
          <w:tab w:leader="none" w:pos="980"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Repurchase Notices</w:t>
      </w:r>
      <w:r>
        <w:rPr>
          <w:rFonts w:ascii="Arial" w:cs="Arial" w:eastAsia="Arial" w:hAnsi="Arial"/>
          <w:sz w:val="16"/>
          <w:szCs w:val="16"/>
          <w:color w:val="auto"/>
        </w:rPr>
        <w:t>. Counterparty shall, on any day on which Counterparty effects any repurchase of Shares, promptly give Dealer a written notice of such repurchase (a “</w:t>
      </w:r>
      <w:r>
        <w:rPr>
          <w:rFonts w:ascii="Arial" w:cs="Arial" w:eastAsia="Arial" w:hAnsi="Arial"/>
          <w:sz w:val="16"/>
          <w:szCs w:val="16"/>
          <w:u w:val="single" w:color="auto"/>
          <w:color w:val="auto"/>
        </w:rPr>
        <w:t>Repurchase Notice</w:t>
      </w:r>
      <w:r>
        <w:rPr>
          <w:rFonts w:ascii="Arial" w:cs="Arial" w:eastAsia="Arial" w:hAnsi="Arial"/>
          <w:sz w:val="16"/>
          <w:szCs w:val="16"/>
          <w:color w:val="auto"/>
        </w:rPr>
        <w:t>”) on such day if following such repurchase, the Notice Percentage as determined on such day is greater by</w:t>
      </w:r>
    </w:p>
    <w:p>
      <w:pPr>
        <w:spacing w:after="0" w:line="1" w:lineRule="exact"/>
        <w:rPr>
          <w:rFonts w:ascii="Arial" w:cs="Arial" w:eastAsia="Arial" w:hAnsi="Arial"/>
          <w:sz w:val="16"/>
          <w:szCs w:val="16"/>
          <w:color w:val="auto"/>
        </w:rPr>
      </w:pPr>
    </w:p>
    <w:p>
      <w:pPr>
        <w:spacing w:after="0" w:line="282" w:lineRule="auto"/>
        <w:rPr>
          <w:rFonts w:ascii="Arial" w:cs="Arial" w:eastAsia="Arial" w:hAnsi="Arial"/>
          <w:sz w:val="16"/>
          <w:szCs w:val="16"/>
          <w:color w:val="auto"/>
        </w:rPr>
      </w:pPr>
      <w:r>
        <w:rPr>
          <w:rFonts w:ascii="Arial" w:cs="Arial" w:eastAsia="Arial" w:hAnsi="Arial"/>
          <w:sz w:val="16"/>
          <w:szCs w:val="16"/>
          <w:color w:val="auto"/>
        </w:rPr>
        <w:t>0.5% than the Notice Percentage included in the immediately preceding Repurchase Notice (or, in the case of the first such Repurchase Notice or the first such Repurchase Notice after the initial Final Disruption Date, greater than 4.5%). The “</w:t>
      </w:r>
      <w:r>
        <w:rPr>
          <w:rFonts w:ascii="Arial" w:cs="Arial" w:eastAsia="Arial" w:hAnsi="Arial"/>
          <w:sz w:val="16"/>
          <w:szCs w:val="16"/>
          <w:u w:val="single" w:color="auto"/>
          <w:color w:val="auto"/>
        </w:rPr>
        <w:t>Notice Percentage</w:t>
      </w:r>
      <w:r>
        <w:rPr>
          <w:rFonts w:ascii="Arial" w:cs="Arial" w:eastAsia="Arial" w:hAnsi="Arial"/>
          <w:sz w:val="16"/>
          <w:szCs w:val="16"/>
          <w:color w:val="auto"/>
        </w:rPr>
        <w:t>” as of any day is the fraction (A) the numerator of which is the aggregate of the Number of Shares for all Components under this Transaction and all other Transactions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“Indemnified Person”)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74" w:lineRule="exact"/>
        <w:rPr>
          <w:rFonts w:ascii="Arial" w:cs="Arial" w:eastAsia="Arial" w:hAnsi="Arial"/>
          <w:sz w:val="16"/>
          <w:szCs w:val="16"/>
          <w:color w:val="auto"/>
        </w:rPr>
      </w:pPr>
    </w:p>
    <w:p>
      <w:pPr>
        <w:ind w:left="980" w:hanging="328"/>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Transfer or Assignment</w:t>
      </w:r>
      <w:r>
        <w:rPr>
          <w:rFonts w:ascii="Arial" w:cs="Arial" w:eastAsia="Arial" w:hAnsi="Arial"/>
          <w:sz w:val="18"/>
          <w:szCs w:val="18"/>
          <w:color w:val="auto"/>
        </w:rPr>
        <w:t>. Neither party may transfer any of its rights or obligations under this Transaction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without the prior written consent of the non-transferring party (such consent not to be unreasonably withheld); provided that if at any time the Equity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Percentage exceeds 9%, Dealer may immediately, in its sole discretion, transfer or assign a number of Options sufficient to reduce the Equity Percentage to</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8.5% to any affiliate of Dealer whose obligations are guaranteed by Deutsche Bank AG or any third party with (or with a guarantor (a “Third Party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Guarantor”) that has) a rating for its long-term, unsecured and unsubordinated indebtedness of A- or better by Standard &amp; Poor’s Ratings Services or its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successor (“S&amp;P”), or A3 or better by Moody’s Investors Service, Inc. (“Moody’s”) or, if either S&amp;P or Moody’s ceases to rate such debt, at least 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equivalent rating or better by a substitute agency rating mutually agreed by Counterparty and Dealer; provided however such Third Party Guarantor shall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provide a guarantee in a form reasonably satisfactory to the Counterparty in connection with such transfer or assignment. If, in the discretion of Dealer, Dealer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is unable to effect such transfer or assignment after its commercially reasonable efforts on pricing terms reasonably acceptable to Dealer, Dealer may designate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any Scheduled Trading Day as an Early Termination Date and an Additional Termination Date shall be deemed to occur with respect to a portion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Terminated Portion</w:t>
      </w:r>
      <w:r>
        <w:rPr>
          <w:rFonts w:ascii="Arial" w:cs="Arial" w:eastAsia="Arial" w:hAnsi="Arial"/>
          <w:sz w:val="16"/>
          <w:szCs w:val="16"/>
          <w:color w:val="auto"/>
        </w:rPr>
        <w:t>”) of this Transaction, allocated to Components as Dealer determines in its discretion, such that the Equity Percentage following such</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partial termination will be equal to or less than 8.5%. In the event that Dealer so designates an Early Termination Date with respect to a portion of this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Transaction, a payment shall be made pursuant to Section 6 of the Agreement as if (i) an Early Termination Date had been designated in respect of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Transaction having terms identical to this Transaction and a Number of Options equal to the Terminated Portion, (ii) Counterparty shall be the Affected Party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such partial termination and (iii) such portion of this Transaction shall be the only Affected Transaction. The “</w:t>
      </w:r>
      <w:r>
        <w:rPr>
          <w:rFonts w:ascii="Arial" w:cs="Arial" w:eastAsia="Arial" w:hAnsi="Arial"/>
          <w:sz w:val="16"/>
          <w:szCs w:val="16"/>
          <w:u w:val="single" w:color="auto"/>
          <w:color w:val="auto"/>
        </w:rPr>
        <w:t>Equity Percentage</w:t>
      </w:r>
      <w:r>
        <w:rPr>
          <w:rFonts w:ascii="Arial" w:cs="Arial" w:eastAsia="Arial" w:hAnsi="Arial"/>
          <w:sz w:val="16"/>
          <w:szCs w:val="16"/>
          <w:color w:val="auto"/>
        </w:rPr>
        <w:t>” as of any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day is the fraction (A) the numerator of which is the number of Shares that Dealer or any of its affiliates that are subject to aggregation with Dealer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beneficially own (within the meaning of Section 13 of the Exchange Act) on such day and (B) the denominator of which is the number of Shares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on such day. Notwithstanding Section 7 of the Agreement, Counterparty may assign its rights and obligations under this Transaction, in whole or in part, 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terms reasonably acceptable to both parties, without any payment being owed from Counterparty to Dealer.</w:t>
      </w:r>
    </w:p>
    <w:p>
      <w:pPr>
        <w:spacing w:after="0" w:line="208" w:lineRule="exact"/>
        <w:rPr>
          <w:sz w:val="20"/>
          <w:szCs w:val="20"/>
          <w:color w:val="auto"/>
        </w:rPr>
      </w:pPr>
    </w:p>
    <w:p>
      <w:pPr>
        <w:ind w:right="80" w:firstLine="652"/>
        <w:spacing w:after="0" w:line="255"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Extension of Settlement</w:t>
      </w:r>
      <w:r>
        <w:rPr>
          <w:rFonts w:ascii="Arial" w:cs="Arial" w:eastAsia="Arial" w:hAnsi="Arial"/>
          <w:sz w:val="18"/>
          <w:szCs w:val="18"/>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 connection with its hedging activity hereunder in a manner that would, if Dealer were Counterparty or an affiliated purchaser of Counterparty, be compliant with applicable legal and regulatory requirements.</w:t>
      </w:r>
    </w:p>
    <w:p>
      <w:pPr>
        <w:spacing w:after="0" w:line="189" w:lineRule="exact"/>
        <w:rPr>
          <w:rFonts w:ascii="Arial" w:cs="Arial" w:eastAsia="Arial" w:hAnsi="Arial"/>
          <w:sz w:val="18"/>
          <w:szCs w:val="18"/>
          <w:color w:val="auto"/>
        </w:rPr>
      </w:pPr>
    </w:p>
    <w:p>
      <w:pPr>
        <w:ind w:right="60" w:firstLine="652"/>
        <w:spacing w:after="0" w:line="262" w:lineRule="auto"/>
        <w:tabs>
          <w:tab w:leader="none" w:pos="989"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this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160" w:firstLine="652"/>
        <w:spacing w:after="0" w:line="295" w:lineRule="auto"/>
        <w:tabs>
          <w:tab w:leader="none" w:pos="98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right="60" w:firstLine="652"/>
        <w:spacing w:after="0" w:line="295" w:lineRule="auto"/>
        <w:tabs>
          <w:tab w:leader="none" w:pos="989"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Alternative Calculations and Payment on Early Termination and on Certain Extraordinary Events</w:t>
      </w:r>
      <w:r>
        <w:rPr>
          <w:rFonts w:ascii="Arial" w:cs="Arial" w:eastAsia="Arial" w:hAnsi="Arial"/>
          <w:sz w:val="16"/>
          <w:szCs w:val="16"/>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6"/>
          <w:szCs w:val="16"/>
          <w:u w:val="single" w:color="auto"/>
          <w:color w:val="auto"/>
        </w:rPr>
        <w:t>Payment Obligation</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67" w:name="page68"/>
    <w:bookmarkEnd w:id="67"/>
    <w:p>
      <w:pPr>
        <w:ind w:right="20"/>
        <w:spacing w:after="0" w:line="274" w:lineRule="auto"/>
        <w:rPr>
          <w:sz w:val="20"/>
          <w:szCs w:val="20"/>
          <w:color w:val="auto"/>
        </w:rPr>
      </w:pPr>
      <w:r>
        <w:rPr>
          <w:rFonts w:ascii="Arial" w:cs="Arial" w:eastAsia="Arial" w:hAnsi="Arial"/>
          <w:sz w:val="17"/>
          <w:szCs w:val="17"/>
          <w:color w:val="auto"/>
        </w:rPr>
        <w:t>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u w:val="single" w:color="auto"/>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8"/>
          <w:szCs w:val="18"/>
          <w:u w:val="single" w:color="auto"/>
          <w:color w:val="auto"/>
        </w:rPr>
        <w:t>Share Termination Alternative</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pacing w:after="0" w:line="179" w:lineRule="exact"/>
        <w:rPr>
          <w:sz w:val="20"/>
          <w:szCs w:val="20"/>
          <w:color w:val="auto"/>
        </w:rPr>
      </w:pPr>
    </w:p>
    <w:p>
      <w:pPr>
        <w:sectPr>
          <w:pgSz w:w="11900" w:h="16838" w:orient="portrait"/>
          <w:cols w:equalWidth="0" w:num="2">
            <w:col w:w="2600" w:space="720"/>
            <w:col w:w="810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2600" w:space="720"/>
            <w:col w:w="8100"/>
          </w:cols>
          <w:pgMar w:left="240" w:top="125" w:right="239"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 xml:space="preserve">If Share Termination Alternative is applicable, the provisions of Sections 9.8, 9.9, 9.10, 9.11 and 9.12 of the Equity Definitions will be applicable as if Physical Settlement applied to the termination of the Transaction, except that all references to “Shares” shall be read as references to “Share Termination Delivery Units”;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Representation and Agreement contained in Section 9.11 of the Equity Definitions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by excluding any representations therein relating to restrictions, obligations, limitations or requirements under applicable securities laws as a result of the fact that Buyer is the issuer of any Share Termination Delivery Units (or any part thereof).</w:t>
      </w:r>
    </w:p>
    <w:p>
      <w:pPr>
        <w:spacing w:after="0" w:line="179" w:lineRule="exact"/>
        <w:rPr>
          <w:sz w:val="20"/>
          <w:szCs w:val="20"/>
          <w:color w:val="auto"/>
        </w:rPr>
      </w:pPr>
    </w:p>
    <w:p>
      <w:pPr>
        <w:sectPr>
          <w:pgSz w:w="11900" w:h="16838" w:orient="portrait"/>
          <w:cols w:equalWidth="0" w:num="2">
            <w:col w:w="2600" w:space="720"/>
            <w:col w:w="8100"/>
          </w:cols>
          <w:pgMar w:left="240" w:top="125" w:right="239" w:bottom="0" w:gutter="0" w:footer="0" w:header="0"/>
          <w:type w:val="continuous"/>
        </w:sectPr>
      </w:pPr>
    </w:p>
    <w:p>
      <w:pPr>
        <w:ind w:left="6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3" w:lineRule="exact"/>
        <w:rPr>
          <w:sz w:val="20"/>
          <w:szCs w:val="20"/>
          <w:color w:val="auto"/>
        </w:rPr>
      </w:pPr>
    </w:p>
    <w:p>
      <w:pPr>
        <w:ind w:left="1300"/>
        <w:spacing w:after="0" w:line="253" w:lineRule="auto"/>
        <w:rPr>
          <w:sz w:val="20"/>
          <w:szCs w:val="20"/>
          <w:color w:val="auto"/>
        </w:rPr>
      </w:pPr>
      <w:r>
        <w:rPr>
          <w:rFonts w:ascii="Arial" w:cs="Arial" w:eastAsia="Arial" w:hAnsi="Arial"/>
          <w:sz w:val="18"/>
          <w:szCs w:val="18"/>
          <w:color w:val="auto"/>
        </w:rPr>
        <w:t>“(f) Upon the occurrence of an Event of Default or Termination Event with respect to a party who is the Defaulting Party or the Affected Party (“</w:t>
      </w:r>
      <w:r>
        <w:rPr>
          <w:rFonts w:ascii="Arial" w:cs="Arial" w:eastAsia="Arial" w:hAnsi="Arial"/>
          <w:sz w:val="18"/>
          <w:szCs w:val="18"/>
          <w:u w:val="single" w:color="auto"/>
          <w:color w:val="auto"/>
        </w:rPr>
        <w:t>X</w:t>
      </w:r>
      <w:r>
        <w:rPr>
          <w:rFonts w:ascii="Arial" w:cs="Arial" w:eastAsia="Arial" w:hAnsi="Arial"/>
          <w:sz w:val="18"/>
          <w:szCs w:val="18"/>
          <w:color w:val="auto"/>
        </w:rPr>
        <w:t>”), the other party (“</w:t>
      </w:r>
      <w:r>
        <w:rPr>
          <w:rFonts w:ascii="Arial" w:cs="Arial" w:eastAsia="Arial" w:hAnsi="Arial"/>
          <w:sz w:val="18"/>
          <w:szCs w:val="18"/>
          <w:u w:val="single" w:color="auto"/>
          <w:color w:val="auto"/>
        </w:rPr>
        <w:t>Y</w:t>
      </w:r>
      <w:r>
        <w:rPr>
          <w:rFonts w:ascii="Arial" w:cs="Arial" w:eastAsia="Arial" w:hAnsi="Arial"/>
          <w:sz w:val="18"/>
          <w:szCs w:val="18"/>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 any set-off effected under this Section 6(f).</w:t>
      </w:r>
    </w:p>
    <w:p>
      <w:pPr>
        <w:spacing w:after="0" w:line="191" w:lineRule="exact"/>
        <w:rPr>
          <w:sz w:val="20"/>
          <w:szCs w:val="20"/>
          <w:color w:val="auto"/>
        </w:rPr>
      </w:pPr>
    </w:p>
    <w:p>
      <w:pPr>
        <w:ind w:left="130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Contract</w:t>
      </w:r>
      <w:r>
        <w:rPr>
          <w:rFonts w:ascii="Arial" w:cs="Arial" w:eastAsia="Arial" w:hAnsi="Arial"/>
          <w:sz w:val="18"/>
          <w:szCs w:val="18"/>
          <w:color w:val="auto"/>
        </w:rPr>
        <w:t>” shall mean for purposes of this Section 6(f) any transaction relating to Shares between X and Y (or any Affiliate of Y) that qualifies as ‘equity’ under applicable accounting rules.</w:t>
      </w:r>
    </w:p>
    <w:p>
      <w:pPr>
        <w:spacing w:after="0" w:line="170" w:lineRule="exact"/>
        <w:rPr>
          <w:sz w:val="20"/>
          <w:szCs w:val="20"/>
          <w:color w:val="auto"/>
        </w:rPr>
      </w:pPr>
    </w:p>
    <w:p>
      <w:pPr>
        <w:ind w:left="1300" w:right="380"/>
        <w:spacing w:after="0" w:line="262"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180"/>
        <w:spacing w:after="0" w:line="275"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jc w:val="both"/>
        <w:ind w:left="1300" w:right="80"/>
        <w:spacing w:after="0" w:line="262" w:lineRule="auto"/>
        <w:rPr>
          <w:sz w:val="20"/>
          <w:szCs w:val="20"/>
          <w:color w:val="auto"/>
        </w:rPr>
      </w:pPr>
      <w:r>
        <w:rPr>
          <w:rFonts w:ascii="Arial" w:cs="Arial" w:eastAsia="Arial" w:hAnsi="Arial"/>
          <w:sz w:val="18"/>
          <w:szCs w:val="18"/>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 operation of law, contract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firstLine="652"/>
        <w:spacing w:after="0" w:line="339" w:lineRule="auto"/>
        <w:tabs>
          <w:tab w:leader="none" w:pos="98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24" w:lineRule="exact"/>
        <w:rPr>
          <w:rFonts w:ascii="Arial" w:cs="Arial" w:eastAsia="Arial" w:hAnsi="Arial"/>
          <w:sz w:val="16"/>
          <w:szCs w:val="16"/>
          <w:color w:val="auto"/>
        </w:rPr>
      </w:pPr>
    </w:p>
    <w:p>
      <w:pPr>
        <w:jc w:val="both"/>
        <w:ind w:right="160" w:firstLine="652"/>
        <w:spacing w:after="0" w:line="309" w:lineRule="auto"/>
        <w:tabs>
          <w:tab w:leader="none" w:pos="131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8" w:lineRule="exact"/>
        <w:rPr>
          <w:rFonts w:ascii="Arial" w:cs="Arial" w:eastAsia="Arial" w:hAnsi="Arial"/>
          <w:sz w:val="16"/>
          <w:szCs w:val="16"/>
          <w:color w:val="auto"/>
        </w:rPr>
      </w:pPr>
    </w:p>
    <w:p>
      <w:pPr>
        <w:ind w:firstLine="652"/>
        <w:spacing w:after="0" w:line="287" w:lineRule="auto"/>
        <w:tabs>
          <w:tab w:leader="none" w:pos="131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Unwind</w:t>
      </w:r>
      <w:r>
        <w:rPr>
          <w:rFonts w:ascii="Arial" w:cs="Arial" w:eastAsia="Arial" w:hAnsi="Arial"/>
          <w:sz w:val="16"/>
          <w:szCs w:val="16"/>
          <w:color w:val="auto"/>
        </w:rPr>
        <w:t>. In the event the sale of the Convertible Notes is not consummated with the initial purchasers pursuant to the Underwriting Agreement, for any reason by the close of business in New York on April 15, 2009 (or such later date as agreed upon by the parties which in no event shall be later than the third Scheduled Trading Day following April 15, 2009) (such date or such later date as agreed upon being the “</w:t>
      </w:r>
      <w:r>
        <w:rPr>
          <w:rFonts w:ascii="Arial" w:cs="Arial" w:eastAsia="Arial" w:hAnsi="Arial"/>
          <w:sz w:val="16"/>
          <w:szCs w:val="16"/>
          <w:u w:val="single" w:color="auto"/>
          <w:color w:val="auto"/>
        </w:rPr>
        <w:t>Accelerated Unwind Date</w:t>
      </w:r>
      <w:r>
        <w:rPr>
          <w:rFonts w:ascii="Arial" w:cs="Arial" w:eastAsia="Arial" w:hAnsi="Arial"/>
          <w:sz w:val="16"/>
          <w:szCs w:val="16"/>
          <w:color w:val="auto"/>
        </w:rPr>
        <w:t>”), this Transaction shall automatically terminate (the “</w:t>
      </w:r>
      <w:r>
        <w:rPr>
          <w:rFonts w:ascii="Arial" w:cs="Arial" w:eastAsia="Arial" w:hAnsi="Arial"/>
          <w:sz w:val="16"/>
          <w:szCs w:val="16"/>
          <w:u w:val="single" w:color="auto"/>
          <w:color w:val="auto"/>
        </w:rPr>
        <w:t>Accelerated Unwind</w:t>
      </w:r>
      <w:r>
        <w:rPr>
          <w:rFonts w:ascii="Arial" w:cs="Arial" w:eastAsia="Arial" w:hAnsi="Arial"/>
          <w:sz w:val="16"/>
          <w:szCs w:val="16"/>
          <w:color w:val="auto"/>
        </w:rPr>
        <w:t xml:space="preserve">”) on the Accelerated Unwind Date and (i) this Transaction and all of the respective rights and obligations of Dealer and Counterparty under this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this Transaction either prior to or after the Accelerated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shall reimburse Dealer for any costs or expenses (including market losses) relating to the unwinding of its hedging activities in connection with the Transaction (including any loss or cost incurred as a result of its terminating, liquidating, obtaining or reestablishing any hedge or related trading position), which shall be paid in cash or Shares at the</w:t>
      </w:r>
    </w:p>
    <w:p>
      <w:pPr>
        <w:sectPr>
          <w:pgSz w:w="11900" w:h="16838" w:orient="portrait"/>
          <w:cols w:equalWidth="0" w:num="1">
            <w:col w:w="11420"/>
          </w:cols>
          <w:pgMar w:left="240" w:top="125" w:right="239" w:bottom="0" w:gutter="0" w:footer="0" w:header="0"/>
          <w:type w:val="continuous"/>
        </w:sectPr>
      </w:pPr>
    </w:p>
    <w:bookmarkStart w:id="68" w:name="page69"/>
    <w:bookmarkEnd w:id="68"/>
    <w:p>
      <w:pPr>
        <w:ind w:right="40"/>
        <w:spacing w:after="0" w:line="274" w:lineRule="auto"/>
        <w:rPr>
          <w:sz w:val="20"/>
          <w:szCs w:val="20"/>
          <w:color w:val="auto"/>
        </w:rPr>
      </w:pPr>
      <w:r>
        <w:rPr>
          <w:rFonts w:ascii="Arial" w:cs="Arial" w:eastAsia="Arial" w:hAnsi="Arial"/>
          <w:sz w:val="17"/>
          <w:szCs w:val="17"/>
          <w:color w:val="auto"/>
        </w:rPr>
        <w:t>option of the Counterparty (and if paid in Shares, with the market valuation of such Shares being determined in a commercially reasonable manner by the Calculation Agent). The amount of any such reimbursement shall be determined by Dealer in its sole good faith discretion. Dealer shall notify Counterparty of such amount and Counterparty shall pay such amount in immediately available funds on the Early Unwind Date. Dealer and Counterparty represent and acknowledge to the other that upon an Accelerated Unwind and the satisfaction of counterparty’s payment obligation, if any, as specified in this Section 16, all obligations with respect to this Transaction shall be deemed fully and finally discharged.</w:t>
      </w:r>
    </w:p>
    <w:p>
      <w:pPr>
        <w:spacing w:after="0" w:line="173" w:lineRule="exact"/>
        <w:rPr>
          <w:sz w:val="20"/>
          <w:szCs w:val="20"/>
          <w:color w:val="auto"/>
        </w:rPr>
      </w:pPr>
    </w:p>
    <w:p>
      <w:pPr>
        <w:ind w:right="100" w:firstLine="652"/>
        <w:spacing w:after="0" w:line="255" w:lineRule="auto"/>
        <w:tabs>
          <w:tab w:leader="none" w:pos="98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Additional Provisions</w:t>
      </w:r>
      <w:r>
        <w:rPr>
          <w:rFonts w:ascii="Arial" w:cs="Arial" w:eastAsia="Arial" w:hAnsi="Arial"/>
          <w:sz w:val="18"/>
          <w:szCs w:val="18"/>
          <w:color w:val="auto"/>
        </w:rPr>
        <w:t>. Counterparty understands and agrees that Agent will act as agent for both parties with respect to the Transaction. Agent is so acting solely in its capacity as agent for Counterparty and Dealer pursuant to instructions from Counterparty and Dealer. Agent shall have no responsibility or personal liability to either party arising from any failure by either party to pay or perform any obligation under the Transaction. Each party agrees to proceed solely against the other to collect or recover any amount owing to it or enforce any of its rights in connection with or as a result of the Transaction.</w:t>
      </w:r>
    </w:p>
    <w:p>
      <w:pPr>
        <w:spacing w:after="0" w:line="189"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Whenever delivery of funds or other assets is required hereunder by or to Counterparty, such delivery shall be effected through Agent. In addition, all notices, demands and communications of any kind relating to the Transaction between Dealer and Counterparty shall be transmitted exclusively through Agent at the address indicated for communications to Dealer in Section 5 herein.</w:t>
      </w:r>
    </w:p>
    <w:p>
      <w:pPr>
        <w:spacing w:after="0" w:line="177" w:lineRule="exact"/>
        <w:rPr>
          <w:sz w:val="20"/>
          <w:szCs w:val="20"/>
          <w:color w:val="auto"/>
        </w:rPr>
      </w:pPr>
    </w:p>
    <w:p>
      <w:pPr>
        <w:ind w:left="1000" w:hanging="348"/>
        <w:spacing w:after="0"/>
        <w:tabs>
          <w:tab w:leader="none" w:pos="100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this Transaction.</w:t>
      </w:r>
    </w:p>
    <w:p>
      <w:pPr>
        <w:spacing w:after="0" w:line="226" w:lineRule="exact"/>
        <w:rPr>
          <w:rFonts w:ascii="Arial" w:cs="Arial" w:eastAsia="Arial" w:hAnsi="Arial"/>
          <w:sz w:val="18"/>
          <w:szCs w:val="18"/>
          <w:color w:val="auto"/>
        </w:rPr>
      </w:pPr>
    </w:p>
    <w:p>
      <w:pPr>
        <w:ind w:right="80" w:firstLine="652"/>
        <w:spacing w:after="0" w:line="282" w:lineRule="auto"/>
        <w:tabs>
          <w:tab w:leader="none" w:pos="989"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Counterparty hereby agrees that if at any time, in the reasonable judgment of counsel for the Dealer, the Shares acquired by Dealer for the purpose of hedging its obligations pursuant to the Transaction (other than such Shares, if any, that are, at the time of such determination, due to be delivered to Counterparty in connection with a Net Share Settlement of the Transaction) (the “Hedge Shares”),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w:t>
      </w:r>
    </w:p>
    <w:p>
      <w:pPr>
        <w:spacing w:after="0" w:line="5" w:lineRule="exact"/>
        <w:rPr>
          <w:rFonts w:ascii="Arial" w:cs="Arial" w:eastAsia="Arial" w:hAnsi="Arial"/>
          <w:sz w:val="16"/>
          <w:szCs w:val="16"/>
          <w:color w:val="auto"/>
        </w:rPr>
      </w:pPr>
    </w:p>
    <w:p>
      <w:pPr>
        <w:ind w:left="300" w:hanging="293"/>
        <w:spacing w:after="0"/>
        <w:tabs>
          <w:tab w:leader="none" w:pos="3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provide disclosure opinions of nationally recognized outside counsel to Counterparty customary in form for registered offerings of equity securities,</w:t>
      </w:r>
    </w:p>
    <w:p>
      <w:pPr>
        <w:spacing w:after="0" w:line="19" w:lineRule="exact"/>
        <w:rPr>
          <w:rFonts w:ascii="Arial" w:cs="Arial" w:eastAsia="Arial" w:hAnsi="Arial"/>
          <w:sz w:val="17"/>
          <w:szCs w:val="17"/>
          <w:color w:val="auto"/>
        </w:rPr>
      </w:pPr>
    </w:p>
    <w:p>
      <w:pPr>
        <w:ind w:right="80" w:firstLine="7"/>
        <w:spacing w:after="0" w:line="258" w:lineRule="auto"/>
        <w:tabs>
          <w:tab w:leader="none" w:pos="2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provide other customary opinions, certificates and closing documents customary in form for registered offerings of equity securities and (E) afford Dealer a reasonable opportunity to conduct a “due diligence” investigation with respect to Counterparty customary in scope for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underwritten offerings of equity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18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171" w:lineRule="exact"/>
        <w:rPr>
          <w:sz w:val="20"/>
          <w:szCs w:val="20"/>
          <w:color w:val="auto"/>
        </w:rPr>
      </w:pPr>
    </w:p>
    <w:p>
      <w:pPr>
        <w:ind w:left="1000" w:hanging="348"/>
        <w:spacing w:after="0"/>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04" w:lineRule="exact"/>
        <w:rPr>
          <w:rFonts w:ascii="Arial" w:cs="Arial" w:eastAsia="Arial" w:hAnsi="Arial"/>
          <w:sz w:val="16"/>
          <w:szCs w:val="16"/>
          <w:color w:val="auto"/>
        </w:rPr>
      </w:pPr>
    </w:p>
    <w:p>
      <w:pPr>
        <w:ind w:left="1000" w:hanging="348"/>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6" w:lineRule="exact"/>
        <w:rPr>
          <w:rFonts w:ascii="Arial" w:cs="Arial" w:eastAsia="Arial" w:hAnsi="Arial"/>
          <w:sz w:val="18"/>
          <w:szCs w:val="18"/>
          <w:color w:val="auto"/>
        </w:rPr>
      </w:pPr>
    </w:p>
    <w:p>
      <w:pPr>
        <w:jc w:val="both"/>
        <w:ind w:right="2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86" w:lineRule="exact"/>
        <w:rPr>
          <w:rFonts w:ascii="Arial" w:cs="Arial" w:eastAsia="Arial" w:hAnsi="Arial"/>
          <w:sz w:val="18"/>
          <w:szCs w:val="18"/>
          <w:color w:val="auto"/>
        </w:rPr>
      </w:pPr>
    </w:p>
    <w:p>
      <w:pPr>
        <w:ind w:left="1000" w:hanging="348"/>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6" w:lineRule="exact"/>
        <w:rPr>
          <w:rFonts w:ascii="Arial" w:cs="Arial" w:eastAsia="Arial" w:hAnsi="Arial"/>
          <w:sz w:val="18"/>
          <w:szCs w:val="18"/>
          <w:color w:val="auto"/>
        </w:rPr>
      </w:pPr>
    </w:p>
    <w:p>
      <w:pPr>
        <w:ind w:right="12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90" w:lineRule="exact"/>
        <w:rPr>
          <w:rFonts w:ascii="Arial" w:cs="Arial" w:eastAsia="Arial" w:hAnsi="Arial"/>
          <w:sz w:val="18"/>
          <w:szCs w:val="18"/>
          <w:color w:val="auto"/>
        </w:rPr>
      </w:pPr>
    </w:p>
    <w:p>
      <w:pPr>
        <w:ind w:right="40" w:firstLine="652"/>
        <w:spacing w:after="0" w:line="254" w:lineRule="auto"/>
        <w:tabs>
          <w:tab w:leader="none" w:pos="989"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Role of Agent</w:t>
      </w:r>
      <w:r>
        <w:rPr>
          <w:rFonts w:ascii="Arial" w:cs="Arial" w:eastAsia="Arial" w:hAnsi="Arial"/>
          <w:sz w:val="18"/>
          <w:szCs w:val="18"/>
          <w:color w:val="auto"/>
        </w:rPr>
        <w:t>. (i) Agent is acting as agent for Dealer but does not guarantee the performance of Dealer or Counterparty; (ii) Dealer is not a member of the Securities Investor Protection Corporation; (iii) Agent, Dealer and Counterparty each hereby acknowledges that any transactions by Dealer or Agent in the Shares will be undertaken by Dealer as principal for its own account; and (iv) all of the actions to be taken by Dealer and Agent in connection with the Transaction shall be taken by Dealer or Agent independently and without any advance or subsequent consultation with Counterparty; and (v) Agent is hereby authorized to act as agent for Counterparty only to the extent required to satisfy the requirements of Rule 15a-6 under the Exchange Act in respect of the Transaction described hereby.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This Confirmation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Counterparty hereby agrees to check this Confirmation and to confirm that the foregoing correctly sets forth the terms of the Transaction by signing in the space provided below and returning to Deutsche a facsimile of the fully-executed Confirmation to Deutsche at 44 113 336 2009. Originals shall be provided for your execution upon your request.</w:t>
      </w:r>
    </w:p>
    <w:p>
      <w:pPr>
        <w:sectPr>
          <w:pgSz w:w="11900" w:h="16838" w:orient="portrait"/>
          <w:cols w:equalWidth="0" w:num="1">
            <w:col w:w="11400"/>
          </w:cols>
          <w:pgMar w:left="240" w:top="125" w:right="259" w:bottom="0" w:gutter="0" w:footer="0" w:header="0"/>
        </w:sectPr>
      </w:pPr>
    </w:p>
    <w:bookmarkStart w:id="69" w:name="page70"/>
    <w:bookmarkEnd w:id="69"/>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We are very pleased to have executed the Transaction with you and we look forward to completing other transactions with you in the near future.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AG, LONDON BRANCH</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Lars Kestner</w:t>
            </w:r>
          </w:p>
        </w:tc>
      </w:tr>
      <w:tr>
        <w:trPr>
          <w:trHeight w:val="194"/>
        </w:trPr>
        <w:tc>
          <w:tcPr>
            <w:tcW w:w="800" w:type="dxa"/>
            <w:vAlign w:val="bottom"/>
          </w:tcPr>
          <w:p>
            <w:pPr>
              <w:spacing w:after="0"/>
              <w:rPr>
                <w:sz w:val="16"/>
                <w:szCs w:val="16"/>
                <w:color w:val="auto"/>
              </w:rPr>
            </w:pPr>
          </w:p>
        </w:tc>
        <w:tc>
          <w:tcPr>
            <w:tcW w:w="6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4" w:lineRule="exact"/>
              <w:rPr>
                <w:sz w:val="20"/>
                <w:szCs w:val="20"/>
                <w:color w:val="auto"/>
              </w:rPr>
            </w:pPr>
            <w:r>
              <w:rPr>
                <w:rFonts w:ascii="Arial" w:cs="Arial" w:eastAsia="Arial" w:hAnsi="Arial"/>
                <w:sz w:val="18"/>
                <w:szCs w:val="18"/>
                <w:color w:val="auto"/>
              </w:rPr>
              <w:t>Lars Kestner</w:t>
            </w:r>
          </w:p>
        </w:tc>
      </w:tr>
      <w:tr>
        <w:trPr>
          <w:trHeight w:val="229"/>
        </w:trPr>
        <w:tc>
          <w:tcPr>
            <w:tcW w:w="8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Paul Maley</w:t>
            </w:r>
          </w:p>
        </w:tc>
      </w:tr>
      <w:tr>
        <w:trPr>
          <w:trHeight w:val="194"/>
        </w:trPr>
        <w:tc>
          <w:tcPr>
            <w:tcW w:w="800" w:type="dxa"/>
            <w:vAlign w:val="bottom"/>
          </w:tcPr>
          <w:p>
            <w:pPr>
              <w:spacing w:after="0"/>
              <w:rPr>
                <w:sz w:val="16"/>
                <w:szCs w:val="16"/>
                <w:color w:val="auto"/>
              </w:rPr>
            </w:pPr>
          </w:p>
        </w:tc>
        <w:tc>
          <w:tcPr>
            <w:tcW w:w="6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4" w:lineRule="exact"/>
              <w:rPr>
                <w:sz w:val="20"/>
                <w:szCs w:val="20"/>
                <w:color w:val="auto"/>
              </w:rPr>
            </w:pPr>
            <w:r>
              <w:rPr>
                <w:rFonts w:ascii="Arial" w:cs="Arial" w:eastAsia="Arial" w:hAnsi="Arial"/>
                <w:sz w:val="18"/>
                <w:szCs w:val="18"/>
                <w:color w:val="auto"/>
              </w:rPr>
              <w:t>Paul Maley</w:t>
            </w:r>
          </w:p>
        </w:tc>
      </w:tr>
      <w:tr>
        <w:trPr>
          <w:trHeight w:val="229"/>
        </w:trPr>
        <w:tc>
          <w:tcPr>
            <w:tcW w:w="8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acting solely as Agent in connection with this Transaction</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Lars Kestner</w:t>
            </w:r>
          </w:p>
        </w:tc>
      </w:tr>
      <w:tr>
        <w:trPr>
          <w:trHeight w:val="194"/>
        </w:trPr>
        <w:tc>
          <w:tcPr>
            <w:tcW w:w="800" w:type="dxa"/>
            <w:vAlign w:val="bottom"/>
          </w:tcPr>
          <w:p>
            <w:pPr>
              <w:spacing w:after="0"/>
              <w:rPr>
                <w:sz w:val="16"/>
                <w:szCs w:val="16"/>
                <w:color w:val="auto"/>
              </w:rPr>
            </w:pPr>
          </w:p>
        </w:tc>
        <w:tc>
          <w:tcPr>
            <w:tcW w:w="6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4" w:lineRule="exact"/>
              <w:rPr>
                <w:sz w:val="20"/>
                <w:szCs w:val="20"/>
                <w:color w:val="auto"/>
              </w:rPr>
            </w:pPr>
            <w:r>
              <w:rPr>
                <w:rFonts w:ascii="Arial" w:cs="Arial" w:eastAsia="Arial" w:hAnsi="Arial"/>
                <w:sz w:val="18"/>
                <w:szCs w:val="18"/>
                <w:color w:val="auto"/>
              </w:rPr>
              <w:t>Lars Kestner</w:t>
            </w:r>
          </w:p>
        </w:tc>
      </w:tr>
      <w:tr>
        <w:trPr>
          <w:trHeight w:val="229"/>
        </w:trPr>
        <w:tc>
          <w:tcPr>
            <w:tcW w:w="8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4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Peter Lambrakaic</w:t>
            </w:r>
          </w:p>
        </w:tc>
      </w:tr>
      <w:tr>
        <w:trPr>
          <w:trHeight w:val="194"/>
        </w:trPr>
        <w:tc>
          <w:tcPr>
            <w:tcW w:w="800" w:type="dxa"/>
            <w:vAlign w:val="bottom"/>
          </w:tcPr>
          <w:p>
            <w:pPr>
              <w:spacing w:after="0"/>
              <w:rPr>
                <w:sz w:val="16"/>
                <w:szCs w:val="16"/>
                <w:color w:val="auto"/>
              </w:rPr>
            </w:pPr>
          </w:p>
        </w:tc>
        <w:tc>
          <w:tcPr>
            <w:tcW w:w="6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4" w:lineRule="exact"/>
              <w:rPr>
                <w:sz w:val="20"/>
                <w:szCs w:val="20"/>
                <w:color w:val="auto"/>
              </w:rPr>
            </w:pPr>
            <w:r>
              <w:rPr>
                <w:rFonts w:ascii="Arial" w:cs="Arial" w:eastAsia="Arial" w:hAnsi="Arial"/>
                <w:sz w:val="18"/>
                <w:szCs w:val="18"/>
                <w:color w:val="auto"/>
              </w:rPr>
              <w:t>Peter Lambrakaic</w:t>
            </w:r>
          </w:p>
        </w:tc>
      </w:tr>
      <w:tr>
        <w:trPr>
          <w:trHeight w:val="229"/>
        </w:trPr>
        <w:tc>
          <w:tcPr>
            <w:tcW w:w="8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Counterparty hereby agrees to, accepts and confirms the terms of the foregoing as of the Trade 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Ronald C. Foster</w:t>
            </w:r>
          </w:p>
        </w:tc>
      </w:tr>
      <w:tr>
        <w:trPr>
          <w:trHeight w:val="194"/>
        </w:trPr>
        <w:tc>
          <w:tcPr>
            <w:tcW w:w="800" w:type="dxa"/>
            <w:vAlign w:val="bottom"/>
          </w:tcPr>
          <w:p>
            <w:pPr>
              <w:spacing w:after="0"/>
              <w:rPr>
                <w:sz w:val="16"/>
                <w:szCs w:val="16"/>
                <w:color w:val="auto"/>
              </w:rPr>
            </w:pPr>
          </w:p>
        </w:tc>
        <w:tc>
          <w:tcPr>
            <w:tcW w:w="6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4340" w:type="dxa"/>
            <w:vAlign w:val="bottom"/>
          </w:tcPr>
          <w:p>
            <w:pPr>
              <w:ind w:left="140"/>
              <w:spacing w:after="0" w:line="194" w:lineRule="exact"/>
              <w:rPr>
                <w:sz w:val="20"/>
                <w:szCs w:val="20"/>
                <w:color w:val="auto"/>
              </w:rPr>
            </w:pPr>
            <w:r>
              <w:rPr>
                <w:rFonts w:ascii="Arial" w:cs="Arial" w:eastAsia="Arial" w:hAnsi="Arial"/>
                <w:sz w:val="18"/>
                <w:szCs w:val="18"/>
                <w:color w:val="auto"/>
              </w:rPr>
              <w:t>Ronald C. Foster</w:t>
            </w:r>
          </w:p>
        </w:tc>
      </w:tr>
      <w:tr>
        <w:trPr>
          <w:trHeight w:val="215"/>
        </w:trPr>
        <w:tc>
          <w:tcPr>
            <w:tcW w:w="8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40"/>
              <w:spacing w:after="0"/>
              <w:rPr>
                <w:sz w:val="20"/>
                <w:szCs w:val="20"/>
                <w:color w:val="auto"/>
              </w:rPr>
            </w:pPr>
            <w:r>
              <w:rPr>
                <w:rFonts w:ascii="Arial" w:cs="Arial" w:eastAsia="Arial" w:hAnsi="Arial"/>
                <w:sz w:val="18"/>
                <w:szCs w:val="18"/>
                <w:color w:val="auto"/>
              </w:rPr>
              <w:t>Vice President of Finance and</w:t>
            </w:r>
          </w:p>
        </w:tc>
      </w:tr>
      <w:tr>
        <w:trPr>
          <w:trHeight w:val="229"/>
        </w:trPr>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726884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Number of Options per</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Premium per</w:t>
            </w:r>
          </w:p>
        </w:tc>
        <w:tc>
          <w:tcPr>
            <w:tcW w:w="26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0"/>
        </w:trPr>
        <w:tc>
          <w:tcPr>
            <w:tcW w:w="3060" w:type="dxa"/>
            <w:vAlign w:val="bottom"/>
            <w:gridSpan w:val="2"/>
            <w:vMerge w:val="continue"/>
          </w:tcPr>
          <w:p>
            <w:pPr>
              <w:spacing w:after="0"/>
              <w:rPr>
                <w:sz w:val="14"/>
                <w:szCs w:val="14"/>
                <w:color w:val="auto"/>
              </w:rPr>
            </w:pPr>
          </w:p>
        </w:tc>
        <w:tc>
          <w:tcPr>
            <w:tcW w:w="2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Component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Component</w:t>
            </w:r>
          </w:p>
        </w:tc>
        <w:tc>
          <w:tcPr>
            <w:tcW w:w="2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314,728.30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172,000.00</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16, 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17,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18,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19,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22,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23,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25,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29,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30,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31,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2,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8,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12,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13,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14,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720" w:type="dxa"/>
            <w:vAlign w:val="bottom"/>
            <w:gridSpan w:val="2"/>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16,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314,728.30</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2012</w:t>
            </w:r>
          </w:p>
        </w:tc>
        <w:tc>
          <w:tcPr>
            <w:tcW w:w="0" w:type="dxa"/>
            <w:vAlign w:val="bottom"/>
          </w:tcPr>
          <w:p>
            <w:pPr>
              <w:spacing w:after="0"/>
              <w:rPr>
                <w:sz w:val="1"/>
                <w:szCs w:val="1"/>
                <w:color w:val="auto"/>
              </w:rPr>
            </w:pPr>
          </w:p>
        </w:tc>
      </w:tr>
    </w:tbl>
    <w:p>
      <w:pPr>
        <w:sectPr>
          <w:pgSz w:w="11900" w:h="16896" w:orient="portrait"/>
          <w:cols w:equalWidth="0" w:num="1">
            <w:col w:w="11420"/>
          </w:cols>
          <w:pgMar w:left="240" w:top="340" w:right="239" w:bottom="0" w:gutter="0" w:footer="0" w:header="0"/>
        </w:sectPr>
      </w:pPr>
    </w:p>
    <w:bookmarkStart w:id="70" w:name="page71"/>
    <w:bookmarkEnd w:id="70"/>
    <w:p>
      <w:pPr>
        <w:ind w:left="700"/>
        <w:spacing w:after="0"/>
        <w:rPr>
          <w:sz w:val="20"/>
          <w:szCs w:val="20"/>
          <w:color w:val="auto"/>
        </w:rPr>
      </w:pPr>
      <w:r>
        <w:rPr>
          <w:rFonts w:ascii="Arial" w:cs="Arial" w:eastAsia="Arial" w:hAnsi="Arial"/>
          <w:sz w:val="12"/>
          <w:szCs w:val="12"/>
          <w:b w:val="1"/>
          <w:bCs w:val="1"/>
          <w:color w:val="auto"/>
        </w:rPr>
        <w:t>Aggregate Premium for all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421255" cy="144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1255" cy="14478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220980</wp:posOffset>
            </wp:positionV>
            <wp:extent cx="726884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160" w:space="720"/>
            <w:col w:w="8540"/>
          </w:cols>
          <w:pgMar w:left="240" w:top="33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Schedule (as contemplated by the confirmation dated April 8, 2008 between Micron Technology, Inc. and Deutsche Bank AG, London Branch for issuer capped share call option transaction (the “Confirmation”)) setting forth the increased Number of Options for all Components upon the exercise of the option to purchase additional 4.25% Convertible Senior Notes due October 15, 2013 pursuant to Section 2 of the Underwriting Agreement (as defined in the Confirmation).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rPr>
              <w:t>Component</w:t>
            </w:r>
          </w:p>
        </w:tc>
        <w:tc>
          <w:tcPr>
            <w:tcW w:w="300" w:type="dxa"/>
            <w:vAlign w:val="bottom"/>
          </w:tcPr>
          <w:p>
            <w:pPr>
              <w:spacing w:after="0"/>
              <w:rPr>
                <w:sz w:val="14"/>
                <w:szCs w:val="14"/>
                <w:color w:val="auto"/>
              </w:rPr>
            </w:pPr>
          </w:p>
        </w:tc>
        <w:tc>
          <w:tcPr>
            <w:tcW w:w="2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Number of Options per</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Premium per</w:t>
            </w:r>
          </w:p>
        </w:tc>
        <w:tc>
          <w:tcPr>
            <w:tcW w:w="26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0"/>
        </w:trPr>
        <w:tc>
          <w:tcPr>
            <w:tcW w:w="2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Component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Component</w:t>
            </w:r>
          </w:p>
        </w:tc>
        <w:tc>
          <w:tcPr>
            <w:tcW w:w="2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361,937.55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197,800.00</w:t>
            </w:r>
          </w:p>
        </w:tc>
        <w:tc>
          <w:tcPr>
            <w:tcW w:w="2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16, 2012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17,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18,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4</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19,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22,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6</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23,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8</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25,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10</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29,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30,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12</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October 31,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14</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2,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16</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6,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18</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8,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9,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20</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12,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13,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22</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14,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2012</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24</w:t>
            </w:r>
          </w:p>
        </w:tc>
        <w:tc>
          <w:tcPr>
            <w:tcW w:w="3020" w:type="dxa"/>
            <w:vAlign w:val="bottom"/>
            <w:gridSpan w:val="4"/>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tcPr>
          <w:p>
            <w:pPr>
              <w:spacing w:after="0"/>
              <w:rPr>
                <w:sz w:val="20"/>
                <w:szCs w:val="20"/>
                <w:color w:val="auto"/>
              </w:rPr>
            </w:pPr>
            <w:r>
              <w:rPr>
                <w:rFonts w:ascii="Arial" w:cs="Arial" w:eastAsia="Arial" w:hAnsi="Arial"/>
                <w:sz w:val="18"/>
                <w:szCs w:val="18"/>
                <w:color w:val="auto"/>
              </w:rPr>
              <w:t>November 16, 2012</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361,937.55</w:t>
            </w:r>
          </w:p>
        </w:tc>
        <w:tc>
          <w:tcPr>
            <w:tcW w:w="62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197,800.00</w:t>
            </w: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2012</w:t>
            </w:r>
          </w:p>
        </w:tc>
        <w:tc>
          <w:tcPr>
            <w:tcW w:w="0" w:type="dxa"/>
            <w:vAlign w:val="bottom"/>
          </w:tcPr>
          <w:p>
            <w:pPr>
              <w:spacing w:after="0"/>
              <w:rPr>
                <w:sz w:val="1"/>
                <w:szCs w:val="1"/>
                <w:color w:val="auto"/>
              </w:rPr>
            </w:pPr>
          </w:p>
        </w:tc>
      </w:tr>
      <w:tr>
        <w:trPr>
          <w:trHeight w:val="363"/>
        </w:trPr>
        <w:tc>
          <w:tcPr>
            <w:tcW w:w="5780" w:type="dxa"/>
            <w:vAlign w:val="bottom"/>
            <w:gridSpan w:val="5"/>
          </w:tcPr>
          <w:p>
            <w:pPr>
              <w:ind w:left="700"/>
              <w:spacing w:after="0"/>
              <w:rPr>
                <w:sz w:val="20"/>
                <w:szCs w:val="20"/>
                <w:color w:val="auto"/>
              </w:rPr>
            </w:pPr>
            <w:r>
              <w:rPr>
                <w:rFonts w:ascii="Arial" w:cs="Arial" w:eastAsia="Arial" w:hAnsi="Arial"/>
                <w:sz w:val="14"/>
                <w:szCs w:val="14"/>
                <w:b w:val="1"/>
                <w:bCs w:val="1"/>
                <w:color w:val="auto"/>
              </w:rPr>
              <w:t>Aggregate Premium for all Components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4,945,000.00</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w:t>
      </w:r>
    </w:p>
    <w:p>
      <w:pPr>
        <w:spacing w:after="0" w:line="223" w:lineRule="exact"/>
        <w:rPr>
          <w:sz w:val="20"/>
          <w:szCs w:val="20"/>
          <w:color w:val="auto"/>
        </w:rPr>
      </w:pPr>
    </w:p>
    <w:p>
      <w:pPr>
        <w:ind w:left="600" w:hanging="593"/>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has been duly incorporated and is an existing corporation in good standing under the laws of the State of Delaware.</w:t>
      </w:r>
    </w:p>
    <w:p>
      <w:pPr>
        <w:spacing w:after="0" w:line="222" w:lineRule="exact"/>
        <w:rPr>
          <w:rFonts w:ascii="Arial" w:cs="Arial" w:eastAsia="Arial" w:hAnsi="Arial"/>
          <w:sz w:val="18"/>
          <w:szCs w:val="18"/>
          <w:color w:val="auto"/>
        </w:rPr>
      </w:pPr>
    </w:p>
    <w:p>
      <w:pPr>
        <w:ind w:left="600" w:hanging="593"/>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is duly qualified as a foreign corporation for the transaction of business and is in good standing in the State of Idaho.</w:t>
      </w:r>
    </w:p>
    <w:p>
      <w:pPr>
        <w:spacing w:after="0" w:line="222" w:lineRule="exact"/>
        <w:rPr>
          <w:rFonts w:ascii="Arial" w:cs="Arial" w:eastAsia="Arial" w:hAnsi="Arial"/>
          <w:sz w:val="18"/>
          <w:szCs w:val="18"/>
          <w:color w:val="auto"/>
        </w:rPr>
      </w:pPr>
    </w:p>
    <w:p>
      <w:pPr>
        <w:ind w:left="600" w:hanging="593"/>
        <w:spacing w:after="0"/>
        <w:tabs>
          <w:tab w:leader="none" w:pos="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Confirmation has been duly authorized, executed and delivered by the Company.</w:t>
      </w:r>
    </w:p>
    <w:p>
      <w:pPr>
        <w:spacing w:after="0" w:line="222" w:lineRule="exact"/>
        <w:rPr>
          <w:rFonts w:ascii="Arial" w:cs="Arial" w:eastAsia="Arial" w:hAnsi="Arial"/>
          <w:sz w:val="18"/>
          <w:szCs w:val="18"/>
          <w:color w:val="auto"/>
        </w:rPr>
      </w:pPr>
    </w:p>
    <w:p>
      <w:pPr>
        <w:ind w:left="620" w:right="20" w:hanging="613"/>
        <w:spacing w:after="0" w:line="275" w:lineRule="auto"/>
        <w:tabs>
          <w:tab w:leader="none" w:pos="59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execution and delivery by the Company of the Confirmation does not result in any violation by the Company of the Certificate of Incorporation or the Bylaws.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8845" cy="29845"/>
                    </a:xfrm>
                    <a:prstGeom prst="rect">
                      <a:avLst/>
                    </a:prstGeom>
                    <a:noFill/>
                  </pic:spPr>
                </pic:pic>
              </a:graphicData>
            </a:graphic>
          </wp:anchor>
        </w:drawing>
      </w:r>
    </w:p>
    <w:sectPr>
      <w:pgSz w:w="11900" w:h="16838" w:orient="portrait"/>
      <w:cols w:equalWidth="0" w:num="1">
        <w:col w:w="11420"/>
      </w:cols>
      <w:pgMar w:left="240" w:top="33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1)"/>
      <w:numFmt w:val="lowerLetter"/>
      <w:start w:val="1"/>
    </w:lvl>
  </w:abstractNum>
  <w:abstractNum w:abstractNumId="2">
    <w:nsid w:val="3B0FD379"/>
    <w:multiLevelType w:val="hybridMultilevel"/>
    <w:lvl w:ilvl="0">
      <w:lvlJc w:val="left"/>
      <w:lvlText w:val="(%1)"/>
      <w:numFmt w:val="lowerLetter"/>
      <w:start w:val="2"/>
    </w:lvl>
  </w:abstractNum>
  <w:abstractNum w:abstractNumId="3">
    <w:nsid w:val="68EB2F63"/>
    <w:multiLevelType w:val="hybridMultilevel"/>
    <w:lvl w:ilvl="0">
      <w:lvlJc w:val="left"/>
      <w:lvlText w:val="(%1)"/>
      <w:numFmt w:val="lowerLetter"/>
      <w:start w:val="3"/>
    </w:lvl>
  </w:abstractNum>
  <w:abstractNum w:abstractNumId="4">
    <w:nsid w:val="4962813B"/>
    <w:multiLevelType w:val="hybridMultilevel"/>
    <w:lvl w:ilvl="0">
      <w:lvlJc w:val="left"/>
      <w:lvlText w:val="(%1)"/>
      <w:numFmt w:val="lowerLetter"/>
      <w:start w:val="4"/>
    </w:lvl>
  </w:abstractNum>
  <w:abstractNum w:abstractNumId="5">
    <w:nsid w:val="60B6DF70"/>
    <w:multiLevelType w:val="hybridMultilevel"/>
    <w:lvl w:ilvl="0">
      <w:lvlJc w:val="left"/>
      <w:lvlText w:val="(%1)"/>
      <w:numFmt w:val="lowerLetter"/>
      <w:start w:val="9"/>
    </w:lvl>
  </w:abstractNum>
  <w:abstractNum w:abstractNumId="6">
    <w:nsid w:val="6A5EE64"/>
    <w:multiLevelType w:val="hybridMultilevel"/>
    <w:lvl w:ilvl="0">
      <w:lvlJc w:val="left"/>
      <w:lvlText w:val="(%1)"/>
      <w:numFmt w:val="lowerLetter"/>
      <w:start w:val="12"/>
    </w:lvl>
  </w:abstractNum>
  <w:abstractNum w:abstractNumId="7">
    <w:nsid w:val="14330624"/>
    <w:multiLevelType w:val="hybridMultilevel"/>
    <w:lvl w:ilvl="0">
      <w:lvlJc w:val="left"/>
      <w:lvlText w:val="(%1)"/>
      <w:numFmt w:val="lowerLetter"/>
      <w:start w:val="13"/>
    </w:lvl>
  </w:abstractNum>
  <w:abstractNum w:abstractNumId="8">
    <w:nsid w:val="7FFFCA11"/>
    <w:multiLevelType w:val="hybridMultilevel"/>
    <w:lvl w:ilvl="0">
      <w:lvlJc w:val="left"/>
      <w:lvlText w:val="(%1)"/>
      <w:numFmt w:val="lowerLetter"/>
      <w:start w:val="19"/>
    </w:lvl>
  </w:abstractNum>
  <w:abstractNum w:abstractNumId="9">
    <w:nsid w:val="1A27709E"/>
    <w:multiLevelType w:val="hybridMultilevel"/>
    <w:lvl w:ilvl="0">
      <w:lvlJc w:val="left"/>
      <w:lvlText w:val="%1."/>
      <w:numFmt w:val="decimal"/>
      <w:start w:val="2"/>
    </w:lvl>
  </w:abstractNum>
  <w:abstractNum w:abstractNumId="10">
    <w:nsid w:val="71EA1109"/>
    <w:multiLevelType w:val="hybridMultilevel"/>
    <w:lvl w:ilvl="0">
      <w:lvlJc w:val="left"/>
      <w:lvlText w:val="%1."/>
      <w:numFmt w:val="decimal"/>
      <w:start w:val="3"/>
    </w:lvl>
  </w:abstractNum>
  <w:abstractNum w:abstractNumId="11">
    <w:nsid w:val="100F59DC"/>
    <w:multiLevelType w:val="hybridMultilevel"/>
    <w:lvl w:ilvl="0">
      <w:lvlJc w:val="left"/>
      <w:lvlText w:val="%1."/>
      <w:numFmt w:val="decimal"/>
      <w:start w:val="5"/>
    </w:lvl>
  </w:abstractNum>
  <w:abstractNum w:abstractNumId="12">
    <w:nsid w:val="7FB7E0AA"/>
    <w:multiLevelType w:val="hybridMultilevel"/>
    <w:lvl w:ilvl="0">
      <w:lvlJc w:val="left"/>
      <w:lvlText w:val="(%1)"/>
      <w:numFmt w:val="lowerLetter"/>
      <w:start w:val="1"/>
    </w:lvl>
    <w:lvl w:ilvl="1">
      <w:lvlJc w:val="left"/>
      <w:lvlText w:val="(%2)"/>
      <w:numFmt w:val="lowerRoman"/>
      <w:start w:val="1"/>
    </w:lvl>
  </w:abstractNum>
  <w:abstractNum w:abstractNumId="13">
    <w:nsid w:val="6EB5BD4"/>
    <w:multiLevelType w:val="hybridMultilevel"/>
    <w:lvl w:ilvl="0">
      <w:lvlJc w:val="left"/>
      <w:lvlText w:val="(%1)"/>
      <w:numFmt w:val="lowerLetter"/>
      <w:start w:val="3"/>
    </w:lvl>
  </w:abstractNum>
  <w:abstractNum w:abstractNumId="14">
    <w:nsid w:val="6F6DD9AC"/>
    <w:multiLevelType w:val="hybridMultilevel"/>
    <w:lvl w:ilvl="0">
      <w:lvlJc w:val="left"/>
      <w:lvlText w:val="(%1)"/>
      <w:numFmt w:val="lowerLetter"/>
      <w:start w:val="4"/>
    </w:lvl>
  </w:abstractNum>
  <w:abstractNum w:abstractNumId="15">
    <w:nsid w:val="94211F2"/>
    <w:multiLevelType w:val="hybridMultilevel"/>
    <w:lvl w:ilvl="0">
      <w:lvlJc w:val="left"/>
      <w:lvlText w:val="(%1)"/>
      <w:numFmt w:val="lowerLetter"/>
      <w:start w:val="8"/>
    </w:lvl>
  </w:abstractNum>
  <w:abstractNum w:abstractNumId="16">
    <w:nsid w:val="885E1B"/>
    <w:multiLevelType w:val="hybridMultilevel"/>
    <w:lvl w:ilvl="0">
      <w:lvlJc w:val="left"/>
      <w:lvlText w:val="%1."/>
      <w:numFmt w:val="decimal"/>
      <w:start w:val="6"/>
    </w:lvl>
  </w:abstractNum>
  <w:abstractNum w:abstractNumId="17">
    <w:nsid w:val="76272110"/>
    <w:multiLevelType w:val="hybridMultilevel"/>
    <w:lvl w:ilvl="0">
      <w:lvlJc w:val="left"/>
      <w:lvlText w:val="(%1)"/>
      <w:numFmt w:val="lowerLetter"/>
      <w:start w:val="1"/>
    </w:lvl>
  </w:abstractNum>
  <w:abstractNum w:abstractNumId="18">
    <w:nsid w:val="4C04A8AF"/>
    <w:multiLevelType w:val="hybridMultilevel"/>
    <w:lvl w:ilvl="0">
      <w:lvlJc w:val="left"/>
      <w:lvlText w:val="(%1)"/>
      <w:numFmt w:val="lowerLetter"/>
      <w:start w:val="5"/>
    </w:lvl>
  </w:abstractNum>
  <w:abstractNum w:abstractNumId="19">
    <w:nsid w:val="1716703B"/>
    <w:multiLevelType w:val="hybridMultilevel"/>
    <w:lvl w:ilvl="0">
      <w:lvlJc w:val="left"/>
      <w:lvlText w:val="(%1)"/>
      <w:numFmt w:val="lowerLetter"/>
      <w:start w:val="7"/>
    </w:lvl>
  </w:abstractNum>
  <w:abstractNum w:abstractNumId="20">
    <w:nsid w:val="14E17E33"/>
    <w:multiLevelType w:val="hybridMultilevel"/>
    <w:lvl w:ilvl="0">
      <w:lvlJc w:val="left"/>
      <w:lvlText w:val="(%1)"/>
      <w:numFmt w:val="lowerLetter"/>
      <w:start w:val="8"/>
    </w:lvl>
  </w:abstractNum>
  <w:abstractNum w:abstractNumId="21">
    <w:nsid w:val="3222E7CD"/>
    <w:multiLevelType w:val="hybridMultilevel"/>
    <w:lvl w:ilvl="0">
      <w:lvlJc w:val="left"/>
      <w:lvlText w:val="(%1)"/>
      <w:numFmt w:val="lowerLetter"/>
      <w:start w:val="10"/>
    </w:lvl>
  </w:abstractNum>
  <w:abstractNum w:abstractNumId="22">
    <w:nsid w:val="74DE0EE3"/>
    <w:multiLevelType w:val="hybridMultilevel"/>
    <w:lvl w:ilvl="0">
      <w:lvlJc w:val="left"/>
      <w:lvlText w:val="(%1)"/>
      <w:numFmt w:val="decimal"/>
      <w:start w:val="3"/>
    </w:lvl>
  </w:abstractNum>
  <w:abstractNum w:abstractNumId="23">
    <w:nsid w:val="68EBC550"/>
    <w:multiLevelType w:val="hybridMultilevel"/>
    <w:lvl w:ilvl="0">
      <w:lvlJc w:val="left"/>
      <w:lvlText w:val="%1."/>
      <w:numFmt w:val="decimal"/>
      <w:start w:val="7"/>
    </w:lvl>
  </w:abstractNum>
  <w:abstractNum w:abstractNumId="24">
    <w:nsid w:val="2DF6D648"/>
    <w:multiLevelType w:val="hybridMultilevel"/>
    <w:lvl w:ilvl="0">
      <w:lvlJc w:val="left"/>
      <w:lvlText w:val="(%1)"/>
      <w:numFmt w:val="lowerLetter"/>
      <w:start w:val="2"/>
    </w:lvl>
  </w:abstractNum>
  <w:abstractNum w:abstractNumId="25">
    <w:nsid w:val="46B7D447"/>
    <w:multiLevelType w:val="hybridMultilevel"/>
    <w:lvl w:ilvl="0">
      <w:lvlJc w:val="left"/>
      <w:lvlText w:val="(%1)"/>
      <w:numFmt w:val="lowerLetter"/>
      <w:start w:val="4"/>
    </w:lvl>
  </w:abstractNum>
  <w:abstractNum w:abstractNumId="26">
    <w:nsid w:val="4A2AC315"/>
    <w:multiLevelType w:val="hybridMultilevel"/>
    <w:lvl w:ilvl="0">
      <w:lvlJc w:val="left"/>
      <w:lvlText w:val="(%1)"/>
      <w:numFmt w:val="lowerLetter"/>
      <w:start w:val="5"/>
    </w:lvl>
  </w:abstractNum>
  <w:abstractNum w:abstractNumId="27">
    <w:nsid w:val="39EE015C"/>
    <w:multiLevelType w:val="hybridMultilevel"/>
    <w:lvl w:ilvl="0">
      <w:lvlJc w:val="left"/>
      <w:lvlText w:val="%1."/>
      <w:numFmt w:val="decimal"/>
      <w:start w:val="9"/>
    </w:lvl>
  </w:abstractNum>
  <w:abstractNum w:abstractNumId="28">
    <w:nsid w:val="57FC4FBB"/>
    <w:multiLevelType w:val="hybridMultilevel"/>
    <w:lvl w:ilvl="0">
      <w:lvlJc w:val="left"/>
      <w:lvlText w:val="%1."/>
      <w:numFmt w:val="decimal"/>
      <w:start w:val="11"/>
    </w:lvl>
  </w:abstractNum>
  <w:abstractNum w:abstractNumId="29">
    <w:nsid w:val="CC1016F"/>
    <w:multiLevelType w:val="hybridMultilevel"/>
    <w:lvl w:ilvl="0">
      <w:lvlJc w:val="left"/>
      <w:lvlText w:val="(%1)"/>
      <w:numFmt w:val="lowerLetter"/>
      <w:start w:val="2"/>
    </w:lvl>
  </w:abstractNum>
  <w:abstractNum w:abstractNumId="30">
    <w:nsid w:val="43F18422"/>
    <w:multiLevelType w:val="hybridMultilevel"/>
    <w:lvl w:ilvl="0">
      <w:lvlJc w:val="left"/>
      <w:lvlText w:val="%1"/>
      <w:numFmt w:val="lowerLetter"/>
      <w:start w:val="1"/>
    </w:lvl>
    <w:lvl w:ilvl="1">
      <w:lvlJc w:val="left"/>
      <w:lvlText w:val="%2."/>
      <w:numFmt w:val="decimal"/>
      <w:start w:val="12"/>
    </w:lvl>
  </w:abstractNum>
  <w:abstractNum w:abstractNumId="31">
    <w:nsid w:val="60EF0119"/>
    <w:multiLevelType w:val="hybridMultilevel"/>
    <w:lvl w:ilvl="0">
      <w:lvlJc w:val="left"/>
      <w:lvlText w:val="(%1)"/>
      <w:numFmt w:val="lowerLetter"/>
      <w:start w:val="2"/>
    </w:lvl>
    <w:lvl w:ilvl="1">
      <w:lvlJc w:val="left"/>
      <w:lvlText w:val="%2"/>
      <w:numFmt w:val="decimal"/>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1)"/>
      <w:numFmt w:val="decimal"/>
      <w:start w:val="1"/>
    </w:lvl>
  </w:abstractNum>
  <w:abstractNum w:abstractNumId="34">
    <w:nsid w:val="49DA307D"/>
    <w:multiLevelType w:val="hybridMultilevel"/>
    <w:lvl w:ilvl="0">
      <w:lvlJc w:val="left"/>
      <w:lvlText w:val="%1"/>
      <w:numFmt w:val="lowerRoman"/>
      <w:start w:val="1"/>
    </w:lvl>
    <w:lvl w:ilvl="1">
      <w:lvlJc w:val="left"/>
      <w:lvlText w:val="(%2)"/>
      <w:numFmt w:val="lowerRoman"/>
      <w:start w:val="1"/>
    </w:lvl>
  </w:abstractNum>
  <w:abstractNum w:abstractNumId="35">
    <w:nsid w:val="7055A5F5"/>
    <w:multiLevelType w:val="hybridMultilevel"/>
    <w:lvl w:ilvl="0">
      <w:lvlJc w:val="left"/>
      <w:lvlText w:val="(%1)"/>
      <w:numFmt w:val="lowerRoman"/>
      <w:start w:val="4"/>
    </w:lvl>
    <w:lvl w:ilvl="1">
      <w:lvlJc w:val="left"/>
      <w:lvlText w:val="%2"/>
      <w:numFmt w:val="lowerRoman"/>
      <w:start w:val="1"/>
    </w:lvl>
  </w:abstractNum>
  <w:abstractNum w:abstractNumId="36">
    <w:nsid w:val="5FB8370B"/>
    <w:multiLevelType w:val="hybridMultilevel"/>
    <w:lvl w:ilvl="0">
      <w:lvlJc w:val="left"/>
      <w:lvlText w:val="(%1)"/>
      <w:numFmt w:val="lowerRoman"/>
      <w:start w:val="7"/>
    </w:lvl>
  </w:abstractNum>
  <w:abstractNum w:abstractNumId="37">
    <w:nsid w:val="50801EE1"/>
    <w:multiLevelType w:val="hybridMultilevel"/>
    <w:lvl w:ilvl="0">
      <w:lvlJc w:val="left"/>
      <w:lvlText w:val="(%1)"/>
      <w:numFmt w:val="lowerRoman"/>
      <w:start w:val="1"/>
    </w:lvl>
  </w:abstractNum>
  <w:abstractNum w:abstractNumId="38">
    <w:nsid w:val="488AC1A"/>
    <w:multiLevelType w:val="hybridMultilevel"/>
    <w:lvl w:ilvl="0">
      <w:lvlJc w:val="left"/>
      <w:lvlText w:val="(%1)"/>
      <w:numFmt w:val="lowerRoman"/>
      <w:start w:val="3"/>
    </w:lvl>
  </w:abstractNum>
  <w:abstractNum w:abstractNumId="39">
    <w:nsid w:val="5FB8011C"/>
    <w:multiLevelType w:val="hybridMultilevel"/>
    <w:lvl w:ilvl="0">
      <w:lvlJc w:val="left"/>
      <w:lvlText w:val="(%1)"/>
      <w:numFmt w:val="lowerRoman"/>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1)"/>
      <w:numFmt w:val="lowerLetter"/>
      <w:start w:val="1"/>
    </w:lvl>
  </w:abstractNum>
  <w:abstractNum w:abstractNumId="42">
    <w:nsid w:val="6FC75AF8"/>
    <w:multiLevelType w:val="hybridMultilevel"/>
    <w:lvl w:ilvl="0">
      <w:lvlJc w:val="left"/>
      <w:lvlText w:val="(%1)"/>
      <w:numFmt w:val="lowerLetter"/>
      <w:start w:val="2"/>
    </w:lvl>
  </w:abstractNum>
  <w:abstractNum w:abstractNumId="43">
    <w:nsid w:val="6A5F7029"/>
    <w:multiLevelType w:val="hybridMultilevel"/>
    <w:lvl w:ilvl="0">
      <w:lvlJc w:val="left"/>
      <w:lvlText w:val="(%1)"/>
      <w:numFmt w:val="lowerLetter"/>
      <w:start w:val="3"/>
    </w:lvl>
  </w:abstractNum>
  <w:abstractNum w:abstractNumId="44">
    <w:nsid w:val="7D5E18F8"/>
    <w:multiLevelType w:val="hybridMultilevel"/>
    <w:lvl w:ilvl="0">
      <w:lvlJc w:val="left"/>
      <w:lvlText w:val="(%1)"/>
      <w:numFmt w:val="lowerLetter"/>
      <w:start w:val="4"/>
    </w:lvl>
  </w:abstractNum>
  <w:abstractNum w:abstractNumId="45">
    <w:nsid w:val="5F3534A4"/>
    <w:multiLevelType w:val="hybridMultilevel"/>
    <w:lvl w:ilvl="0">
      <w:lvlJc w:val="left"/>
      <w:lvlText w:val="(%1)"/>
      <w:numFmt w:val="lowerLetter"/>
      <w:start w:val="9"/>
    </w:lvl>
  </w:abstractNum>
  <w:abstractNum w:abstractNumId="46">
    <w:nsid w:val="73A1821B"/>
    <w:multiLevelType w:val="hybridMultilevel"/>
    <w:lvl w:ilvl="0">
      <w:lvlJc w:val="left"/>
      <w:lvlText w:val="(%1)"/>
      <w:numFmt w:val="lowerLetter"/>
      <w:start w:val="13"/>
    </w:lvl>
  </w:abstractNum>
  <w:abstractNum w:abstractNumId="47">
    <w:nsid w:val="7DE67713"/>
    <w:multiLevelType w:val="hybridMultilevel"/>
    <w:lvl w:ilvl="0">
      <w:lvlJc w:val="left"/>
      <w:lvlText w:val="(%1)"/>
      <w:numFmt w:val="lowerLetter"/>
      <w:start w:val="14"/>
    </w:lvl>
  </w:abstractNum>
  <w:abstractNum w:abstractNumId="48">
    <w:nsid w:val="555C55B5"/>
    <w:multiLevelType w:val="hybridMultilevel"/>
    <w:lvl w:ilvl="0">
      <w:lvlJc w:val="left"/>
      <w:lvlText w:val="(%1)"/>
      <w:numFmt w:val="lowerLetter"/>
      <w:start w:val="20"/>
    </w:lvl>
  </w:abstractNum>
  <w:abstractNum w:abstractNumId="49">
    <w:nsid w:val="3FA62ACA"/>
    <w:multiLevelType w:val="hybridMultilevel"/>
    <w:lvl w:ilvl="0">
      <w:lvlJc w:val="left"/>
      <w:lvlText w:val="%1."/>
      <w:numFmt w:val="decimal"/>
      <w:start w:val="2"/>
    </w:lvl>
  </w:abstractNum>
  <w:abstractNum w:abstractNumId="50">
    <w:nsid w:val="14FCE74E"/>
    <w:multiLevelType w:val="hybridMultilevel"/>
    <w:lvl w:ilvl="0">
      <w:lvlJc w:val="left"/>
      <w:lvlText w:val="%1."/>
      <w:numFmt w:val="decimal"/>
      <w:start w:val="3"/>
    </w:lvl>
  </w:abstractNum>
  <w:abstractNum w:abstractNumId="51">
    <w:nsid w:val="6A3DD3E8"/>
    <w:multiLevelType w:val="hybridMultilevel"/>
    <w:lvl w:ilvl="0">
      <w:lvlJc w:val="left"/>
      <w:lvlText w:val="%1."/>
      <w:numFmt w:val="decimal"/>
      <w:start w:val="4"/>
    </w:lvl>
  </w:abstractNum>
  <w:abstractNum w:abstractNumId="52">
    <w:nsid w:val="71C91298"/>
    <w:multiLevelType w:val="hybridMultilevel"/>
    <w:lvl w:ilvl="0">
      <w:lvlJc w:val="left"/>
      <w:lvlText w:val="%1."/>
      <w:numFmt w:val="decimal"/>
      <w:start w:val="5"/>
    </w:lvl>
  </w:abstractNum>
  <w:abstractNum w:abstractNumId="53">
    <w:nsid w:val="9DAF632"/>
    <w:multiLevelType w:val="hybridMultilevel"/>
    <w:lvl w:ilvl="0">
      <w:lvlJc w:val="left"/>
      <w:lvlText w:val="(%1)"/>
      <w:numFmt w:val="lowerLetter"/>
      <w:start w:val="1"/>
    </w:lvl>
  </w:abstractNum>
  <w:abstractNum w:abstractNumId="54">
    <w:nsid w:val="53299938"/>
    <w:multiLevelType w:val="hybridMultilevel"/>
    <w:lvl w:ilvl="0">
      <w:lvlJc w:val="left"/>
      <w:lvlText w:val="(%1)"/>
      <w:numFmt w:val="lowerRoman"/>
      <w:start w:val="1"/>
    </w:lvl>
  </w:abstractNum>
  <w:abstractNum w:abstractNumId="55">
    <w:nsid w:val="1FBFE8E0"/>
    <w:multiLevelType w:val="hybridMultilevel"/>
    <w:lvl w:ilvl="0">
      <w:lvlJc w:val="left"/>
      <w:lvlText w:val="%1"/>
      <w:numFmt w:val="lowerLetter"/>
      <w:start w:val="1"/>
    </w:lvl>
    <w:lvl w:ilvl="1">
      <w:lvlJc w:val="left"/>
      <w:lvlText w:val="(%2)"/>
      <w:numFmt w:val="lowerLetter"/>
      <w:start w:val="35"/>
    </w:lvl>
  </w:abstractNum>
  <w:abstractNum w:abstractNumId="56">
    <w:nsid w:val="5092CA79"/>
    <w:multiLevelType w:val="hybridMultilevel"/>
    <w:lvl w:ilvl="0">
      <w:lvlJc w:val="left"/>
      <w:lvlText w:val="(%1)"/>
      <w:numFmt w:val="lowerLetter"/>
      <w:start w:val="2"/>
    </w:lvl>
    <w:lvl w:ilvl="1">
      <w:lvlJc w:val="left"/>
      <w:lvlText w:val="%2"/>
      <w:numFmt w:val="lowerLetter"/>
      <w:start w:val="1"/>
    </w:lvl>
  </w:abstractNum>
  <w:abstractNum w:abstractNumId="57">
    <w:nsid w:val="1D545C4D"/>
    <w:multiLevelType w:val="hybridMultilevel"/>
    <w:lvl w:ilvl="0">
      <w:lvlJc w:val="left"/>
      <w:lvlText w:val="(%1)"/>
      <w:numFmt w:val="lowerLetter"/>
      <w:start w:val="3"/>
    </w:lvl>
  </w:abstractNum>
  <w:abstractNum w:abstractNumId="58">
    <w:nsid w:val="59ADEA3D"/>
    <w:multiLevelType w:val="hybridMultilevel"/>
    <w:lvl w:ilvl="0">
      <w:lvlJc w:val="left"/>
      <w:lvlText w:val="(%1)"/>
      <w:numFmt w:val="lowerLetter"/>
      <w:start w:val="4"/>
    </w:lvl>
  </w:abstractNum>
  <w:abstractNum w:abstractNumId="59">
    <w:nsid w:val="288F1A34"/>
    <w:multiLevelType w:val="hybridMultilevel"/>
    <w:lvl w:ilvl="0">
      <w:lvlJc w:val="left"/>
      <w:lvlText w:val="(%1)"/>
      <w:numFmt w:val="lowerLetter"/>
      <w:start w:val="8"/>
    </w:lvl>
  </w:abstractNum>
  <w:abstractNum w:abstractNumId="60">
    <w:nsid w:val="2A155DBC"/>
    <w:multiLevelType w:val="hybridMultilevel"/>
    <w:lvl w:ilvl="0">
      <w:lvlJc w:val="left"/>
      <w:lvlText w:val="%1."/>
      <w:numFmt w:val="decimal"/>
      <w:start w:val="6"/>
    </w:lvl>
  </w:abstractNum>
  <w:abstractNum w:abstractNumId="61">
    <w:nsid w:val="1D9F6E5F"/>
    <w:multiLevelType w:val="hybridMultilevel"/>
    <w:lvl w:ilvl="0">
      <w:lvlJc w:val="left"/>
      <w:lvlText w:val="(%1)"/>
      <w:numFmt w:val="lowerLetter"/>
      <w:start w:val="1"/>
    </w:lvl>
  </w:abstractNum>
  <w:abstractNum w:abstractNumId="62">
    <w:nsid w:val="97E1B4E"/>
    <w:multiLevelType w:val="hybridMultilevel"/>
    <w:lvl w:ilvl="0">
      <w:lvlJc w:val="left"/>
      <w:lvlText w:val="(%1)"/>
      <w:numFmt w:val="lowerLetter"/>
      <w:start w:val="5"/>
    </w:lvl>
  </w:abstractNum>
  <w:abstractNum w:abstractNumId="63">
    <w:nsid w:val="51088277"/>
    <w:multiLevelType w:val="hybridMultilevel"/>
    <w:lvl w:ilvl="0">
      <w:lvlJc w:val="left"/>
      <w:lvlText w:val="(%1)"/>
      <w:numFmt w:val="lowerLetter"/>
      <w:start w:val="6"/>
    </w:lvl>
  </w:abstractNum>
  <w:abstractNum w:abstractNumId="64">
    <w:nsid w:val="1CA0C5FA"/>
    <w:multiLevelType w:val="hybridMultilevel"/>
    <w:lvl w:ilvl="0">
      <w:lvlJc w:val="left"/>
      <w:lvlText w:val="(%1)"/>
      <w:numFmt w:val="lowerRoman"/>
      <w:start w:val="1"/>
    </w:lvl>
  </w:abstractNum>
  <w:abstractNum w:abstractNumId="65">
    <w:nsid w:val="53584BCB"/>
    <w:multiLevelType w:val="hybridMultilevel"/>
    <w:lvl w:ilvl="0">
      <w:lvlJc w:val="left"/>
      <w:lvlText w:val="(%1)"/>
      <w:numFmt w:val="lowerLetter"/>
      <w:start w:val="10"/>
    </w:lvl>
  </w:abstractNum>
  <w:abstractNum w:abstractNumId="66">
    <w:nsid w:val="415E286C"/>
    <w:multiLevelType w:val="hybridMultilevel"/>
    <w:lvl w:ilvl="0">
      <w:lvlJc w:val="left"/>
      <w:lvlText w:val="(%1)"/>
      <w:numFmt w:val="lowerLetter"/>
      <w:start w:val="6"/>
    </w:lvl>
  </w:abstractNum>
  <w:abstractNum w:abstractNumId="67">
    <w:nsid w:val="7C58FD05"/>
    <w:multiLevelType w:val="hybridMultilevel"/>
    <w:lvl w:ilvl="0">
      <w:lvlJc w:val="left"/>
      <w:lvlText w:val="%1."/>
      <w:numFmt w:val="decimal"/>
      <w:start w:val="7"/>
    </w:lvl>
  </w:abstractNum>
  <w:abstractNum w:abstractNumId="68">
    <w:nsid w:val="23D86AAC"/>
    <w:multiLevelType w:val="hybridMultilevel"/>
    <w:lvl w:ilvl="0">
      <w:lvlJc w:val="left"/>
      <w:lvlText w:val="(%1)"/>
      <w:numFmt w:val="lowerLetter"/>
      <w:start w:val="2"/>
    </w:lvl>
  </w:abstractNum>
  <w:abstractNum w:abstractNumId="69">
    <w:nsid w:val="45E6D486"/>
    <w:multiLevelType w:val="hybridMultilevel"/>
    <w:lvl w:ilvl="0">
      <w:lvlJc w:val="left"/>
      <w:lvlText w:val="(%1)"/>
      <w:numFmt w:val="lowerLetter"/>
      <w:start w:val="4"/>
    </w:lvl>
  </w:abstractNum>
  <w:abstractNum w:abstractNumId="70">
    <w:nsid w:val="5C10FE21"/>
    <w:multiLevelType w:val="hybridMultilevel"/>
    <w:lvl w:ilvl="0">
      <w:lvlJc w:val="left"/>
      <w:lvlText w:val="(%1)"/>
      <w:numFmt w:val="lowerLetter"/>
      <w:start w:val="5"/>
    </w:lvl>
  </w:abstractNum>
  <w:abstractNum w:abstractNumId="71">
    <w:nsid w:val="E7FFA2B"/>
    <w:multiLevelType w:val="hybridMultilevel"/>
    <w:lvl w:ilvl="0">
      <w:lvlJc w:val="left"/>
      <w:lvlText w:val="%1."/>
      <w:numFmt w:val="decimal"/>
      <w:start w:val="9"/>
    </w:lvl>
  </w:abstractNum>
  <w:abstractNum w:abstractNumId="72">
    <w:nsid w:val="3C5991AA"/>
    <w:multiLevelType w:val="hybridMultilevel"/>
    <w:lvl w:ilvl="0">
      <w:lvlJc w:val="left"/>
      <w:lvlText w:val="%1."/>
      <w:numFmt w:val="decimal"/>
      <w:start w:val="10"/>
    </w:lvl>
  </w:abstractNum>
  <w:abstractNum w:abstractNumId="73">
    <w:nsid w:val="4BD8591A"/>
    <w:multiLevelType w:val="hybridMultilevel"/>
    <w:lvl w:ilvl="0">
      <w:lvlJc w:val="left"/>
      <w:lvlText w:val="%1."/>
      <w:numFmt w:val="decimal"/>
      <w:start w:val="11"/>
    </w:lvl>
  </w:abstractNum>
  <w:abstractNum w:abstractNumId="74">
    <w:nsid w:val="78DF6A55"/>
    <w:multiLevelType w:val="hybridMultilevel"/>
    <w:lvl w:ilvl="0">
      <w:lvlJc w:val="left"/>
      <w:lvlText w:val="(%1)"/>
      <w:numFmt w:val="lowerLetter"/>
      <w:start w:val="2"/>
    </w:lvl>
  </w:abstractNum>
  <w:abstractNum w:abstractNumId="75">
    <w:nsid w:val="39B7AAA2"/>
    <w:multiLevelType w:val="hybridMultilevel"/>
    <w:lvl w:ilvl="0">
      <w:lvlJc w:val="left"/>
      <w:lvlText w:val="%1."/>
      <w:numFmt w:val="decimal"/>
      <w:start w:val="12"/>
    </w:lvl>
  </w:abstractNum>
  <w:abstractNum w:abstractNumId="76">
    <w:nsid w:val="2B0D8DBE"/>
    <w:multiLevelType w:val="hybridMultilevel"/>
    <w:lvl w:ilvl="0">
      <w:lvlJc w:val="left"/>
      <w:lvlText w:val="%1"/>
      <w:numFmt w:val="lowerLetter"/>
      <w:start w:val="1"/>
    </w:lvl>
    <w:lvl w:ilvl="1">
      <w:lvlJc w:val="left"/>
      <w:lvlText w:val="%2."/>
      <w:numFmt w:val="decimal"/>
      <w:start w:val="14"/>
    </w:lvl>
  </w:abstractNum>
  <w:abstractNum w:abstractNumId="77">
    <w:nsid w:val="6C80EC70"/>
    <w:multiLevelType w:val="hybridMultilevel"/>
    <w:lvl w:ilvl="0">
      <w:lvlJc w:val="left"/>
      <w:lvlText w:val="(%1)"/>
      <w:numFmt w:val="lowerLetter"/>
      <w:start w:val="2"/>
    </w:lvl>
    <w:lvl w:ilvl="1">
      <w:lvlJc w:val="left"/>
      <w:lvlText w:val="%2"/>
      <w:numFmt w:val="decimal"/>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lowerRoman"/>
      <w:start w:val="1"/>
    </w:lvl>
  </w:abstractNum>
  <w:abstractNum w:abstractNumId="80">
    <w:nsid w:val="2C27173B"/>
    <w:multiLevelType w:val="hybridMultilevel"/>
    <w:lvl w:ilvl="0">
      <w:lvlJc w:val="left"/>
      <w:lvlText w:val="%1"/>
      <w:numFmt w:val="lowerRoman"/>
      <w:start w:val="1"/>
    </w:lvl>
    <w:lvl w:ilvl="1">
      <w:lvlJc w:val="left"/>
      <w:lvlText w:val="(%2)"/>
      <w:numFmt w:val="lowerRoman"/>
      <w:start w:val="3"/>
    </w:lvl>
  </w:abstractNum>
  <w:abstractNum w:abstractNumId="81">
    <w:nsid w:val="4C9B0904"/>
    <w:multiLevelType w:val="hybridMultilevel"/>
    <w:lvl w:ilvl="0">
      <w:lvlJc w:val="left"/>
      <w:lvlText w:val="(%1)"/>
      <w:numFmt w:val="lowerRoman"/>
      <w:start w:val="4"/>
    </w:lvl>
    <w:lvl w:ilvl="1">
      <w:lvlJc w:val="left"/>
      <w:lvlText w:val="%2"/>
      <w:numFmt w:val="lowerRoman"/>
      <w:start w:val="1"/>
    </w:lvl>
  </w:abstractNum>
  <w:abstractNum w:abstractNumId="82">
    <w:nsid w:val="6AA7B75C"/>
    <w:multiLevelType w:val="hybridMultilevel"/>
    <w:lvl w:ilvl="0">
      <w:lvlJc w:val="left"/>
      <w:lvlText w:val="(%1)"/>
      <w:numFmt w:val="lowerRoman"/>
      <w:start w:val="7"/>
    </w:lvl>
  </w:abstractNum>
  <w:abstractNum w:abstractNumId="83">
    <w:nsid w:val="1DF029D3"/>
    <w:multiLevelType w:val="hybridMultilevel"/>
    <w:lvl w:ilvl="0">
      <w:lvlJc w:val="left"/>
      <w:lvlText w:val="(%1)"/>
      <w:numFmt w:val="lowerRoman"/>
      <w:start w:val="1"/>
    </w:lvl>
  </w:abstractNum>
  <w:abstractNum w:abstractNumId="84">
    <w:nsid w:val="5675FF36"/>
    <w:multiLevelType w:val="hybridMultilevel"/>
    <w:lvl w:ilvl="0">
      <w:lvlJc w:val="left"/>
      <w:lvlText w:val="(%1)"/>
      <w:numFmt w:val="lowerRoman"/>
      <w:start w:val="3"/>
    </w:lvl>
  </w:abstractNum>
  <w:abstractNum w:abstractNumId="85">
    <w:nsid w:val="3DD15094"/>
    <w:multiLevelType w:val="hybridMultilevel"/>
    <w:lvl w:ilvl="0">
      <w:lvlJc w:val="left"/>
      <w:lvlText w:val="(%1)"/>
      <w:numFmt w:val="lowerRoman"/>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2"/>
    </w:lvl>
  </w:abstractNum>
  <w:abstractNum w:abstractNumId="88">
    <w:nsid w:val="5B25ACE2"/>
    <w:multiLevelType w:val="hybridMultilevel"/>
    <w:lvl w:ilvl="0">
      <w:lvlJc w:val="left"/>
      <w:lvlText w:val="(%1)"/>
      <w:numFmt w:val="lowerRoman"/>
      <w:start w:val="1"/>
    </w:lvl>
  </w:abstractNum>
  <w:abstractNum w:abstractNumId="89">
    <w:nsid w:val="175DFCF0"/>
    <w:multiLevelType w:val="hybridMultilevel"/>
    <w:lvl w:ilvl="0">
      <w:lvlJc w:val="left"/>
      <w:lvlText w:val="(%1)"/>
      <w:numFmt w:val="lowerRoman"/>
      <w:start w:val="1"/>
    </w:lvl>
  </w:abstractNum>
  <w:abstractNum w:abstractNumId="90">
    <w:nsid w:val="4F97E3E4"/>
    <w:multiLevelType w:val="hybridMultilevel"/>
    <w:lvl w:ilvl="0">
      <w:lvlJc w:val="left"/>
      <w:lvlText w:val="%1."/>
      <w:numFmt w:val="decimal"/>
      <w:start w:val="3"/>
    </w:lvl>
    <w:lvl w:ilvl="1">
      <w:lvlJc w:val="left"/>
      <w:lvlText w:val="(%2)"/>
      <w:numFmt w:val="lowerLetter"/>
      <w:start w:val="1"/>
    </w:lvl>
  </w:abstractNum>
  <w:abstractNum w:abstractNumId="91">
    <w:nsid w:val="53B0A9E"/>
    <w:multiLevelType w:val="hybridMultilevel"/>
    <w:lvl w:ilvl="0">
      <w:lvlJc w:val="left"/>
      <w:lvlText w:val="%1."/>
      <w:numFmt w:val="decimal"/>
      <w:start w:val="6"/>
    </w:lvl>
  </w:abstractNum>
  <w:abstractNum w:abstractNumId="92">
    <w:nsid w:val="34FD6B4F"/>
    <w:multiLevelType w:val="hybridMultilevel"/>
    <w:lvl w:ilvl="0">
      <w:lvlJc w:val="left"/>
      <w:lvlText w:val="(%1)"/>
      <w:numFmt w:val="lowerLetter"/>
      <w:start w:val="1"/>
    </w:lvl>
    <w:lvl w:ilvl="1">
      <w:lvlJc w:val="left"/>
      <w:lvlText w:val="(%2)"/>
      <w:numFmt w:val="lowerRoman"/>
      <w:start w:val="1"/>
    </w:lvl>
  </w:abstractNum>
  <w:abstractNum w:abstractNumId="93">
    <w:nsid w:val="5915FF32"/>
    <w:multiLevelType w:val="hybridMultilevel"/>
    <w:lvl w:ilvl="0">
      <w:lvlJc w:val="left"/>
      <w:lvlText w:val="%1"/>
      <w:numFmt w:val="upperLetter"/>
      <w:start w:val="1"/>
    </w:lvl>
    <w:lvl w:ilvl="1">
      <w:lvlJc w:val="left"/>
      <w:lvlText w:val="(%2)"/>
      <w:numFmt w:val="lowerRoman"/>
      <w:start w:val="8"/>
    </w:lvl>
  </w:abstractNum>
  <w:abstractNum w:abstractNumId="94">
    <w:nsid w:val="56438D15"/>
    <w:multiLevelType w:val="hybridMultilevel"/>
    <w:lvl w:ilvl="0">
      <w:lvlJc w:val="left"/>
      <w:lvlText w:val="(%1)"/>
      <w:numFmt w:val="upperLetter"/>
      <w:start w:val="2"/>
    </w:lvl>
    <w:lvl w:ilvl="1">
      <w:lvlJc w:val="left"/>
      <w:lvlText w:val="(%2)"/>
      <w:numFmt w:val="lowerRoman"/>
      <w:start w:val="9"/>
    </w:lvl>
  </w:abstractNum>
  <w:abstractNum w:abstractNumId="95">
    <w:nsid w:val="519E3149"/>
    <w:multiLevelType w:val="hybridMultilevel"/>
    <w:lvl w:ilvl="0">
      <w:lvlJc w:val="left"/>
      <w:lvlText w:val="%1"/>
      <w:numFmt w:val="lowerLetter"/>
      <w:start w:val="1"/>
    </w:lvl>
    <w:lvl w:ilvl="1">
      <w:lvlJc w:val="left"/>
      <w:lvlText w:val="(%2)"/>
      <w:numFmt w:val="lowerLetter"/>
      <w:start w:val="2"/>
    </w:lvl>
  </w:abstractNum>
  <w:abstractNum w:abstractNumId="96">
    <w:nsid w:val="2C6E4AFD"/>
    <w:multiLevelType w:val="hybridMultilevel"/>
    <w:lvl w:ilvl="0">
      <w:lvlJc w:val="left"/>
      <w:lvlText w:val="(%1)"/>
      <w:numFmt w:val="lowerLetter"/>
      <w:start w:val="35"/>
    </w:lvl>
    <w:lvl w:ilvl="1">
      <w:lvlJc w:val="left"/>
      <w:lvlText w:val="%2"/>
      <w:numFmt w:val="lowerLetter"/>
      <w:start w:val="1"/>
    </w:lvl>
  </w:abstractNum>
  <w:abstractNum w:abstractNumId="97">
    <w:nsid w:val="17A1B582"/>
    <w:multiLevelType w:val="hybridMultilevel"/>
    <w:lvl w:ilvl="0">
      <w:lvlJc w:val="left"/>
      <w:lvlText w:val="(%1)"/>
      <w:numFmt w:val="lowerLetter"/>
      <w:start w:val="4"/>
    </w:lvl>
  </w:abstractNum>
  <w:abstractNum w:abstractNumId="98">
    <w:nsid w:val="4DF72E4E"/>
    <w:multiLevelType w:val="hybridMultilevel"/>
    <w:lvl w:ilvl="0">
      <w:lvlJc w:val="left"/>
      <w:lvlText w:val="(%1)"/>
      <w:numFmt w:val="lowerLetter"/>
      <w:start w:val="6"/>
    </w:lvl>
  </w:abstractNum>
  <w:abstractNum w:abstractNumId="99">
    <w:nsid w:val="5046B5A9"/>
    <w:multiLevelType w:val="hybridMultilevel"/>
    <w:lvl w:ilvl="0">
      <w:lvlJc w:val="left"/>
      <w:lvlText w:val="%1."/>
      <w:numFmt w:val="decimal"/>
      <w:start w:val="7"/>
    </w:lvl>
  </w:abstractNum>
  <w:abstractNum w:abstractNumId="100">
    <w:nsid w:val="5D888A08"/>
    <w:multiLevelType w:val="hybridMultilevel"/>
    <w:lvl w:ilvl="0">
      <w:lvlJc w:val="left"/>
      <w:lvlText w:val="(%1)"/>
      <w:numFmt w:val="upperLetter"/>
      <w:start w:val="1"/>
    </w:lvl>
    <w:lvl w:ilvl="1">
      <w:lvlJc w:val="left"/>
      <w:lvlText w:val="%2."/>
      <w:numFmt w:val="decimal"/>
      <w:start w:val="9"/>
    </w:lvl>
  </w:abstractNum>
  <w:abstractNum w:abstractNumId="101">
    <w:nsid w:val="2A082C70"/>
    <w:multiLevelType w:val="hybridMultilevel"/>
    <w:lvl w:ilvl="0">
      <w:lvlJc w:val="left"/>
      <w:lvlText w:val="%1."/>
      <w:numFmt w:val="decimal"/>
      <w:start w:val="10"/>
    </w:lvl>
  </w:abstractNum>
  <w:abstractNum w:abstractNumId="102">
    <w:nsid w:val="5EC6AFD4"/>
    <w:multiLevelType w:val="hybridMultilevel"/>
    <w:lvl w:ilvl="0">
      <w:lvlJc w:val="left"/>
      <w:lvlText w:val="%1."/>
      <w:numFmt w:val="decimal"/>
      <w:start w:val="14"/>
    </w:lvl>
  </w:abstractNum>
  <w:abstractNum w:abstractNumId="103">
    <w:nsid w:val="19E21BB2"/>
    <w:multiLevelType w:val="hybridMultilevel"/>
    <w:lvl w:ilvl="0">
      <w:lvlJc w:val="left"/>
      <w:lvlText w:val="%1"/>
      <w:numFmt w:val="upperLetter"/>
      <w:start w:val="1"/>
    </w:lvl>
    <w:lvl w:ilvl="1">
      <w:lvlJc w:val="left"/>
      <w:lvlText w:val="%2."/>
      <w:numFmt w:val="decimal"/>
      <w:start w:val="18"/>
    </w:lvl>
  </w:abstractNum>
  <w:abstractNum w:abstractNumId="104">
    <w:nsid w:val="75E0858A"/>
    <w:multiLevelType w:val="hybridMultilevel"/>
    <w:lvl w:ilvl="0">
      <w:lvlJc w:val="left"/>
      <w:lvlText w:val="(%1)"/>
      <w:numFmt w:val="upperLetter"/>
      <w:start w:val="3"/>
    </w:lvl>
    <w:lvl w:ilvl="1">
      <w:lvlJc w:val="left"/>
      <w:lvlText w:val="%2."/>
      <w:numFmt w:val="decimal"/>
      <w:start w:val="19"/>
    </w:lvl>
  </w:abstractNum>
  <w:abstractNum w:abstractNumId="105">
    <w:nsid w:val="57A61A29"/>
    <w:multiLevelType w:val="hybridMultilevel"/>
    <w:lvl w:ilvl="0">
      <w:lvlJc w:val="left"/>
      <w:lvlText w:val="%1."/>
      <w:numFmt w:val="decimal"/>
      <w:start w:val="1"/>
    </w:lvl>
  </w:abstractNum>
  <w:abstractNum w:abstractNumId="106">
    <w:nsid w:val="5399C654"/>
    <w:multiLevelType w:val="hybridMultilevel"/>
    <w:lvl w:ilvl="0">
      <w:lvlJc w:val="left"/>
      <w:lvlText w:val="%1."/>
      <w:numFmt w:val="decimal"/>
      <w:start w:val="1"/>
    </w:lvl>
  </w:abstractNum>
  <w:abstractNum w:abstractNumId="107">
    <w:nsid w:val="20EE1348"/>
    <w:multiLevelType w:val="hybridMultilevel"/>
    <w:lvl w:ilvl="0">
      <w:lvlJc w:val="left"/>
      <w:lvlText w:val="%1."/>
      <w:numFmt w:val="decimal"/>
      <w:start w:val="2"/>
    </w:lvl>
  </w:abstractNum>
  <w:abstractNum w:abstractNumId="108">
    <w:nsid w:val="4427069A"/>
    <w:multiLevelType w:val="hybridMultilevel"/>
    <w:lvl w:ilvl="0">
      <w:lvlJc w:val="left"/>
      <w:lvlText w:val="%1."/>
      <w:numFmt w:val="decimal"/>
      <w:start w:val="3"/>
    </w:lvl>
  </w:abstractNum>
  <w:abstractNum w:abstractNumId="109">
    <w:nsid w:val="B37E80A"/>
    <w:multiLevelType w:val="hybridMultilevel"/>
    <w:lvl w:ilvl="0">
      <w:lvlJc w:val="left"/>
      <w:lvlText w:val="%1."/>
      <w:numFmt w:val="decimal"/>
      <w:start w:val="4"/>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decimal"/>
      <w:start w:val="5"/>
    </w:lvl>
  </w:abstractNum>
  <w:abstractNum w:abstractNumId="112">
    <w:nsid w:val="57D2F10E"/>
    <w:multiLevelType w:val="hybridMultilevel"/>
    <w:lvl w:ilvl="0">
      <w:lvlJc w:val="left"/>
      <w:lvlText w:val="(%1)"/>
      <w:numFmt w:val="lowerLetter"/>
      <w:start w:val="1"/>
    </w:lvl>
  </w:abstractNum>
  <w:abstractNum w:abstractNumId="113">
    <w:nsid w:val="BFFAE18"/>
    <w:multiLevelType w:val="hybridMultilevel"/>
    <w:lvl w:ilvl="0">
      <w:lvlJc w:val="left"/>
      <w:lvlText w:val="(%1)"/>
      <w:numFmt w:val="lowerLetter"/>
      <w:start w:val="2"/>
    </w:lvl>
  </w:abstractNum>
  <w:abstractNum w:abstractNumId="114">
    <w:nsid w:val="E3E47A8"/>
    <w:multiLevelType w:val="hybridMultilevel"/>
    <w:lvl w:ilvl="0">
      <w:lvlJc w:val="left"/>
      <w:lvlText w:val="%1."/>
      <w:numFmt w:val="decimal"/>
      <w:start w:val="6"/>
    </w:lvl>
  </w:abstractNum>
  <w:abstractNum w:abstractNumId="115">
    <w:nsid w:val="2E48F044"/>
    <w:multiLevelType w:val="hybridMultilevel"/>
    <w:lvl w:ilvl="0">
      <w:lvlJc w:val="left"/>
      <w:lvlText w:val="(%1)"/>
      <w:numFmt w:val="lowerLetter"/>
      <w:start w:val="1"/>
    </w:lvl>
    <w:lvl w:ilvl="1">
      <w:lvlJc w:val="left"/>
      <w:lvlText w:val="(%2)"/>
      <w:numFmt w:val="lowerRoman"/>
      <w:start w:val="1"/>
    </w:lvl>
  </w:abstractNum>
  <w:abstractNum w:abstractNumId="116">
    <w:nsid w:val="49D0FEAC"/>
    <w:multiLevelType w:val="hybridMultilevel"/>
    <w:lvl w:ilvl="0">
      <w:lvlJc w:val="left"/>
      <w:lvlText w:val="%1"/>
      <w:numFmt w:val="upperLetter"/>
      <w:start w:val="1"/>
    </w:lvl>
    <w:lvl w:ilvl="1">
      <w:lvlJc w:val="left"/>
      <w:lvlText w:val="(%2)"/>
      <w:numFmt w:val="lowerRoman"/>
      <w:start w:val="4"/>
    </w:lvl>
  </w:abstractNum>
  <w:abstractNum w:abstractNumId="117">
    <w:nsid w:val="4BEE5A5B"/>
    <w:multiLevelType w:val="hybridMultilevel"/>
    <w:lvl w:ilvl="0">
      <w:lvlJc w:val="left"/>
      <w:lvlText w:val="(%1)"/>
      <w:numFmt w:val="upperLetter"/>
      <w:start w:val="2"/>
    </w:lvl>
    <w:lvl w:ilvl="1">
      <w:lvlJc w:val="left"/>
      <w:lvlText w:val="%2"/>
      <w:numFmt w:val="lowerRoman"/>
      <w:start w:val="1"/>
    </w:lvl>
  </w:abstractNum>
  <w:abstractNum w:abstractNumId="118">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119">
    <w:nsid w:val="24F6A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20">
    <w:nsid w:val="634C574C"/>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121">
    <w:nsid w:val="24E99DD7"/>
    <w:multiLevelType w:val="hybridMultilevel"/>
    <w:lvl w:ilvl="0">
      <w:lvlJc w:val="left"/>
      <w:lvlText w:val="%1."/>
      <w:numFmt w:val="decimal"/>
      <w:start w:val="7"/>
    </w:lvl>
  </w:abstractNum>
  <w:abstractNum w:abstractNumId="122">
    <w:nsid w:val="2A31B62D"/>
    <w:multiLevelType w:val="hybridMultilevel"/>
    <w:lvl w:ilvl="0">
      <w:lvlJc w:val="left"/>
      <w:lvlText w:val="%1."/>
      <w:numFmt w:val="decimal"/>
      <w:start w:val="8"/>
    </w:lvl>
  </w:abstractNum>
  <w:abstractNum w:abstractNumId="123">
    <w:nsid w:val="1849C29B"/>
    <w:multiLevelType w:val="hybridMultilevel"/>
    <w:lvl w:ilvl="0">
      <w:lvlJc w:val="left"/>
      <w:lvlText w:val="%1."/>
      <w:numFmt w:val="decimal"/>
      <w:start w:val="11"/>
    </w:lvl>
  </w:abstractNum>
  <w:abstractNum w:abstractNumId="124">
    <w:nsid w:val="7DFF9D09"/>
    <w:multiLevelType w:val="hybridMultilevel"/>
    <w:lvl w:ilvl="0">
      <w:lvlJc w:val="left"/>
      <w:lvlText w:val="%1."/>
      <w:numFmt w:val="decimal"/>
      <w:start w:val="13"/>
    </w:lvl>
  </w:abstractNum>
  <w:abstractNum w:abstractNumId="125">
    <w:nsid w:val="754342"/>
    <w:multiLevelType w:val="hybridMultilevel"/>
    <w:lvl w:ilvl="0">
      <w:lvlJc w:val="left"/>
      <w:lvlText w:val="%1."/>
      <w:numFmt w:val="decimal"/>
      <w:start w:val="14"/>
    </w:lvl>
  </w:abstractNum>
  <w:abstractNum w:abstractNumId="126">
    <w:nsid w:val="69E7F3E5"/>
    <w:multiLevelType w:val="hybridMultilevel"/>
    <w:lvl w:ilvl="0">
      <w:lvlJc w:val="left"/>
      <w:lvlText w:val="%1."/>
      <w:numFmt w:val="decimal"/>
      <w:start w:val="17"/>
    </w:lvl>
  </w:abstractNum>
  <w:abstractNum w:abstractNumId="127">
    <w:nsid w:val="2A6DE806"/>
    <w:multiLevelType w:val="hybridMultilevel"/>
    <w:lvl w:ilvl="0">
      <w:lvlJc w:val="left"/>
      <w:lvlText w:val="%1"/>
      <w:numFmt w:val="upperLetter"/>
      <w:start w:val="1"/>
    </w:lvl>
    <w:lvl w:ilvl="1">
      <w:lvlJc w:val="left"/>
      <w:lvlText w:val="%2."/>
      <w:numFmt w:val="decimal"/>
      <w:start w:val="18"/>
    </w:lvl>
  </w:abstractNum>
  <w:abstractNum w:abstractNumId="128">
    <w:nsid w:val="1816F8C4"/>
    <w:multiLevelType w:val="hybridMultilevel"/>
    <w:lvl w:ilvl="0">
      <w:lvlJc w:val="left"/>
      <w:lvlText w:val="(%1)"/>
      <w:numFmt w:val="upperLetter"/>
      <w:start w:val="3"/>
    </w:lvl>
    <w:lvl w:ilvl="1">
      <w:lvlJc w:val="left"/>
      <w:lvlText w:val="%2."/>
      <w:numFmt w:val="decimal"/>
      <w:start w:val="20"/>
    </w:lvl>
  </w:abstractNum>
  <w:abstractNum w:abstractNumId="129">
    <w:nsid w:val="37DF2233"/>
    <w:multiLevelType w:val="hybridMultilevel"/>
    <w:lvl w:ilvl="0">
      <w:lvlJc w:val="left"/>
      <w:lvlText w:val="%1."/>
      <w:numFmt w:val="decimal"/>
      <w:start w:val="22"/>
    </w:lvl>
  </w:abstractNum>
  <w:abstractNum w:abstractNumId="130">
    <w:nsid w:val="7AB49DAF"/>
    <w:multiLevelType w:val="hybridMultilevel"/>
    <w:lvl w:ilvl="0">
      <w:lvlJc w:val="left"/>
      <w:lvlText w:val="%1."/>
      <w:numFmt w:val="decimal"/>
      <w:start w:val="1"/>
    </w:lvl>
  </w:abstractNum>
  <w:abstractNum w:abstractNumId="131">
    <w:nsid w:val="759F82CD"/>
    <w:multiLevelType w:val="hybridMultilevel"/>
    <w:lvl w:ilvl="0">
      <w:lvlJc w:val="left"/>
      <w:lvlText w:val="%1."/>
      <w:numFmt w:val="decimal"/>
      <w:start w:val="1"/>
    </w:lvl>
  </w:abstractNum>
  <w:abstractNum w:abstractNumId="132">
    <w:nsid w:val="61E74EA3"/>
    <w:multiLevelType w:val="hybridMultilevel"/>
    <w:lvl w:ilvl="0">
      <w:lvlJc w:val="left"/>
      <w:lvlText w:val="%1."/>
      <w:numFmt w:val="decimal"/>
      <w:start w:val="1"/>
    </w:lvl>
  </w:abstractNum>
  <w:abstractNum w:abstractNumId="133">
    <w:nsid w:val="597B4D84"/>
    <w:multiLevelType w:val="hybridMultilevel"/>
    <w:lvl w:ilvl="0">
      <w:lvlJc w:val="left"/>
      <w:lvlText w:val="%1."/>
      <w:numFmt w:val="decimal"/>
      <w:start w:val="2"/>
    </w:lvl>
  </w:abstractNum>
  <w:abstractNum w:abstractNumId="134">
    <w:nsid w:val="F819E7F"/>
    <w:multiLevelType w:val="hybridMultilevel"/>
    <w:lvl w:ilvl="0">
      <w:lvlJc w:val="left"/>
      <w:lvlText w:val="(%1)"/>
      <w:numFmt w:val="lowerLetter"/>
      <w:start w:val="2"/>
    </w:lvl>
  </w:abstractNum>
  <w:abstractNum w:abstractNumId="135">
    <w:nsid w:val="57C7D42D"/>
    <w:multiLevelType w:val="hybridMultilevel"/>
    <w:lvl w:ilvl="0">
      <w:lvlJc w:val="left"/>
      <w:lvlText w:val="%1."/>
      <w:numFmt w:val="decimal"/>
      <w:start w:val="3"/>
    </w:lvl>
  </w:abstractNum>
  <w:abstractNum w:abstractNumId="136">
    <w:nsid w:val="312167AD"/>
    <w:multiLevelType w:val="hybridMultilevel"/>
    <w:lvl w:ilvl="0">
      <w:lvlJc w:val="left"/>
      <w:lvlText w:val="(%1)"/>
      <w:numFmt w:val="lowerLetter"/>
      <w:start w:val="1"/>
    </w:lvl>
  </w:abstractNum>
  <w:abstractNum w:abstractNumId="137">
    <w:nsid w:val="631B64D4"/>
    <w:multiLevelType w:val="hybridMultilevel"/>
    <w:lvl w:ilvl="0">
      <w:lvlJc w:val="left"/>
      <w:lvlText w:val="%1."/>
      <w:numFmt w:val="decimal"/>
      <w:start w:val="5"/>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2"/>
    </w:lvl>
  </w:abstractNum>
  <w:abstractNum w:abstractNumId="140">
    <w:nsid w:val="6E534CDE"/>
    <w:multiLevelType w:val="hybridMultilevel"/>
    <w:lvl w:ilvl="0">
      <w:lvlJc w:val="left"/>
      <w:lvlText w:val="%1."/>
      <w:numFmt w:val="decimal"/>
      <w:start w:val="6"/>
    </w:lvl>
  </w:abstractNum>
  <w:abstractNum w:abstractNumId="141">
    <w:nsid w:val="1A0DDE32"/>
    <w:multiLevelType w:val="hybridMultilevel"/>
    <w:lvl w:ilvl="0">
      <w:lvlJc w:val="left"/>
      <w:lvlText w:val="(%1)"/>
      <w:numFmt w:val="lowerLetter"/>
      <w:start w:val="1"/>
    </w:lvl>
    <w:lvl w:ilvl="1">
      <w:lvlJc w:val="left"/>
      <w:lvlText w:val="(%2)"/>
      <w:numFmt w:val="lowerLetter"/>
      <w:start w:val="9"/>
    </w:lvl>
  </w:abstractNum>
  <w:abstractNum w:abstractNumId="142">
    <w:nsid w:val="65968C1C"/>
    <w:multiLevelType w:val="hybridMultilevel"/>
    <w:lvl w:ilvl="0">
      <w:lvlJc w:val="left"/>
      <w:lvlText w:val="(%1)"/>
      <w:numFmt w:val="lowerRoman"/>
      <w:start w:val="2"/>
    </w:lvl>
  </w:abstractNum>
  <w:abstractNum w:abstractNumId="143">
    <w:nsid w:val="46263D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144">
    <w:nsid w:val="260D8C4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45">
    <w:nsid w:val="73D4D3C4"/>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46">
    <w:nsid w:val="746F2E30"/>
    <w:multiLevelType w:val="hybridMultilevel"/>
    <w:lvl w:ilvl="0">
      <w:lvlJc w:val="left"/>
      <w:lvlText w:val="(%1)"/>
      <w:numFmt w:val="lowerLetter"/>
      <w:start w:val="4"/>
    </w:lvl>
  </w:abstractNum>
  <w:abstractNum w:abstractNumId="147">
    <w:nsid w:val="6FDE8AF6"/>
    <w:multiLevelType w:val="hybridMultilevel"/>
    <w:lvl w:ilvl="0">
      <w:lvlJc w:val="left"/>
      <w:lvlText w:val="(%1)"/>
      <w:numFmt w:val="lowerLetter"/>
      <w:start w:val="6"/>
    </w:lvl>
  </w:abstractNum>
  <w:abstractNum w:abstractNumId="148">
    <w:nsid w:val="3FC32E20"/>
    <w:multiLevelType w:val="hybridMultilevel"/>
    <w:lvl w:ilvl="0">
      <w:lvlJc w:val="left"/>
      <w:lvlText w:val="%1."/>
      <w:numFmt w:val="decimal"/>
      <w:start w:val="7"/>
    </w:lvl>
  </w:abstractNum>
  <w:abstractNum w:abstractNumId="149">
    <w:nsid w:val="49C0E823"/>
    <w:multiLevelType w:val="hybridMultilevel"/>
    <w:lvl w:ilvl="0">
      <w:lvlJc w:val="left"/>
      <w:lvlText w:val="%1."/>
      <w:numFmt w:val="decimal"/>
      <w:start w:val="9"/>
    </w:lvl>
  </w:abstractNum>
  <w:abstractNum w:abstractNumId="150">
    <w:nsid w:val="14D53685"/>
    <w:multiLevelType w:val="hybridMultilevel"/>
    <w:lvl w:ilvl="0">
      <w:lvlJc w:val="left"/>
      <w:lvlText w:val="%1."/>
      <w:numFmt w:val="decimal"/>
      <w:start w:val="14"/>
    </w:lvl>
  </w:abstractNum>
  <w:abstractNum w:abstractNumId="151">
    <w:nsid w:val="230F856C"/>
    <w:multiLevelType w:val="hybridMultilevel"/>
    <w:lvl w:ilvl="0">
      <w:lvlJc w:val="left"/>
      <w:lvlText w:val="%1."/>
      <w:numFmt w:val="decimal"/>
      <w:start w:val="17"/>
    </w:lvl>
  </w:abstractNum>
  <w:abstractNum w:abstractNumId="152">
    <w:nsid w:val="6EAA85FB"/>
    <w:multiLevelType w:val="hybridMultilevel"/>
    <w:lvl w:ilvl="0">
      <w:lvlJc w:val="left"/>
      <w:lvlText w:val="%1"/>
      <w:numFmt w:val="upperLetter"/>
      <w:start w:val="1"/>
    </w:lvl>
    <w:lvl w:ilvl="1">
      <w:lvlJc w:val="left"/>
      <w:lvlText w:val="%2."/>
      <w:numFmt w:val="decimal"/>
      <w:start w:val="18"/>
    </w:lvl>
  </w:abstractNum>
  <w:abstractNum w:abstractNumId="153">
    <w:nsid w:val="3F06ECB2"/>
    <w:multiLevelType w:val="hybridMultilevel"/>
    <w:lvl w:ilvl="0">
      <w:lvlJc w:val="left"/>
      <w:lvlText w:val="(%1)"/>
      <w:numFmt w:val="upperLetter"/>
      <w:start w:val="3"/>
    </w:lvl>
    <w:lvl w:ilvl="1">
      <w:lvlJc w:val="left"/>
      <w:lvlText w:val="%2"/>
      <w:numFmt w:val="decimal"/>
      <w:start w:val="1"/>
    </w:lvl>
  </w:abstractNum>
  <w:abstractNum w:abstractNumId="154">
    <w:nsid w:val="3B594807"/>
    <w:multiLevelType w:val="hybridMultilevel"/>
    <w:lvl w:ilvl="0">
      <w:lvlJc w:val="left"/>
      <w:lvlText w:val="%1."/>
      <w:numFmt w:val="decimal"/>
      <w:start w:val="20"/>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2019-12-10T05:30:33Z</dcterms:created>
  <dcterms:modified xsi:type="dcterms:W3CDTF">2019-12-10T05:30:33Z</dcterms:modified>
</cp:coreProperties>
</file>