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080"/>
        <w:spacing w:after="0"/>
        <w:rPr>
          <w:sz w:val="20"/>
          <w:szCs w:val="20"/>
          <w:color w:val="auto"/>
        </w:rPr>
      </w:pPr>
      <w:r>
        <w:rPr>
          <w:rFonts w:ascii="Arial" w:cs="Arial" w:eastAsia="Arial" w:hAnsi="Arial"/>
          <w:sz w:val="43"/>
          <w:szCs w:val="43"/>
          <w:b w:val="1"/>
          <w:bCs w:val="1"/>
          <w:color w:val="auto"/>
        </w:rPr>
        <w:t>SCHEDULE 14A</w:t>
      </w:r>
    </w:p>
    <w:p>
      <w:pPr>
        <w:spacing w:after="0" w:line="178"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Proxy Statement Pursuant to Section 14(a) of</w:t>
      </w:r>
    </w:p>
    <w:p>
      <w:pPr>
        <w:spacing w:after="0" w:line="27" w:lineRule="exact"/>
        <w:rPr>
          <w:sz w:val="24"/>
          <w:szCs w:val="24"/>
          <w:color w:val="auto"/>
        </w:rPr>
      </w:pPr>
    </w:p>
    <w:p>
      <w:pPr>
        <w:jc w:val="center"/>
        <w:ind w:right="-1080"/>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 w:lineRule="exact"/>
        <w:rPr>
          <w:sz w:val="24"/>
          <w:szCs w:val="24"/>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1"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 w:lineRule="exact"/>
        <w:rPr>
          <w:sz w:val="24"/>
          <w:szCs w:val="24"/>
          <w:color w:val="auto"/>
        </w:rPr>
      </w:pPr>
    </w:p>
    <w:p>
      <w:pPr>
        <w:ind w:left="1080" w:hanging="107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6"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66040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3780"/>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2"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19"/>
          </w:cols>
          <w:pgMar w:left="340" w:top="1189" w:right="1440" w:bottom="1440" w:gutter="0" w:footer="0" w:header="0"/>
        </w:sectPr>
      </w:pPr>
    </w:p>
    <w:bookmarkStart w:id="1" w:name="page2"/>
    <w:bookmarkEnd w:id="1"/>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60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706120</wp:posOffset>
            </wp:positionV>
            <wp:extent cx="149987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jc w:val="center"/>
        <w:ind w:left="360" w:right="540"/>
        <w:spacing w:after="0" w:line="252" w:lineRule="auto"/>
        <w:rPr>
          <w:sz w:val="20"/>
          <w:szCs w:val="20"/>
          <w:color w:val="auto"/>
        </w:rPr>
      </w:pPr>
      <w:r>
        <w:rPr>
          <w:rFonts w:ascii="Arial" w:cs="Arial" w:eastAsia="Arial" w:hAnsi="Arial"/>
          <w:sz w:val="40"/>
          <w:szCs w:val="40"/>
          <w:b w:val="1"/>
          <w:bCs w:val="1"/>
          <w:color w:val="auto"/>
        </w:rPr>
        <w:t>Notice of Fiscal 2022 Annual Meeting of Shareholders January 12, 2023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32"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NOTICE IS HEREBY GIVEN that the Fiscal 2022 Annual Meeting of Shareholders of Micron Technology, Inc., a Delaware corporation, will be held virtually on January 12, 2023, at 9:00 a.m., Pacific Standard Time, for the purposes listed below. As used herein, “we,” “our,” “us,” “the Company,” and similar terms refer to Micron Technology, Inc., unless the context indicates otherwise.</w:t>
      </w:r>
    </w:p>
    <w:p>
      <w:pPr>
        <w:spacing w:after="0" w:line="20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eight directors to serve for the ensuing year and until their successors are elected and qualified;</w:t>
      </w:r>
    </w:p>
    <w:p>
      <w:pPr>
        <w:spacing w:after="0" w:line="21"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basis the compensation of our Named Executive Officers;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our Amended and Restated 2007 Equity Incentive Plan to increase the shares reserved for issuance thereunder by 50 million;</w:t>
      </w:r>
    </w:p>
    <w:p>
      <w:pPr>
        <w:spacing w:after="0" w:line="14" w:lineRule="exact"/>
        <w:rPr>
          <w:rFonts w:ascii="Arial" w:cs="Arial" w:eastAsia="Arial" w:hAnsi="Arial"/>
          <w:sz w:val="16"/>
          <w:szCs w:val="16"/>
          <w:color w:val="auto"/>
        </w:rPr>
      </w:pPr>
    </w:p>
    <w:p>
      <w:pPr>
        <w:ind w:left="660" w:right="140" w:hanging="652"/>
        <w:spacing w:after="0" w:line="255"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our Independent Registered Public Accounting Firm for the fiscal year ending August 31, 2023; and</w:t>
      </w: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Only shareholders of record at the close of business on November 14, 2022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for the ten-day period immediately preceding the date of the meeting, at our headquarters at 8000 S. Federal Way, Boise, Idaho 83716.</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unless otherwise requested, we are sending our shareholders a notice regarding the availability of this Proxy Statement, our Annual Report on Form 10-K for fiscal 2022,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t>
      </w:r>
      <w:r>
        <w:rPr>
          <w:rFonts w:ascii="Arial" w:cs="Arial" w:eastAsia="Arial" w:hAnsi="Arial"/>
          <w:sz w:val="16"/>
          <w:szCs w:val="16"/>
          <w:i w:val="1"/>
          <w:iCs w:val="1"/>
          <w:color w:val="auto"/>
        </w:rPr>
        <w:t>www.virtualshareholdermeeting.com/MU2022</w:t>
      </w:r>
      <w:r>
        <w:rPr>
          <w:rFonts w:ascii="Arial" w:cs="Arial" w:eastAsia="Arial" w:hAnsi="Arial"/>
          <w:sz w:val="16"/>
          <w:szCs w:val="16"/>
          <w:color w:val="auto"/>
        </w:rPr>
        <w:t>, where you will also be able to submit questions and vote online. You will not be able to attend the meeting at a physical location.</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To ensure your representation at the meeting, you are urged to vote, whether or not you attend the meeting.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using the virtual meeting platform even if they have already submitted their proxy, and any previous votes that were submitted by the shareholder, whether by Internet, telephone, or mail, will be superseded by the vote that such shareholder casts at the meeting.</w:t>
      </w:r>
    </w:p>
    <w:p>
      <w:pPr>
        <w:spacing w:after="0" w:line="23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220"/>
          </w:cols>
          <w:pgMar w:left="320" w:top="1440" w:right="35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Boise, Idaho</w:t>
      </w:r>
    </w:p>
    <w:p>
      <w:pPr>
        <w:ind w:left="20"/>
        <w:spacing w:after="0"/>
        <w:rPr>
          <w:sz w:val="20"/>
          <w:szCs w:val="20"/>
          <w:color w:val="auto"/>
        </w:rPr>
      </w:pPr>
      <w:r>
        <w:rPr>
          <w:rFonts w:ascii="Arial" w:cs="Arial" w:eastAsia="Arial" w:hAnsi="Arial"/>
          <w:sz w:val="17"/>
          <w:szCs w:val="17"/>
          <w:b w:val="1"/>
          <w:bCs w:val="1"/>
          <w:color w:val="auto"/>
        </w:rPr>
        <w:t>December 2,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Rob Beard</w:t>
      </w:r>
    </w:p>
    <w:p>
      <w:pPr>
        <w:spacing w:after="0"/>
        <w:rPr>
          <w:sz w:val="20"/>
          <w:szCs w:val="20"/>
          <w:color w:val="auto"/>
        </w:rPr>
      </w:pPr>
      <w:r>
        <w:rPr>
          <w:rFonts w:ascii="Arial" w:cs="Arial" w:eastAsia="Arial" w:hAnsi="Arial"/>
          <w:sz w:val="17"/>
          <w:szCs w:val="17"/>
          <w:color w:val="auto"/>
        </w:rPr>
        <w:t>Senior Vice President, General Counsel and Corporate</w:t>
      </w:r>
    </w:p>
    <w:p>
      <w:pPr>
        <w:spacing w:after="0" w:line="7" w:lineRule="exact"/>
        <w:rPr>
          <w:sz w:val="20"/>
          <w:szCs w:val="20"/>
          <w:color w:val="auto"/>
        </w:rPr>
      </w:pPr>
    </w:p>
    <w:p>
      <w:pPr>
        <w:sectPr>
          <w:pgSz w:w="11900" w:h="16838" w:orient="portrait"/>
          <w:cols w:equalWidth="0" w:num="2">
            <w:col w:w="5620" w:space="720"/>
            <w:col w:w="4880"/>
          </w:cols>
          <w:pgMar w:left="320" w:top="1440" w:right="359" w:bottom="1440" w:gutter="0" w:footer="0" w:header="0"/>
          <w:type w:val="continuous"/>
        </w:sectPr>
      </w:pPr>
    </w:p>
    <w:p>
      <w:pPr>
        <w:ind w:left="634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YOUR VOTE IS IMPORTANT. PLEASE SUBMIT YOUR PROXY PROMPTLY.</w:t>
      </w:r>
    </w:p>
    <w:p>
      <w:pPr>
        <w:sectPr>
          <w:pgSz w:w="11900" w:h="16838" w:orient="portrait"/>
          <w:cols w:equalWidth="0" w:num="1">
            <w:col w:w="11220"/>
          </w:cols>
          <w:pgMar w:left="320" w:top="144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00" w:type="dxa"/>
            <w:vAlign w:val="bottom"/>
          </w:tcPr>
          <w:p>
            <w:pPr>
              <w:ind w:left="1860"/>
              <w:spacing w:after="0"/>
              <w:rPr>
                <w:sz w:val="20"/>
                <w:szCs w:val="20"/>
                <w:color w:val="auto"/>
              </w:rPr>
            </w:pPr>
            <w:r>
              <w:rPr>
                <w:rFonts w:ascii="Arial" w:cs="Arial" w:eastAsia="Arial" w:hAnsi="Arial"/>
                <w:sz w:val="18"/>
                <w:szCs w:val="18"/>
                <w:b w:val="1"/>
                <w:bCs w:val="1"/>
                <w:color w:val="auto"/>
              </w:rPr>
              <w:t>Proxy Section</w:t>
            </w:r>
          </w:p>
        </w:tc>
        <w:tc>
          <w:tcPr>
            <w:tcW w:w="66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4540" w:type="dxa"/>
            <w:vAlign w:val="bottom"/>
          </w:tcPr>
          <w:p>
            <w:pPr>
              <w:ind w:left="1000"/>
              <w:spacing w:after="0"/>
              <w:rPr>
                <w:sz w:val="20"/>
                <w:szCs w:val="20"/>
                <w:color w:val="auto"/>
              </w:rPr>
            </w:pPr>
            <w:r>
              <w:rPr>
                <w:rFonts w:ascii="Arial" w:cs="Arial" w:eastAsia="Arial" w:hAnsi="Arial"/>
                <w:sz w:val="18"/>
                <w:szCs w:val="18"/>
                <w:b w:val="1"/>
                <w:bCs w:val="1"/>
                <w:color w:val="auto"/>
              </w:rPr>
              <w:t>Frequently Requested Information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5000" w:type="dxa"/>
            <w:vAlign w:val="bottom"/>
            <w:tcBorders>
              <w:top w:val="single" w:sz="8" w:color="0090DA"/>
            </w:tcBorders>
          </w:tcPr>
          <w:p>
            <w:pPr>
              <w:spacing w:after="0"/>
              <w:rPr>
                <w:sz w:val="2"/>
                <w:szCs w:val="2"/>
                <w:color w:val="auto"/>
              </w:rPr>
            </w:pPr>
          </w:p>
        </w:tc>
        <w:tc>
          <w:tcPr>
            <w:tcW w:w="5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Information Concerning Solicitation and Voting</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DDDDD"/>
          </w:tcPr>
          <w:p>
            <w:pPr>
              <w:spacing w:after="0"/>
              <w:rPr>
                <w:sz w:val="23"/>
                <w:szCs w:val="23"/>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Auditor Fees</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Proposal 1 – Election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Beneficial Ownership Table</w:t>
            </w: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Certain Relationships and Related Transactions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Board Diversity Matrix</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Director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Board Leadership</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Executive Compensation and Related Information</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CEO Pay Ratio</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Proposal 2 – Say-on-Pay</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Compensation Consultant</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Compensation Discussion and Analysis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Director Biographies</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Compensation Committee Report</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Director Independence</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Summary Compensation Table</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Director Skills and Experience Matrix</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Grants of Plan-Based Awards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Director Stock Ownership Guidelines</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Outstanding Equity Awards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Director Tenure</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Option Exercises and Stock Vested</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Diversity, Equality, and Inclusion</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Nonqualified Deferred Compensation</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Financial Performance</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Pay Ratio</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Human Capital and Culture</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Potential Payments Upon Termination or Change in Control</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Pay-for-Performance</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Equity Compensation Plan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Peer Group</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Delinquent Section 16(a) Reports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Perks</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4"/>
        </w:trPr>
        <w:tc>
          <w:tcPr>
            <w:tcW w:w="5000" w:type="dxa"/>
            <w:vAlign w:val="bottom"/>
          </w:tcPr>
          <w:p>
            <w:pPr>
              <w:ind w:left="20"/>
              <w:spacing w:after="0" w:line="183" w:lineRule="exact"/>
              <w:rPr>
                <w:sz w:val="20"/>
                <w:szCs w:val="20"/>
                <w:color w:val="auto"/>
              </w:rPr>
            </w:pPr>
            <w:r>
              <w:rPr>
                <w:rFonts w:ascii="Arial" w:cs="Arial" w:eastAsia="Arial" w:hAnsi="Arial"/>
                <w:sz w:val="18"/>
                <w:szCs w:val="18"/>
                <w:color w:val="auto"/>
              </w:rPr>
              <w:t>Proposal 3 - Approval of Amended and Restated 2007 Equity</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5"/>
                <w:szCs w:val="15"/>
                <w:color w:val="auto"/>
              </w:rPr>
            </w:pPr>
          </w:p>
        </w:tc>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Related Party Transactions</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5"/>
        </w:trPr>
        <w:tc>
          <w:tcPr>
            <w:tcW w:w="5000" w:type="dxa"/>
            <w:vAlign w:val="bottom"/>
          </w:tcPr>
          <w:p>
            <w:pPr>
              <w:ind w:left="20"/>
              <w:spacing w:after="0"/>
              <w:rPr>
                <w:sz w:val="20"/>
                <w:szCs w:val="20"/>
                <w:color w:val="auto"/>
              </w:rPr>
            </w:pPr>
            <w:r>
              <w:rPr>
                <w:rFonts w:ascii="Arial" w:cs="Arial" w:eastAsia="Arial" w:hAnsi="Arial"/>
                <w:sz w:val="18"/>
                <w:szCs w:val="18"/>
                <w:color w:val="auto"/>
              </w:rPr>
              <w:t>Incentive Plan</w:t>
            </w: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000" w:type="dxa"/>
            <w:vAlign w:val="bottom"/>
            <w:shd w:val="clear" w:color="auto" w:fill="DDDDDD"/>
          </w:tcPr>
          <w:p>
            <w:pPr>
              <w:ind w:left="20"/>
              <w:spacing w:after="0" w:line="183" w:lineRule="exact"/>
              <w:rPr>
                <w:sz w:val="20"/>
                <w:szCs w:val="20"/>
                <w:color w:val="auto"/>
              </w:rPr>
            </w:pPr>
            <w:r>
              <w:rPr>
                <w:rFonts w:ascii="Arial" w:cs="Arial" w:eastAsia="Arial" w:hAnsi="Arial"/>
                <w:sz w:val="18"/>
                <w:szCs w:val="18"/>
                <w:color w:val="auto"/>
              </w:rPr>
              <w:t>Approval of 50 Million Additional Shares of Common Stock</w:t>
            </w:r>
          </w:p>
        </w:tc>
        <w:tc>
          <w:tcPr>
            <w:tcW w:w="56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DDDDD"/>
          </w:tcPr>
          <w:p>
            <w:pPr>
              <w:spacing w:after="0"/>
              <w:rPr>
                <w:sz w:val="15"/>
                <w:szCs w:val="15"/>
                <w:color w:val="auto"/>
              </w:rPr>
            </w:pPr>
          </w:p>
        </w:tc>
        <w:tc>
          <w:tcPr>
            <w:tcW w:w="4540" w:type="dxa"/>
            <w:vAlign w:val="bottom"/>
            <w:vMerge w:val="restart"/>
            <w:shd w:val="clear" w:color="auto" w:fill="DDDDDD"/>
          </w:tcPr>
          <w:p>
            <w:pPr>
              <w:ind w:left="20"/>
              <w:spacing w:after="0"/>
              <w:rPr>
                <w:sz w:val="20"/>
                <w:szCs w:val="20"/>
                <w:color w:val="auto"/>
              </w:rPr>
            </w:pPr>
            <w:r>
              <w:rPr>
                <w:rFonts w:ascii="Arial" w:cs="Arial" w:eastAsia="Arial" w:hAnsi="Arial"/>
                <w:sz w:val="18"/>
                <w:szCs w:val="18"/>
                <w:color w:val="auto"/>
              </w:rPr>
              <w:t>Sustainability</w:t>
            </w:r>
          </w:p>
        </w:tc>
        <w:tc>
          <w:tcPr>
            <w:tcW w:w="10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 Issuance under the 2007 Plan</w:t>
            </w:r>
          </w:p>
        </w:tc>
        <w:tc>
          <w:tcPr>
            <w:tcW w:w="560" w:type="dxa"/>
            <w:vAlign w:val="bottom"/>
            <w:vMerge w:val="continue"/>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540" w:type="dxa"/>
            <w:vAlign w:val="bottom"/>
            <w:vMerge w:val="continue"/>
            <w:shd w:val="clear" w:color="auto" w:fill="DDDDDD"/>
          </w:tcPr>
          <w:p>
            <w:pPr>
              <w:spacing w:after="0"/>
              <w:rPr>
                <w:sz w:val="20"/>
                <w:szCs w:val="20"/>
                <w:color w:val="auto"/>
              </w:rPr>
            </w:pPr>
          </w:p>
        </w:tc>
        <w:tc>
          <w:tcPr>
            <w:tcW w:w="104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Important Provisions of the 2007 Plan</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00" w:type="dxa"/>
            <w:vAlign w:val="bottom"/>
            <w:shd w:val="clear" w:color="auto" w:fill="DDDDDD"/>
          </w:tcPr>
          <w:p>
            <w:pPr>
              <w:ind w:left="20"/>
              <w:spacing w:after="0" w:line="183" w:lineRule="exact"/>
              <w:rPr>
                <w:sz w:val="20"/>
                <w:szCs w:val="20"/>
                <w:color w:val="auto"/>
              </w:rPr>
            </w:pPr>
            <w:r>
              <w:rPr>
                <w:rFonts w:ascii="Arial" w:cs="Arial" w:eastAsia="Arial" w:hAnsi="Arial"/>
                <w:sz w:val="18"/>
                <w:szCs w:val="18"/>
                <w:color w:val="auto"/>
              </w:rPr>
              <w:t>Summary of the 2007 Plan as Proposed to be Amended and</w:t>
            </w:r>
          </w:p>
        </w:tc>
        <w:tc>
          <w:tcPr>
            <w:tcW w:w="56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DDDDD"/>
          </w:tcPr>
          <w:p>
            <w:pPr>
              <w:spacing w:after="0"/>
              <w:rPr>
                <w:sz w:val="15"/>
                <w:szCs w:val="15"/>
                <w:color w:val="auto"/>
              </w:rPr>
            </w:pPr>
          </w:p>
        </w:tc>
        <w:tc>
          <w:tcPr>
            <w:tcW w:w="454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Restated</w:t>
            </w:r>
          </w:p>
        </w:tc>
        <w:tc>
          <w:tcPr>
            <w:tcW w:w="560" w:type="dxa"/>
            <w:vAlign w:val="bottom"/>
            <w:vMerge w:val="continue"/>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5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Certain Federal Tax Effects</w:t>
            </w: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New Plan Benefits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Audit Committee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Proposal 4 – Ratification of Appointment of PwC</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Principal Shareholders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Notice of Electronic Availability of Proxy Materials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Incorporation by Reference of Certain Financial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Householding of Proxy Statements and Annual Reports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Cautionary Note on Forward-Looking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Deadline for Receipt of Shareholder Proposals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DDDDD"/>
          </w:tcPr>
          <w:p>
            <w:pPr>
              <w:spacing w:after="0"/>
              <w:rPr>
                <w:sz w:val="19"/>
                <w:szCs w:val="19"/>
                <w:color w:val="auto"/>
              </w:rPr>
            </w:pPr>
          </w:p>
        </w:tc>
        <w:tc>
          <w:tcPr>
            <w:tcW w:w="454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603885</wp:posOffset>
            </wp:positionV>
            <wp:extent cx="149987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2022 ANNUAL MEETING OF SHAREHOLDERS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12,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Pacific Standard Time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INFORMATION CONCERNING SOLICITATION AND VOTING</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General</w:t>
      </w: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This proxy statement (the “Proxy Statement”) is furnished in connection with the solicitation of proxies on behalf of the Board of Directors of Micron Technology, Inc. (the “Board”), for use at the Fiscal 2022 Annual Meeting of Shareholders to be held on January 12, 2023, at</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9:00 a.m., Pacific Standard Time, or at any adjournment or postponement thereof (the “Annual Meeting”). The purpose of the Annual Meeting is set forth herein and in the accompanying Notice of Fiscal 2022 Annual Meeting of Shareholders. The Annual Meeting will be held via a live webcast, and there will not be a physical meeting location. You will be able to attend the annual meeting online and to vote your shares electronically on the virtual meeting platform by visiting </w:t>
      </w:r>
      <w:r>
        <w:rPr>
          <w:rFonts w:ascii="Arial" w:cs="Arial" w:eastAsia="Arial" w:hAnsi="Arial"/>
          <w:sz w:val="18"/>
          <w:szCs w:val="18"/>
          <w:i w:val="1"/>
          <w:iCs w:val="1"/>
          <w:color w:val="auto"/>
        </w:rPr>
        <w:t>www.virtualshareholdermeeting.com/MU2022</w:t>
      </w:r>
      <w:r>
        <w:rPr>
          <w:rFonts w:ascii="Arial" w:cs="Arial" w:eastAsia="Arial" w:hAnsi="Arial"/>
          <w:sz w:val="18"/>
          <w:szCs w:val="18"/>
          <w:color w:val="auto"/>
        </w:rPr>
        <w:t xml:space="preserve"> and entering the 16-digit control number included in our Notice, on your proxy card, or in the instructions that accompanied your proxy materials.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Shareholders will be able to submit questions before the Annual Meeting through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during the Annual Meeting using the virtual meeting platform. Relevant questions submitted before or during the Annual Meeting will be addressed after the Annual Meeting in the Investor Relations section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Annual Meeting. If you have difficulty accessing the meeting or other technical or logistical issues, please call the technical support number that will be posted on the virtual Annual Meeting login page. We will have technicians available to assist you.</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This Proxy Statement and related proxy card are first being distributed on or about December 2, 2022, to all shareholders entitled to vote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52" w:lineRule="exact"/>
        <w:rPr>
          <w:sz w:val="20"/>
          <w:szCs w:val="20"/>
          <w:color w:val="auto"/>
        </w:rPr>
      </w:pPr>
    </w:p>
    <w:p>
      <w:pPr>
        <w:ind w:left="660" w:right="3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using the instructions included in the notice regarding the Internet availability of proxy materials, the proxy card, or voting instruction card;</w:t>
      </w:r>
    </w:p>
    <w:p>
      <w:pPr>
        <w:spacing w:after="0" w:line="179"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by telephone using the instructions on the proxy card or voting instruction card if you received a paper copy of the proxy materials;</w:t>
      </w:r>
    </w:p>
    <w:p>
      <w:pPr>
        <w:spacing w:after="0" w:line="179"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electronically on the virtual meeting platform.</w:t>
      </w:r>
    </w:p>
    <w:p>
      <w:pPr>
        <w:spacing w:after="0" w:line="25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11,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1</w:t>
      </w:r>
    </w:p>
    <w:p>
      <w:pPr>
        <w:sectPr>
          <w:pgSz w:w="11900" w:h="16838" w:orient="portrait"/>
          <w:cols w:equalWidth="0" w:num="1">
            <w:col w:w="11240"/>
          </w:cols>
          <w:pgMar w:left="320" w:top="125"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Record Date</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Shareholders of record at the close of business on November 14, 2022 (the “Record Date”) are entitled to receive notice of and to vote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Revocability of Proxy</w:t>
      </w:r>
    </w:p>
    <w:p>
      <w:pPr>
        <w:spacing w:after="0" w:line="24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online or by delivering to us a written notice of revocation at Micron Technology, Inc., Attn.: Corporate Secretary, 8000 South Federal Way, Boise, Idaho 83716 or corporatesecretary@micron.com or another duly executed proxy bearing a date later than the earlier given proxy but prior to the date of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Solicitation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Outstanding Shares</w:t>
      </w:r>
    </w:p>
    <w:p>
      <w:pPr>
        <w:spacing w:after="0" w:line="24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We have one class of stock outstanding, common stock, $ 0.10 par value per share (the “Common Stock”). As of the Record Date, 1,090,892,865 shares of Common Stock were issued and outstanding and entitled to vote.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Voting Rights and Required Vote</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Delaware General Corporation Law,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in voting power of shares of our Common Stock issued and outstanding on the Record Date and entitled to vote thereat, present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 but such non-votes will not be included in the tabulation of the voting results with respect to voting results for the election of directors and other non-routine matters.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or other non-routine matters unless the broker or nominee receives specific voting instructions from the beneficial owner of the shares. As a result, absent specific instructions, brokers or nominees may not vote a beneficial owner’s shares on Proposals 1, 2, and 3 and such shares will be considered “broker non-votes” for such proposals. Brokers or nominees may vote a beneficial owner’s shares on Proposal 4.</w:t>
      </w:r>
    </w:p>
    <w:p>
      <w:pPr>
        <w:spacing w:after="0" w:line="20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Directors will be elected if the number of votes “FOR” a particular director exceeds the number of votes “AGAINST” that same director, with abstentions and broker-non votes not counted as a vote “FOR” or “AGAINST” that director’s election. With respect to all other items of business, the “FOR” vote of the holders of a majority of the voting power of the shares of Common Stock attending online in person or represented by proxy is required in order for such matter to be considered approved by the shareholders. For such non-routine matters, abstentions will have the same effect as voting against such items of business, but broker non-votes will not be counted in the tabulation of results. For routine matters, abstentions and broker non-votes will have the same effect as voting against such items of business.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Voting of Proxies</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shares of Common Stock represented by all properly executed proxies received by 11:59 P.M. Eastern Standard Time, on January 11, 2023 will be voted in accordance with the directions given by the shareholders. </w:t>
      </w:r>
      <w:r>
        <w:rPr>
          <w:rFonts w:ascii="Arial" w:cs="Arial" w:eastAsia="Arial" w:hAnsi="Arial"/>
          <w:sz w:val="18"/>
          <w:szCs w:val="18"/>
          <w:b w:val="1"/>
          <w:bCs w:val="1"/>
          <w:color w:val="auto"/>
        </w:rPr>
        <w:t>If no instructions are given with respect to a properly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executed proxy timely received by us, the shares of 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named herein as directors, or their respective substitutes as may be appointed by the Board,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 non-binding resolution to approve the compensation of our Named Executive Officers as described in this Proxy Statement,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our Amended and Restated 2007 Equity Incentive Plan to increase the shares reserved for issuance thereunder by 50 million, (iv)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August 31, 2023, and (v) in the discretion of the proxy holders for such other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3</w:t>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FFFFFF"/>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84" w:lineRule="exact"/>
        <w:rPr>
          <w:sz w:val="20"/>
          <w:szCs w:val="20"/>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All directors elected annually by a simple majority of votes cast</w:t>
      </w:r>
    </w:p>
    <w:p>
      <w:pPr>
        <w:spacing w:after="0" w:line="27"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Board Chair</w:t>
      </w:r>
    </w:p>
    <w:p>
      <w:pPr>
        <w:spacing w:after="0" w:line="9"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491172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Board is presenting eight nominees for election as directors at the Annual Meeting. Each of the nominees is currently a member of our Board and was elected to our Board at the Fiscal 2021 Annual Meeting of Shareholders. Each director elected at the Annual Meeting will serve until our Fiscal 2023 Annual Meeting of Shareholders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491172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as a holdover director. However, under our Bylaws, any incumbent director who fails to be elected must offer to tender his or her resignation to our Board. The Governance and Sustainability Committee will then make a recommendation to our Board on whether to accept or reject the resignation or whether other action should be taken. Our Board will act on the Governance and Sustainability Committee’s recommendation and publicly disclose its decision and the rationale behind it within 90 days from the date the election results are certified. Any director who offers to tender his or her resignation will not participate in the Board’s or the Governance and Sustainability Committee’s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491172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SUMMARY OF SKILLS AND EXPERIENCE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following table highlights the specific skills, experience, qualifications and attributes that each of the director nominees brings to the Board. A particular director nominee may possess other skills, experience, qualifications or attributes even though they are not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Skills and Experience</w:t>
            </w:r>
          </w:p>
        </w:tc>
        <w:tc>
          <w:tcPr>
            <w:tcW w:w="11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Richard M.</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9"/>
              </w:rPr>
              <w:t>Lynn A. Dugle</w:t>
            </w:r>
          </w:p>
        </w:tc>
        <w:tc>
          <w:tcPr>
            <w:tcW w:w="11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Steven J.</w:t>
            </w:r>
          </w:p>
        </w:tc>
        <w:tc>
          <w:tcPr>
            <w:tcW w:w="1120" w:type="dxa"/>
            <w:vAlign w:val="bottom"/>
          </w:tcPr>
          <w:p>
            <w:pPr>
              <w:jc w:val="center"/>
              <w:spacing w:after="0"/>
              <w:rPr>
                <w:sz w:val="20"/>
                <w:szCs w:val="20"/>
                <w:color w:val="auto"/>
              </w:rPr>
            </w:pPr>
            <w:r>
              <w:rPr>
                <w:rFonts w:ascii="Arial" w:cs="Arial" w:eastAsia="Arial" w:hAnsi="Arial"/>
                <w:sz w:val="16"/>
                <w:szCs w:val="16"/>
                <w:color w:val="auto"/>
              </w:rPr>
              <w:t>Linnie M.</w:t>
            </w:r>
          </w:p>
        </w:tc>
        <w:tc>
          <w:tcPr>
            <w:tcW w:w="11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Mary Pat</w:t>
            </w:r>
          </w:p>
        </w:tc>
        <w:tc>
          <w:tcPr>
            <w:tcW w:w="1120" w:type="dxa"/>
            <w:vAlign w:val="bottom"/>
          </w:tcPr>
          <w:p>
            <w:pPr>
              <w:jc w:val="center"/>
              <w:spacing w:after="0"/>
              <w:rPr>
                <w:sz w:val="20"/>
                <w:szCs w:val="20"/>
                <w:color w:val="auto"/>
              </w:rPr>
            </w:pPr>
            <w:r>
              <w:rPr>
                <w:rFonts w:ascii="Arial" w:cs="Arial" w:eastAsia="Arial" w:hAnsi="Arial"/>
                <w:sz w:val="16"/>
                <w:szCs w:val="16"/>
                <w:color w:val="auto"/>
              </w:rPr>
              <w:t>Sanjay</w:t>
            </w:r>
          </w:p>
        </w:tc>
        <w:tc>
          <w:tcPr>
            <w:tcW w:w="11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Robert E.</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MaryAnn</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0090DA"/>
            </w:tcBorders>
            <w:vMerge w:val="continue"/>
          </w:tcPr>
          <w:p>
            <w:pPr>
              <w:spacing w:after="0"/>
              <w:rPr>
                <w:sz w:val="18"/>
                <w:szCs w:val="18"/>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6"/>
                <w:szCs w:val="16"/>
                <w:color w:val="auto"/>
              </w:rPr>
              <w:t>Beyer</w:t>
            </w:r>
          </w:p>
        </w:tc>
        <w:tc>
          <w:tcPr>
            <w:tcW w:w="1120" w:type="dxa"/>
            <w:vAlign w:val="bottom"/>
            <w:tcBorders>
              <w:bottom w:val="single" w:sz="8" w:color="0090DA"/>
            </w:tcBorders>
            <w:vMerge w:val="continue"/>
          </w:tcPr>
          <w:p>
            <w:pPr>
              <w:spacing w:after="0"/>
              <w:rPr>
                <w:sz w:val="18"/>
                <w:szCs w:val="18"/>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6"/>
                <w:szCs w:val="16"/>
                <w:color w:val="auto"/>
              </w:rPr>
              <w:t>Gomo</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rPr>
              <w:t>Haynesworth</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6"/>
                <w:szCs w:val="16"/>
                <w:color w:val="auto"/>
              </w:rPr>
              <w:t>McCarthy</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w w:val="99"/>
              </w:rPr>
              <w:t>Mehrotra</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6"/>
                <w:szCs w:val="16"/>
                <w:color w:val="auto"/>
                <w:w w:val="99"/>
              </w:rPr>
              <w:t>Switz</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color w:val="auto"/>
                <w:w w:val="99"/>
              </w:rPr>
              <w:t>Wright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Independence</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Multinational experience</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42"/>
        </w:trPr>
        <w:tc>
          <w:tcPr>
            <w:tcW w:w="2220" w:type="dxa"/>
            <w:vAlign w:val="bottom"/>
          </w:tcPr>
          <w:p>
            <w:pPr>
              <w:ind w:left="20"/>
              <w:spacing w:after="0" w:line="142" w:lineRule="exact"/>
              <w:rPr>
                <w:sz w:val="20"/>
                <w:szCs w:val="20"/>
                <w:color w:val="auto"/>
              </w:rPr>
            </w:pPr>
            <w:r>
              <w:rPr>
                <w:rFonts w:ascii="Arial" w:cs="Arial" w:eastAsia="Arial" w:hAnsi="Arial"/>
                <w:sz w:val="16"/>
                <w:szCs w:val="16"/>
                <w:color w:val="auto"/>
              </w:rPr>
              <w:t>Executive leadership (public</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1"/>
        </w:trPr>
        <w:tc>
          <w:tcPr>
            <w:tcW w:w="2220" w:type="dxa"/>
            <w:vAlign w:val="bottom"/>
          </w:tcPr>
          <w:p>
            <w:pPr>
              <w:ind w:left="20"/>
              <w:spacing w:after="0"/>
              <w:rPr>
                <w:sz w:val="20"/>
                <w:szCs w:val="20"/>
                <w:color w:val="auto"/>
              </w:rPr>
            </w:pPr>
            <w:r>
              <w:rPr>
                <w:rFonts w:ascii="Arial" w:cs="Arial" w:eastAsia="Arial" w:hAnsi="Arial"/>
                <w:sz w:val="16"/>
                <w:szCs w:val="16"/>
                <w:color w:val="auto"/>
              </w:rPr>
              <w:t>or private)</w:t>
            </w:r>
          </w:p>
        </w:tc>
        <w:tc>
          <w:tcPr>
            <w:tcW w:w="1120" w:type="dxa"/>
            <w:vAlign w:val="bottom"/>
            <w:tcBorders>
              <w:bottom w:val="single" w:sz="8" w:color="0090DA"/>
            </w:tcBorders>
            <w:vMerge w:val="continue"/>
            <w:shd w:val="clear" w:color="auto" w:fill="DBDBDB"/>
          </w:tcPr>
          <w:p>
            <w:pPr>
              <w:spacing w:after="0"/>
              <w:rPr>
                <w:sz w:val="18"/>
                <w:szCs w:val="18"/>
                <w:color w:val="auto"/>
              </w:rPr>
            </w:pPr>
          </w:p>
        </w:tc>
        <w:tc>
          <w:tcPr>
            <w:tcW w:w="1120" w:type="dxa"/>
            <w:vAlign w:val="bottom"/>
            <w:tcBorders>
              <w:bottom w:val="single" w:sz="8" w:color="0090DA"/>
            </w:tcBorders>
            <w:vMerge w:val="continue"/>
          </w:tcPr>
          <w:p>
            <w:pPr>
              <w:spacing w:after="0"/>
              <w:rPr>
                <w:sz w:val="18"/>
                <w:szCs w:val="18"/>
                <w:color w:val="auto"/>
              </w:rPr>
            </w:pPr>
          </w:p>
        </w:tc>
        <w:tc>
          <w:tcPr>
            <w:tcW w:w="1120" w:type="dxa"/>
            <w:vAlign w:val="bottom"/>
            <w:tcBorders>
              <w:bottom w:val="single" w:sz="8" w:color="0090DA"/>
            </w:tcBorders>
            <w:vMerge w:val="continue"/>
            <w:shd w:val="clear" w:color="auto" w:fill="DBDBDB"/>
          </w:tcPr>
          <w:p>
            <w:pPr>
              <w:spacing w:after="0"/>
              <w:rPr>
                <w:sz w:val="18"/>
                <w:szCs w:val="18"/>
                <w:color w:val="auto"/>
              </w:rPr>
            </w:pPr>
          </w:p>
        </w:tc>
        <w:tc>
          <w:tcPr>
            <w:tcW w:w="1120" w:type="dxa"/>
            <w:vAlign w:val="bottom"/>
            <w:tcBorders>
              <w:bottom w:val="single" w:sz="8" w:color="0090DA"/>
            </w:tcBorders>
            <w:vMerge w:val="continue"/>
          </w:tcPr>
          <w:p>
            <w:pPr>
              <w:spacing w:after="0"/>
              <w:rPr>
                <w:sz w:val="18"/>
                <w:szCs w:val="18"/>
                <w:color w:val="auto"/>
              </w:rPr>
            </w:pPr>
          </w:p>
        </w:tc>
        <w:tc>
          <w:tcPr>
            <w:tcW w:w="1120" w:type="dxa"/>
            <w:vAlign w:val="bottom"/>
            <w:tcBorders>
              <w:bottom w:val="single" w:sz="8" w:color="0090DA"/>
            </w:tcBorders>
            <w:vMerge w:val="continue"/>
            <w:shd w:val="clear" w:color="auto" w:fill="DBDBDB"/>
          </w:tcPr>
          <w:p>
            <w:pPr>
              <w:spacing w:after="0"/>
              <w:rPr>
                <w:sz w:val="18"/>
                <w:szCs w:val="18"/>
                <w:color w:val="auto"/>
              </w:rPr>
            </w:pPr>
          </w:p>
        </w:tc>
        <w:tc>
          <w:tcPr>
            <w:tcW w:w="1120" w:type="dxa"/>
            <w:vAlign w:val="bottom"/>
            <w:tcBorders>
              <w:bottom w:val="single" w:sz="8" w:color="0090DA"/>
            </w:tcBorders>
            <w:vMerge w:val="continue"/>
          </w:tcPr>
          <w:p>
            <w:pPr>
              <w:spacing w:after="0"/>
              <w:rPr>
                <w:sz w:val="18"/>
                <w:szCs w:val="18"/>
                <w:color w:val="auto"/>
              </w:rPr>
            </w:pPr>
          </w:p>
        </w:tc>
        <w:tc>
          <w:tcPr>
            <w:tcW w:w="1120" w:type="dxa"/>
            <w:vAlign w:val="bottom"/>
            <w:tcBorders>
              <w:bottom w:val="single" w:sz="8" w:color="0090DA"/>
            </w:tcBorders>
            <w:vMerge w:val="continue"/>
            <w:shd w:val="clear" w:color="auto" w:fill="DBDBDB"/>
          </w:tcPr>
          <w:p>
            <w:pPr>
              <w:spacing w:after="0"/>
              <w:rPr>
                <w:sz w:val="18"/>
                <w:szCs w:val="18"/>
                <w:color w:val="auto"/>
              </w:rPr>
            </w:pPr>
          </w:p>
        </w:tc>
        <w:tc>
          <w:tcPr>
            <w:tcW w:w="112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Technology industry</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strategy</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development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Cybersecurity</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Other public board service</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Finance</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Auditing / accounting</w:t>
            </w:r>
          </w:p>
        </w:tc>
        <w:tc>
          <w:tcPr>
            <w:tcW w:w="1120" w:type="dxa"/>
            <w:vAlign w:val="bottom"/>
            <w:shd w:val="clear" w:color="auto" w:fill="DBDBDB"/>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4"/>
              </w:rPr>
              <w:t>•</w:t>
            </w:r>
          </w:p>
        </w:tc>
        <w:tc>
          <w:tcPr>
            <w:tcW w:w="1120" w:type="dxa"/>
            <w:vAlign w:val="bottom"/>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ectPr>
          <w:pgSz w:w="11900" w:h="16838" w:orient="portrait"/>
          <w:cols w:equalWidth="0" w:num="1">
            <w:col w:w="11240"/>
          </w:cols>
          <w:pgMar w:left="320" w:top="125"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0090DA"/>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499110</wp:posOffset>
            </wp:positionV>
            <wp:extent cx="1183005" cy="1534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300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Richard M.</w:t>
      </w:r>
    </w:p>
    <w:p>
      <w:pPr>
        <w:ind w:left="20"/>
        <w:spacing w:after="0"/>
        <w:rPr>
          <w:sz w:val="20"/>
          <w:szCs w:val="20"/>
          <w:color w:val="auto"/>
        </w:rPr>
      </w:pPr>
      <w:r>
        <w:rPr>
          <w:rFonts w:ascii="Arial" w:cs="Arial" w:eastAsia="Arial" w:hAnsi="Arial"/>
          <w:sz w:val="36"/>
          <w:szCs w:val="36"/>
          <w:b w:val="1"/>
          <w:bCs w:val="1"/>
          <w:color w:val="auto"/>
        </w:rPr>
        <w:t>Beyer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-189230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40" w:lineRule="exact"/>
        <w:rPr>
          <w:sz w:val="20"/>
          <w:szCs w:val="20"/>
          <w:color w:val="auto"/>
        </w:rPr>
      </w:pPr>
    </w:p>
    <w:p>
      <w:pPr>
        <w:ind w:left="360" w:right="300" w:hanging="236"/>
        <w:spacing w:after="0" w:line="181" w:lineRule="auto"/>
        <w:tabs>
          <w:tab w:leader="none" w:pos="360" w:val="left"/>
        </w:tabs>
        <w:numPr>
          <w:ilvl w:val="0"/>
          <w:numId w:val="9"/>
        </w:numPr>
        <w:rPr>
          <w:rFonts w:ascii="Arial" w:cs="Arial" w:eastAsia="Arial" w:hAnsi="Arial"/>
          <w:sz w:val="37"/>
          <w:szCs w:val="37"/>
          <w:b w:val="1"/>
          <w:bCs w:val="1"/>
          <w:color w:val="00A3E1"/>
          <w:vertAlign w:val="subscript"/>
        </w:rPr>
      </w:pPr>
      <w:r>
        <w:rPr>
          <w:rFonts w:ascii="Arial" w:cs="Arial" w:eastAsia="Arial" w:hAnsi="Arial"/>
          <w:sz w:val="15"/>
          <w:szCs w:val="15"/>
          <w:color w:val="auto"/>
        </w:rPr>
        <w:t>Chairman and Chief Executive Officer of Freescale Semiconductor, Inc. from 2008 through June 2012; director from 2008 to 2013.</w:t>
      </w:r>
    </w:p>
    <w:p>
      <w:pPr>
        <w:spacing w:after="0" w:line="31" w:lineRule="exact"/>
        <w:rPr>
          <w:rFonts w:ascii="Arial" w:cs="Arial" w:eastAsia="Arial" w:hAnsi="Arial"/>
          <w:sz w:val="37"/>
          <w:szCs w:val="37"/>
          <w:b w:val="1"/>
          <w:bCs w:val="1"/>
          <w:color w:val="00A3E1"/>
          <w:vertAlign w:val="subscript"/>
        </w:rPr>
      </w:pPr>
    </w:p>
    <w:p>
      <w:pPr>
        <w:ind w:left="360" w:right="600" w:hanging="236"/>
        <w:spacing w:after="0" w:line="214" w:lineRule="auto"/>
        <w:tabs>
          <w:tab w:leader="none" w:pos="36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Prior to Freescale, Mr. Beyer was President, Chief Executive Officer and a director of Intersil Corporation from 2002 to 2008.</w:t>
      </w:r>
    </w:p>
    <w:p>
      <w:pPr>
        <w:spacing w:after="0" w:line="31" w:lineRule="exact"/>
        <w:rPr>
          <w:rFonts w:ascii="Arial" w:cs="Arial" w:eastAsia="Arial" w:hAnsi="Arial"/>
          <w:sz w:val="25"/>
          <w:szCs w:val="25"/>
          <w:b w:val="1"/>
          <w:bCs w:val="1"/>
          <w:color w:val="00A3E1"/>
        </w:rPr>
      </w:pPr>
    </w:p>
    <w:p>
      <w:pPr>
        <w:ind w:left="360" w:right="340" w:hanging="236"/>
        <w:spacing w:after="0" w:line="224" w:lineRule="auto"/>
        <w:tabs>
          <w:tab w:leader="none" w:pos="36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Mr. Beyer previously served in executive management roles at FVC.com, VLSI Technology, and National Semiconductor Corporation, and served three years as an officer in the United States Marine Corps.</w:t>
      </w:r>
    </w:p>
    <w:p>
      <w:pPr>
        <w:spacing w:after="0" w:line="47" w:lineRule="exact"/>
        <w:rPr>
          <w:rFonts w:ascii="Arial" w:cs="Arial" w:eastAsia="Arial" w:hAnsi="Arial"/>
          <w:sz w:val="25"/>
          <w:szCs w:val="25"/>
          <w:b w:val="1"/>
          <w:bCs w:val="1"/>
          <w:color w:val="00A3E1"/>
        </w:rPr>
      </w:pPr>
    </w:p>
    <w:p>
      <w:pPr>
        <w:ind w:left="360" w:right="1660" w:hanging="236"/>
        <w:spacing w:after="0" w:line="214" w:lineRule="auto"/>
        <w:tabs>
          <w:tab w:leader="none" w:pos="36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Beyer served on the Board of Directors of Dialog Semiconductor and Microsemi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55" w:lineRule="exact"/>
        <w:rPr>
          <w:sz w:val="20"/>
          <w:szCs w:val="20"/>
          <w:color w:val="auto"/>
        </w:rPr>
      </w:pPr>
    </w:p>
    <w:p>
      <w:pPr>
        <w:ind w:left="360" w:hanging="236"/>
        <w:spacing w:after="0"/>
        <w:tabs>
          <w:tab w:leader="none" w:pos="360" w:val="left"/>
        </w:tabs>
        <w:numPr>
          <w:ilvl w:val="0"/>
          <w:numId w:val="10"/>
        </w:numPr>
        <w:rPr>
          <w:rFonts w:ascii="Arial" w:cs="Arial" w:eastAsia="Arial" w:hAnsi="Arial"/>
          <w:sz w:val="25"/>
          <w:szCs w:val="25"/>
          <w:b w:val="1"/>
          <w:bCs w:val="1"/>
          <w:color w:val="00A3E1"/>
        </w:rPr>
      </w:pPr>
      <w:r>
        <w:rPr>
          <w:rFonts w:ascii="Arial" w:cs="Arial" w:eastAsia="Arial" w:hAnsi="Arial"/>
          <w:sz w:val="18"/>
          <w:szCs w:val="18"/>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w:t>
      </w:r>
    </w:p>
    <w:p>
      <w:pPr>
        <w:spacing w:after="0" w:line="200" w:lineRule="exact"/>
        <w:rPr>
          <w:sz w:val="20"/>
          <w:szCs w:val="20"/>
          <w:color w:val="auto"/>
        </w:rPr>
      </w:pPr>
    </w:p>
    <w:p>
      <w:pPr>
        <w:sectPr>
          <w:pgSz w:w="11900" w:h="16838" w:orient="portrait"/>
          <w:cols w:equalWidth="0" w:num="2">
            <w:col w:w="2340" w:space="600"/>
            <w:col w:w="8300"/>
          </w:cols>
          <w:pgMar w:left="320" w:top="125"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74</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2013</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(Chair), Governance and Sustainability,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80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8500" w:type="dxa"/>
            <w:vAlign w:val="bottom"/>
            <w:gridSpan w:val="2"/>
          </w:tcPr>
          <w:p>
            <w:pPr>
              <w:ind w:left="260"/>
              <w:spacing w:after="0"/>
              <w:rPr>
                <w:sz w:val="20"/>
                <w:szCs w:val="20"/>
                <w:color w:val="auto"/>
              </w:rPr>
            </w:pPr>
            <w:r>
              <w:rPr>
                <w:rFonts w:ascii="Arial" w:cs="Arial" w:eastAsia="Arial" w:hAnsi="Arial"/>
                <w:sz w:val="18"/>
                <w:szCs w:val="18"/>
                <w:b w:val="1"/>
                <w:bCs w:val="1"/>
                <w:color w:val="00A3E1"/>
              </w:rPr>
              <w:t>Professional Experience</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540" w:type="dxa"/>
            <w:vAlign w:val="bottom"/>
          </w:tcPr>
          <w:p>
            <w:pPr>
              <w:ind w:left="380"/>
              <w:spacing w:after="0" w:line="253" w:lineRule="exact"/>
              <w:rPr>
                <w:sz w:val="20"/>
                <w:szCs w:val="20"/>
                <w:color w:val="auto"/>
              </w:rPr>
            </w:pPr>
            <w:r>
              <w:rPr>
                <w:rFonts w:ascii="Arial" w:cs="Arial" w:eastAsia="Arial" w:hAnsi="Arial"/>
                <w:sz w:val="25"/>
                <w:szCs w:val="25"/>
                <w:b w:val="1"/>
                <w:bCs w:val="1"/>
                <w:color w:val="00A3E1"/>
              </w:rPr>
              <w:t>-</w:t>
            </w:r>
          </w:p>
        </w:tc>
        <w:tc>
          <w:tcPr>
            <w:tcW w:w="7960" w:type="dxa"/>
            <w:vAlign w:val="bottom"/>
          </w:tcPr>
          <w:p>
            <w:pPr>
              <w:ind w:left="80"/>
              <w:spacing w:after="0"/>
              <w:rPr>
                <w:sz w:val="20"/>
                <w:szCs w:val="20"/>
                <w:color w:val="auto"/>
              </w:rPr>
            </w:pPr>
            <w:r>
              <w:rPr>
                <w:rFonts w:ascii="Arial" w:cs="Arial" w:eastAsia="Arial" w:hAnsi="Arial"/>
                <w:sz w:val="18"/>
                <w:szCs w:val="18"/>
                <w:color w:val="auto"/>
              </w:rPr>
              <w:t>Chairman, Chief Executive Officer, and President of Engility Holdings Inc., an NYSE-listed</w:t>
            </w: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engineering services firm, from 2016 to 2019.</w:t>
            </w: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2"/>
                <w:szCs w:val="22"/>
                <w:color w:val="auto"/>
              </w:rPr>
            </w:pPr>
          </w:p>
        </w:tc>
        <w:tc>
          <w:tcPr>
            <w:tcW w:w="540" w:type="dxa"/>
            <w:vAlign w:val="bottom"/>
          </w:tcPr>
          <w:p>
            <w:pPr>
              <w:ind w:left="380"/>
              <w:spacing w:after="0" w:line="253" w:lineRule="exact"/>
              <w:rPr>
                <w:sz w:val="20"/>
                <w:szCs w:val="20"/>
                <w:color w:val="auto"/>
              </w:rPr>
            </w:pPr>
            <w:r>
              <w:rPr>
                <w:rFonts w:ascii="Arial" w:cs="Arial" w:eastAsia="Arial" w:hAnsi="Arial"/>
                <w:sz w:val="25"/>
                <w:szCs w:val="25"/>
                <w:b w:val="1"/>
                <w:bCs w:val="1"/>
                <w:color w:val="00A3E1"/>
              </w:rPr>
              <w:t>-</w:t>
            </w:r>
          </w:p>
        </w:tc>
        <w:tc>
          <w:tcPr>
            <w:tcW w:w="7960" w:type="dxa"/>
            <w:vAlign w:val="bottom"/>
          </w:tcPr>
          <w:p>
            <w:pPr>
              <w:ind w:left="80"/>
              <w:spacing w:after="0"/>
              <w:rPr>
                <w:sz w:val="20"/>
                <w:szCs w:val="20"/>
                <w:color w:val="auto"/>
              </w:rPr>
            </w:pPr>
            <w:r>
              <w:rPr>
                <w:rFonts w:ascii="Arial" w:cs="Arial" w:eastAsia="Arial" w:hAnsi="Arial"/>
                <w:sz w:val="18"/>
                <w:szCs w:val="18"/>
                <w:color w:val="auto"/>
              </w:rPr>
              <w:t>Prior to Engility, Ms. Dugle was Vice President, President of Intelligence and Information Systems</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p>
        </w:tc>
        <w:tc>
          <w:tcPr>
            <w:tcW w:w="540" w:type="dxa"/>
            <w:vAlign w:val="bottom"/>
            <w:vMerge w:val="restart"/>
          </w:tcPr>
          <w:p>
            <w:pPr>
              <w:ind w:left="380"/>
              <w:spacing w:after="0"/>
              <w:rPr>
                <w:sz w:val="20"/>
                <w:szCs w:val="20"/>
                <w:color w:val="auto"/>
              </w:rPr>
            </w:pPr>
            <w:r>
              <w:rPr>
                <w:rFonts w:ascii="Arial" w:cs="Arial" w:eastAsia="Arial" w:hAnsi="Arial"/>
                <w:sz w:val="25"/>
                <w:szCs w:val="25"/>
                <w:b w:val="1"/>
                <w:bCs w:val="1"/>
                <w:color w:val="00A3E1"/>
              </w:rPr>
              <w:t>-</w:t>
            </w:r>
          </w:p>
        </w:tc>
        <w:tc>
          <w:tcPr>
            <w:tcW w:w="7960" w:type="dxa"/>
            <w:vAlign w:val="bottom"/>
          </w:tcPr>
          <w:p>
            <w:pPr>
              <w:ind w:left="80"/>
              <w:spacing w:after="0"/>
              <w:rPr>
                <w:sz w:val="20"/>
                <w:szCs w:val="20"/>
                <w:color w:val="auto"/>
              </w:rPr>
            </w:pPr>
            <w:r>
              <w:rPr>
                <w:rFonts w:ascii="Arial" w:cs="Arial" w:eastAsia="Arial" w:hAnsi="Arial"/>
                <w:sz w:val="18"/>
                <w:szCs w:val="18"/>
                <w:color w:val="auto"/>
              </w:rPr>
              <w:t>of Raytheon Company from 2009 to 2015.</w:t>
            </w:r>
          </w:p>
        </w:tc>
        <w:tc>
          <w:tcPr>
            <w:tcW w:w="0" w:type="dxa"/>
            <w:vAlign w:val="bottom"/>
          </w:tcPr>
          <w:p>
            <w:pPr>
              <w:spacing w:after="0"/>
              <w:rPr>
                <w:sz w:val="1"/>
                <w:szCs w:val="1"/>
                <w:color w:val="auto"/>
              </w:rPr>
            </w:pPr>
          </w:p>
        </w:tc>
      </w:tr>
      <w:tr>
        <w:trPr>
          <w:trHeight w:val="329"/>
        </w:trPr>
        <w:tc>
          <w:tcPr>
            <w:tcW w:w="26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Within the past five years, Ms. Dugle served on the Board of Directors of State Street Corporation.</w:t>
            </w:r>
          </w:p>
        </w:tc>
        <w:tc>
          <w:tcPr>
            <w:tcW w:w="0" w:type="dxa"/>
            <w:vAlign w:val="bottom"/>
          </w:tcPr>
          <w:p>
            <w:pPr>
              <w:spacing w:after="0"/>
              <w:rPr>
                <w:sz w:val="1"/>
                <w:szCs w:val="1"/>
                <w:color w:val="auto"/>
              </w:rPr>
            </w:pPr>
          </w:p>
        </w:tc>
      </w:tr>
      <w:tr>
        <w:trPr>
          <w:trHeight w:val="557"/>
        </w:trPr>
        <w:tc>
          <w:tcPr>
            <w:tcW w:w="2660" w:type="dxa"/>
            <w:vAlign w:val="bottom"/>
          </w:tcPr>
          <w:p>
            <w:pPr>
              <w:spacing w:after="0"/>
              <w:rPr>
                <w:sz w:val="24"/>
                <w:szCs w:val="24"/>
                <w:color w:val="auto"/>
              </w:rPr>
            </w:pPr>
          </w:p>
        </w:tc>
        <w:tc>
          <w:tcPr>
            <w:tcW w:w="8500" w:type="dxa"/>
            <w:vAlign w:val="bottom"/>
            <w:gridSpan w:val="2"/>
          </w:tcPr>
          <w:p>
            <w:pPr>
              <w:ind w:left="260"/>
              <w:spacing w:after="0"/>
              <w:rPr>
                <w:sz w:val="20"/>
                <w:szCs w:val="20"/>
                <w:color w:val="auto"/>
              </w:rPr>
            </w:pPr>
            <w:r>
              <w:rPr>
                <w:rFonts w:ascii="Arial" w:cs="Arial" w:eastAsia="Arial" w:hAnsi="Arial"/>
                <w:sz w:val="18"/>
                <w:szCs w:val="18"/>
                <w:b w:val="1"/>
                <w:bCs w:val="1"/>
                <w:color w:val="00A3E1"/>
              </w:rPr>
              <w:t>Other Current Public Company Directorships</w:t>
            </w:r>
          </w:p>
        </w:tc>
        <w:tc>
          <w:tcPr>
            <w:tcW w:w="0" w:type="dxa"/>
            <w:vAlign w:val="bottom"/>
          </w:tcPr>
          <w:p>
            <w:pPr>
              <w:spacing w:after="0"/>
              <w:rPr>
                <w:sz w:val="1"/>
                <w:szCs w:val="1"/>
                <w:color w:val="auto"/>
              </w:rPr>
            </w:pPr>
          </w:p>
        </w:tc>
      </w:tr>
      <w:tr>
        <w:trPr>
          <w:trHeight w:val="310"/>
        </w:trPr>
        <w:tc>
          <w:tcPr>
            <w:tcW w:w="2660" w:type="dxa"/>
            <w:vAlign w:val="bottom"/>
          </w:tcPr>
          <w:p>
            <w:pPr>
              <w:spacing w:after="0"/>
              <w:rPr>
                <w:sz w:val="24"/>
                <w:szCs w:val="24"/>
                <w:color w:val="auto"/>
              </w:rPr>
            </w:pPr>
          </w:p>
        </w:tc>
        <w:tc>
          <w:tcPr>
            <w:tcW w:w="8500" w:type="dxa"/>
            <w:vAlign w:val="bottom"/>
            <w:gridSpan w:val="2"/>
          </w:tcPr>
          <w:p>
            <w:pPr>
              <w:ind w:left="380"/>
              <w:spacing w:after="0"/>
              <w:rPr>
                <w:sz w:val="20"/>
                <w:szCs w:val="20"/>
                <w:color w:val="auto"/>
              </w:rPr>
            </w:pPr>
            <w:r>
              <w:rPr>
                <w:rFonts w:ascii="Arial" w:cs="Arial" w:eastAsia="Arial" w:hAnsi="Arial"/>
                <w:sz w:val="25"/>
                <w:szCs w:val="25"/>
                <w:b w:val="1"/>
                <w:bCs w:val="1"/>
                <w:color w:val="00A3E1"/>
              </w:rPr>
              <w:t xml:space="preserve">- </w:t>
            </w:r>
            <w:r>
              <w:rPr>
                <w:rFonts w:ascii="Arial" w:cs="Arial" w:eastAsia="Arial" w:hAnsi="Arial"/>
                <w:sz w:val="17"/>
                <w:szCs w:val="17"/>
                <w:color w:val="000000"/>
              </w:rPr>
              <w:t>First Light Acquisition Group, Inc. (advisor partner)</w:t>
            </w:r>
          </w:p>
        </w:tc>
        <w:tc>
          <w:tcPr>
            <w:tcW w:w="0" w:type="dxa"/>
            <w:vAlign w:val="bottom"/>
          </w:tcPr>
          <w:p>
            <w:pPr>
              <w:spacing w:after="0"/>
              <w:rPr>
                <w:sz w:val="1"/>
                <w:szCs w:val="1"/>
                <w:color w:val="auto"/>
              </w:rPr>
            </w:pPr>
          </w:p>
        </w:tc>
      </w:tr>
      <w:tr>
        <w:trPr>
          <w:trHeight w:val="310"/>
        </w:trPr>
        <w:tc>
          <w:tcPr>
            <w:tcW w:w="2660" w:type="dxa"/>
            <w:vAlign w:val="bottom"/>
            <w:vMerge w:val="restart"/>
          </w:tcPr>
          <w:p>
            <w:pPr>
              <w:spacing w:after="0"/>
              <w:rPr>
                <w:sz w:val="20"/>
                <w:szCs w:val="20"/>
                <w:color w:val="auto"/>
              </w:rPr>
            </w:pPr>
            <w:r>
              <w:rPr>
                <w:rFonts w:ascii="Arial" w:cs="Arial" w:eastAsia="Arial" w:hAnsi="Arial"/>
                <w:sz w:val="36"/>
                <w:szCs w:val="36"/>
                <w:b w:val="1"/>
                <w:bCs w:val="1"/>
                <w:color w:val="auto"/>
              </w:rPr>
              <w:t>Lynn A. Dugle</w:t>
            </w:r>
          </w:p>
        </w:tc>
        <w:tc>
          <w:tcPr>
            <w:tcW w:w="540" w:type="dxa"/>
            <w:vAlign w:val="bottom"/>
          </w:tcPr>
          <w:p>
            <w:pPr>
              <w:ind w:left="380"/>
              <w:spacing w:after="0"/>
              <w:rPr>
                <w:sz w:val="20"/>
                <w:szCs w:val="20"/>
                <w:color w:val="auto"/>
              </w:rPr>
            </w:pPr>
            <w:r>
              <w:rPr>
                <w:rFonts w:ascii="Arial" w:cs="Arial" w:eastAsia="Arial" w:hAnsi="Arial"/>
                <w:sz w:val="25"/>
                <w:szCs w:val="25"/>
                <w:b w:val="1"/>
                <w:bCs w:val="1"/>
                <w:color w:val="00A3E1"/>
              </w:rPr>
              <w:t>-</w:t>
            </w:r>
          </w:p>
        </w:tc>
        <w:tc>
          <w:tcPr>
            <w:tcW w:w="7960" w:type="dxa"/>
            <w:vAlign w:val="bottom"/>
          </w:tcPr>
          <w:p>
            <w:pPr>
              <w:ind w:left="80"/>
              <w:spacing w:after="0"/>
              <w:rPr>
                <w:sz w:val="20"/>
                <w:szCs w:val="20"/>
                <w:color w:val="auto"/>
              </w:rPr>
            </w:pPr>
            <w:r>
              <w:rPr>
                <w:rFonts w:ascii="Arial" w:cs="Arial" w:eastAsia="Arial" w:hAnsi="Arial"/>
                <w:sz w:val="18"/>
                <w:szCs w:val="18"/>
                <w:color w:val="auto"/>
              </w:rPr>
              <w:t>TE Connectivity Ltd.</w:t>
            </w:r>
          </w:p>
        </w:tc>
        <w:tc>
          <w:tcPr>
            <w:tcW w:w="0" w:type="dxa"/>
            <w:vAlign w:val="bottom"/>
          </w:tcPr>
          <w:p>
            <w:pPr>
              <w:spacing w:after="0"/>
              <w:rPr>
                <w:sz w:val="1"/>
                <w:szCs w:val="1"/>
                <w:color w:val="auto"/>
              </w:rPr>
            </w:pPr>
          </w:p>
        </w:tc>
      </w:tr>
      <w:tr>
        <w:trPr>
          <w:trHeight w:val="468"/>
        </w:trPr>
        <w:tc>
          <w:tcPr>
            <w:tcW w:w="2660" w:type="dxa"/>
            <w:vAlign w:val="bottom"/>
            <w:vMerge w:val="continue"/>
          </w:tcPr>
          <w:p>
            <w:pPr>
              <w:spacing w:after="0"/>
              <w:rPr>
                <w:sz w:val="24"/>
                <w:szCs w:val="24"/>
                <w:color w:val="auto"/>
              </w:rPr>
            </w:pPr>
          </w:p>
        </w:tc>
        <w:tc>
          <w:tcPr>
            <w:tcW w:w="540" w:type="dxa"/>
            <w:vAlign w:val="bottom"/>
          </w:tcPr>
          <w:p>
            <w:pPr>
              <w:ind w:left="380"/>
              <w:spacing w:after="0"/>
              <w:rPr>
                <w:sz w:val="20"/>
                <w:szCs w:val="20"/>
                <w:color w:val="auto"/>
              </w:rPr>
            </w:pPr>
            <w:r>
              <w:rPr>
                <w:rFonts w:ascii="Arial" w:cs="Arial" w:eastAsia="Arial" w:hAnsi="Arial"/>
                <w:sz w:val="25"/>
                <w:szCs w:val="25"/>
                <w:b w:val="1"/>
                <w:bCs w:val="1"/>
                <w:color w:val="00A3E1"/>
              </w:rPr>
              <w:t>-</w:t>
            </w:r>
          </w:p>
        </w:tc>
        <w:tc>
          <w:tcPr>
            <w:tcW w:w="7960" w:type="dxa"/>
            <w:vAlign w:val="bottom"/>
          </w:tcPr>
          <w:p>
            <w:pPr>
              <w:ind w:left="80"/>
              <w:spacing w:after="0"/>
              <w:rPr>
                <w:sz w:val="20"/>
                <w:szCs w:val="20"/>
                <w:color w:val="auto"/>
              </w:rPr>
            </w:pPr>
            <w:r>
              <w:rPr>
                <w:rFonts w:ascii="Arial" w:cs="Arial" w:eastAsia="Arial" w:hAnsi="Arial"/>
                <w:sz w:val="18"/>
                <w:szCs w:val="18"/>
                <w:color w:val="auto"/>
              </w:rPr>
              <w:t>KBR, Inc.</w:t>
            </w:r>
          </w:p>
        </w:tc>
        <w:tc>
          <w:tcPr>
            <w:tcW w:w="0" w:type="dxa"/>
            <w:vAlign w:val="bottom"/>
          </w:tcPr>
          <w:p>
            <w:pPr>
              <w:spacing w:after="0"/>
              <w:rPr>
                <w:sz w:val="1"/>
                <w:szCs w:val="1"/>
                <w:color w:val="auto"/>
              </w:rPr>
            </w:pPr>
          </w:p>
        </w:tc>
      </w:tr>
      <w:tr>
        <w:trPr>
          <w:trHeight w:val="297"/>
        </w:trPr>
        <w:tc>
          <w:tcPr>
            <w:tcW w:w="2660" w:type="dxa"/>
            <w:vAlign w:val="bottom"/>
          </w:tcPr>
          <w:p>
            <w:pPr>
              <w:spacing w:after="0"/>
              <w:rPr>
                <w:sz w:val="20"/>
                <w:szCs w:val="20"/>
                <w:color w:val="auto"/>
              </w:rPr>
            </w:pPr>
            <w:r>
              <w:rPr>
                <w:rFonts w:ascii="Arial" w:cs="Arial" w:eastAsia="Arial" w:hAnsi="Arial"/>
                <w:sz w:val="22"/>
                <w:szCs w:val="22"/>
                <w:b w:val="1"/>
                <w:bCs w:val="1"/>
                <w:color w:val="00A3E1"/>
              </w:rPr>
              <w:t>Independent</w:t>
            </w:r>
          </w:p>
        </w:tc>
        <w:tc>
          <w:tcPr>
            <w:tcW w:w="8500" w:type="dxa"/>
            <w:vAlign w:val="bottom"/>
            <w:gridSpan w:val="2"/>
          </w:tcPr>
          <w:p>
            <w:pPr>
              <w:ind w:left="260"/>
              <w:spacing w:after="0"/>
              <w:rPr>
                <w:sz w:val="20"/>
                <w:szCs w:val="20"/>
                <w:color w:val="auto"/>
              </w:rPr>
            </w:pPr>
            <w:r>
              <w:rPr>
                <w:rFonts w:ascii="Arial" w:cs="Arial" w:eastAsia="Arial" w:hAnsi="Arial"/>
                <w:sz w:val="18"/>
                <w:szCs w:val="18"/>
                <w:b w:val="1"/>
                <w:bCs w:val="1"/>
                <w:color w:val="00A3E1"/>
              </w:rPr>
              <w:t>Board Skills, Qualifications, and Expertise</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8500" w:type="dxa"/>
            <w:vAlign w:val="bottom"/>
            <w:gridSpan w:val="2"/>
          </w:tcPr>
          <w:p>
            <w:pPr>
              <w:ind w:left="260"/>
              <w:spacing w:after="0"/>
              <w:rPr>
                <w:sz w:val="20"/>
                <w:szCs w:val="20"/>
                <w:color w:val="auto"/>
              </w:rPr>
            </w:pPr>
            <w:r>
              <w:rPr>
                <w:rFonts w:ascii="Arial" w:cs="Arial" w:eastAsia="Arial" w:hAnsi="Arial"/>
                <w:sz w:val="18"/>
                <w:szCs w:val="18"/>
                <w:color w:val="auto"/>
              </w:rPr>
              <w:t>Ms. Dugle’s experience as chairman and chief executive officer of a public engineering services firm</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85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and senior officer of a leading public technology company provides our Board expertise in information,</w:t>
            </w: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85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technology, cybersecurity, corporate strategy, operations, and research and development, all of which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00" w:type="dxa"/>
            <w:vAlign w:val="bottom"/>
            <w:gridSpan w:val="2"/>
          </w:tcPr>
          <w:p>
            <w:pPr>
              <w:ind w:left="260"/>
              <w:spacing w:after="0"/>
              <w:rPr>
                <w:sz w:val="20"/>
                <w:szCs w:val="20"/>
                <w:color w:val="auto"/>
              </w:rPr>
            </w:pPr>
            <w:r>
              <w:rPr>
                <w:rFonts w:ascii="Arial" w:cs="Arial" w:eastAsia="Arial" w:hAnsi="Arial"/>
                <w:sz w:val="18"/>
                <w:szCs w:val="18"/>
                <w:color w:val="auto"/>
                <w:w w:val="99"/>
              </w:rPr>
              <w:t>are critical to achieving our strategic objectives. We believe these experiences, qualifications, attributes,</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p>
        </w:tc>
        <w:tc>
          <w:tcPr>
            <w:tcW w:w="8500" w:type="dxa"/>
            <w:vAlign w:val="bottom"/>
            <w:gridSpan w:val="2"/>
          </w:tcPr>
          <w:p>
            <w:pPr>
              <w:ind w:left="260"/>
              <w:spacing w:after="0"/>
              <w:rPr>
                <w:sz w:val="20"/>
                <w:szCs w:val="20"/>
                <w:color w:val="auto"/>
              </w:rPr>
            </w:pPr>
            <w:r>
              <w:rPr>
                <w:rFonts w:ascii="Arial" w:cs="Arial" w:eastAsia="Arial" w:hAnsi="Arial"/>
                <w:sz w:val="18"/>
                <w:szCs w:val="18"/>
                <w:color w:val="auto"/>
              </w:rPr>
              <w:t>and skills qualify Ms. Dugle to serve as a member of our Board.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63</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2020</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Security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1183005" cy="1637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8300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Steven J.</w:t>
      </w:r>
    </w:p>
    <w:p>
      <w:pPr>
        <w:spacing w:after="0"/>
        <w:rPr>
          <w:sz w:val="20"/>
          <w:szCs w:val="20"/>
          <w:color w:val="auto"/>
        </w:rPr>
      </w:pPr>
      <w:r>
        <w:rPr>
          <w:rFonts w:ascii="Arial" w:cs="Arial" w:eastAsia="Arial" w:hAnsi="Arial"/>
          <w:sz w:val="36"/>
          <w:szCs w:val="36"/>
          <w:b w:val="1"/>
          <w:bCs w:val="1"/>
          <w:color w:val="auto"/>
        </w:rPr>
        <w:t>Gomo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-189230</wp:posOffset>
            </wp:positionV>
            <wp:extent cx="71323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120" w:hanging="236"/>
        <w:spacing w:after="0" w:line="220" w:lineRule="auto"/>
        <w:tabs>
          <w:tab w:leader="none" w:pos="36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360" w:hanging="236"/>
        <w:spacing w:after="0"/>
        <w:tabs>
          <w:tab w:leader="none" w:pos="36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Nutanix, Inc.</w:t>
      </w:r>
    </w:p>
    <w:p>
      <w:pPr>
        <w:spacing w:after="0" w:line="23" w:lineRule="exact"/>
        <w:rPr>
          <w:rFonts w:ascii="Arial" w:cs="Arial" w:eastAsia="Arial" w:hAnsi="Arial"/>
          <w:sz w:val="25"/>
          <w:szCs w:val="25"/>
          <w:b w:val="1"/>
          <w:bCs w:val="1"/>
          <w:color w:val="00A3E1"/>
        </w:rPr>
      </w:pPr>
    </w:p>
    <w:p>
      <w:pPr>
        <w:ind w:left="360" w:hanging="236"/>
        <w:spacing w:after="0"/>
        <w:tabs>
          <w:tab w:leader="none" w:pos="36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Enphase Energy,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w:t>
      </w:r>
    </w:p>
    <w:p>
      <w:pPr>
        <w:spacing w:after="0" w:line="2" w:lineRule="exact"/>
        <w:rPr>
          <w:sz w:val="20"/>
          <w:szCs w:val="20"/>
          <w:color w:val="auto"/>
        </w:rPr>
      </w:pPr>
    </w:p>
    <w:p>
      <w:pPr>
        <w:sectPr>
          <w:pgSz w:w="11900" w:h="16838" w:orient="portrait"/>
          <w:cols w:equalWidth="0" w:num="2">
            <w:col w:w="2200" w:space="720"/>
            <w:col w:w="8300"/>
          </w:cols>
          <w:pgMar w:left="340" w:top="125" w:right="339" w:bottom="1440" w:gutter="0" w:footer="0" w:header="0"/>
        </w:sectPr>
      </w:pPr>
    </w:p>
    <w:p>
      <w:pPr>
        <w:spacing w:after="0"/>
        <w:rPr>
          <w:sz w:val="20"/>
          <w:szCs w:val="20"/>
          <w:color w:val="auto"/>
        </w:rPr>
      </w:pPr>
      <w:r>
        <w:rPr>
          <w:rFonts w:ascii="Arial" w:cs="Arial" w:eastAsia="Arial" w:hAnsi="Arial"/>
          <w:sz w:val="22"/>
          <w:szCs w:val="22"/>
          <w:b w:val="1"/>
          <w:bCs w:val="1"/>
          <w:color w:val="00A3E1"/>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70</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(Chair),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267335</wp:posOffset>
            </wp:positionV>
            <wp:extent cx="1183005" cy="1637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1637030"/>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6" w:lineRule="auto"/>
        <w:rPr>
          <w:sz w:val="20"/>
          <w:szCs w:val="20"/>
          <w:color w:val="auto"/>
        </w:rPr>
      </w:pPr>
      <w:r>
        <w:rPr>
          <w:rFonts w:ascii="Arial" w:cs="Arial" w:eastAsia="Arial" w:hAnsi="Arial"/>
          <w:sz w:val="35"/>
          <w:szCs w:val="35"/>
          <w:b w:val="1"/>
          <w:bCs w:val="1"/>
          <w:color w:val="auto"/>
        </w:rPr>
        <w:t>Linnie M. Haynesworth</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220" w:hanging="236"/>
        <w:spacing w:after="0" w:line="224" w:lineRule="auto"/>
        <w:tabs>
          <w:tab w:leader="none" w:pos="360" w:val="left"/>
        </w:tabs>
        <w:numPr>
          <w:ilvl w:val="0"/>
          <w:numId w:val="13"/>
        </w:numPr>
        <w:rPr>
          <w:rFonts w:ascii="Arial" w:cs="Arial" w:eastAsia="Arial" w:hAnsi="Arial"/>
          <w:sz w:val="25"/>
          <w:szCs w:val="25"/>
          <w:b w:val="1"/>
          <w:bCs w:val="1"/>
          <w:color w:val="00A3E1"/>
        </w:rPr>
      </w:pPr>
      <w:r>
        <w:rPr>
          <w:rFonts w:ascii="Arial" w:cs="Arial" w:eastAsia="Arial" w:hAnsi="Arial"/>
          <w:sz w:val="18"/>
          <w:szCs w:val="18"/>
          <w:color w:val="auto"/>
        </w:rPr>
        <w:t>Sector Vice President, Cyber and Intelligence Mission Solutions Division from January 2016 to 2019, and Sector Vice President and General Manager from December 2013 to 2019 at Northrop Grumman, a defense and space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360" w:hanging="236"/>
        <w:spacing w:after="0"/>
        <w:tabs>
          <w:tab w:leader="none" w:pos="360" w:val="left"/>
        </w:tabs>
        <w:numPr>
          <w:ilvl w:val="0"/>
          <w:numId w:val="14"/>
        </w:numPr>
        <w:rPr>
          <w:rFonts w:ascii="Arial" w:cs="Arial" w:eastAsia="Arial" w:hAnsi="Arial"/>
          <w:sz w:val="25"/>
          <w:szCs w:val="25"/>
          <w:b w:val="1"/>
          <w:bCs w:val="1"/>
          <w:color w:val="00A3E1"/>
        </w:rPr>
      </w:pPr>
      <w:r>
        <w:rPr>
          <w:rFonts w:ascii="Arial" w:cs="Arial" w:eastAsia="Arial" w:hAnsi="Arial"/>
          <w:sz w:val="18"/>
          <w:szCs w:val="18"/>
          <w:color w:val="auto"/>
        </w:rPr>
        <w:t>Truist Financial Corporation</w:t>
      </w:r>
    </w:p>
    <w:p>
      <w:pPr>
        <w:spacing w:after="0" w:line="23" w:lineRule="exact"/>
        <w:rPr>
          <w:rFonts w:ascii="Arial" w:cs="Arial" w:eastAsia="Arial" w:hAnsi="Arial"/>
          <w:sz w:val="25"/>
          <w:szCs w:val="25"/>
          <w:b w:val="1"/>
          <w:bCs w:val="1"/>
          <w:color w:val="00A3E1"/>
        </w:rPr>
      </w:pPr>
    </w:p>
    <w:p>
      <w:pPr>
        <w:ind w:left="360" w:hanging="236"/>
        <w:spacing w:after="0"/>
        <w:tabs>
          <w:tab w:leader="none" w:pos="360" w:val="left"/>
        </w:tabs>
        <w:numPr>
          <w:ilvl w:val="0"/>
          <w:numId w:val="14"/>
        </w:numPr>
        <w:rPr>
          <w:rFonts w:ascii="Arial" w:cs="Arial" w:eastAsia="Arial" w:hAnsi="Arial"/>
          <w:sz w:val="25"/>
          <w:szCs w:val="25"/>
          <w:b w:val="1"/>
          <w:bCs w:val="1"/>
          <w:color w:val="00A3E1"/>
        </w:rPr>
      </w:pPr>
      <w:r>
        <w:rPr>
          <w:rFonts w:ascii="Arial" w:cs="Arial" w:eastAsia="Arial" w:hAnsi="Arial"/>
          <w:sz w:val="18"/>
          <w:szCs w:val="18"/>
          <w:color w:val="auto"/>
        </w:rPr>
        <w:t>Automatic Data Processing,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Ms. Haynesworth’s experience as the sector vice president and general manager of a public defense and space company provides our Board expertise in technology integration, cybersecurity (including a Certificate in Cybersecurity Oversight), enterprise strategy, risk management, and large complex system development, delivery, and deployment, and contributes valuable insights and perspectives to our business and operations. Additionally, Ms. Haynesworth became a Member of the Defense Business Board of the United States Department of Defense in November 2021. We believe these experiences, qualifications, attributes, and skills qualify Ms. Haynesworth to serve as a member of our Board.</w:t>
      </w:r>
    </w:p>
    <w:p>
      <w:pPr>
        <w:spacing w:after="0" w:line="334" w:lineRule="exact"/>
        <w:rPr>
          <w:sz w:val="20"/>
          <w:szCs w:val="20"/>
          <w:color w:val="auto"/>
        </w:rPr>
      </w:pPr>
    </w:p>
    <w:p>
      <w:pPr>
        <w:sectPr>
          <w:pgSz w:w="11900" w:h="16838" w:orient="portrait"/>
          <w:cols w:equalWidth="0" w:num="2">
            <w:col w:w="2260" w:space="660"/>
            <w:col w:w="8300"/>
          </w:cols>
          <w:pgMar w:left="340" w:top="125"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65</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2021</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Governance and Sustainability,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7</w:t>
      </w:r>
    </w:p>
    <w:p>
      <w:pPr>
        <w:sectPr>
          <w:pgSz w:w="11900" w:h="16838" w:orient="portrait"/>
          <w:cols w:equalWidth="0" w:num="1">
            <w:col w:w="11220"/>
          </w:cols>
          <w:pgMar w:left="340" w:top="125"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1183005" cy="1551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8300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right="560"/>
        <w:spacing w:after="0" w:line="256" w:lineRule="auto"/>
        <w:rPr>
          <w:sz w:val="20"/>
          <w:szCs w:val="20"/>
          <w:color w:val="auto"/>
        </w:rPr>
      </w:pPr>
      <w:r>
        <w:rPr>
          <w:rFonts w:ascii="Arial" w:cs="Arial" w:eastAsia="Arial" w:hAnsi="Arial"/>
          <w:sz w:val="35"/>
          <w:szCs w:val="35"/>
          <w:b w:val="1"/>
          <w:bCs w:val="1"/>
          <w:color w:val="auto"/>
        </w:rPr>
        <w:t>Mary Pat McCarthy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-189230</wp:posOffset>
            </wp:positionV>
            <wp:extent cx="713232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120" w:hanging="236"/>
        <w:spacing w:after="0" w:line="227" w:lineRule="auto"/>
        <w:tabs>
          <w:tab w:leader="none" w:pos="36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Vice Chair of KPMG LLP, the U.S. member firm of the global audit, tax, and advisory services firm, from July 1998 until her retirement in December 2011. Ms. McCarthy joined KMPG in 1977, became a partner in 1987, and held numerous senior leadership positions with the firm during her tenure.</w:t>
      </w:r>
    </w:p>
    <w:p>
      <w:pPr>
        <w:spacing w:after="0" w:line="45" w:lineRule="exact"/>
        <w:rPr>
          <w:rFonts w:ascii="Arial" w:cs="Arial" w:eastAsia="Arial" w:hAnsi="Arial"/>
          <w:sz w:val="25"/>
          <w:szCs w:val="25"/>
          <w:b w:val="1"/>
          <w:bCs w:val="1"/>
          <w:color w:val="00A3E1"/>
        </w:rPr>
      </w:pPr>
    </w:p>
    <w:p>
      <w:pPr>
        <w:ind w:left="360" w:right="60" w:hanging="236"/>
        <w:spacing w:after="0" w:line="214" w:lineRule="auto"/>
        <w:tabs>
          <w:tab w:leader="none" w:pos="36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McCarthy served on the Board of Directors of Andeavor Corporation and Mutual of Omaha.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360" w:hanging="236"/>
        <w:spacing w:after="0"/>
        <w:tabs>
          <w:tab w:leader="none" w:pos="360" w:val="left"/>
        </w:tabs>
        <w:numPr>
          <w:ilvl w:val="0"/>
          <w:numId w:val="16"/>
        </w:numPr>
        <w:rPr>
          <w:rFonts w:ascii="Arial" w:cs="Arial" w:eastAsia="Arial" w:hAnsi="Arial"/>
          <w:sz w:val="25"/>
          <w:szCs w:val="25"/>
          <w:b w:val="1"/>
          <w:bCs w:val="1"/>
          <w:color w:val="00A3E1"/>
        </w:rPr>
      </w:pPr>
      <w:r>
        <w:rPr>
          <w:rFonts w:ascii="Arial" w:cs="Arial" w:eastAsia="Arial" w:hAnsi="Arial"/>
          <w:sz w:val="18"/>
          <w:szCs w:val="18"/>
          <w:color w:val="auto"/>
        </w:rPr>
        <w:t>Palo Alto Networks,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w:t>
      </w:r>
    </w:p>
    <w:p>
      <w:pPr>
        <w:spacing w:after="0" w:line="200" w:lineRule="exact"/>
        <w:rPr>
          <w:sz w:val="20"/>
          <w:szCs w:val="20"/>
          <w:color w:val="auto"/>
        </w:rPr>
      </w:pPr>
    </w:p>
    <w:p>
      <w:pPr>
        <w:sectPr>
          <w:pgSz w:w="11900" w:h="16838" w:orient="portrait"/>
          <w:cols w:equalWidth="0" w:num="2">
            <w:col w:w="2220" w:space="720"/>
            <w:col w:w="8300"/>
          </w:cols>
          <w:pgMar w:left="320" w:top="125"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67</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267335</wp:posOffset>
            </wp:positionV>
            <wp:extent cx="1183005" cy="1568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005" cy="1568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660"/>
        <w:spacing w:after="0" w:line="256" w:lineRule="auto"/>
        <w:rPr>
          <w:sz w:val="20"/>
          <w:szCs w:val="20"/>
          <w:color w:val="auto"/>
        </w:rPr>
      </w:pPr>
      <w:r>
        <w:rPr>
          <w:rFonts w:ascii="Arial" w:cs="Arial" w:eastAsia="Arial" w:hAnsi="Arial"/>
          <w:sz w:val="35"/>
          <w:szCs w:val="35"/>
          <w:b w:val="1"/>
          <w:bCs w:val="1"/>
          <w:color w:val="auto"/>
        </w:rPr>
        <w:t>Sanjay Mehrotra</w:t>
      </w:r>
    </w:p>
    <w:p>
      <w:pPr>
        <w:spacing w:after="0" w:line="2" w:lineRule="exact"/>
        <w:rPr>
          <w:sz w:val="20"/>
          <w:szCs w:val="20"/>
          <w:color w:val="auto"/>
        </w:rPr>
      </w:pPr>
    </w:p>
    <w:p>
      <w:pPr>
        <w:ind w:left="20" w:right="580"/>
        <w:spacing w:after="0" w:line="256" w:lineRule="auto"/>
        <w:rPr>
          <w:sz w:val="20"/>
          <w:szCs w:val="20"/>
          <w:color w:val="auto"/>
        </w:rPr>
      </w:pPr>
      <w:r>
        <w:rPr>
          <w:rFonts w:ascii="Arial" w:cs="Arial" w:eastAsia="Arial" w:hAnsi="Arial"/>
          <w:sz w:val="21"/>
          <w:szCs w:val="21"/>
          <w:b w:val="1"/>
          <w:bCs w:val="1"/>
          <w:color w:val="00A3E1"/>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360" w:hanging="236"/>
        <w:spacing w:after="0" w:line="220" w:lineRule="auto"/>
        <w:tabs>
          <w:tab w:leader="none" w:pos="36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Mr. Mehrotra has served as Micron’s President, Chief Executive Officer, and Director since May 2017.</w:t>
      </w:r>
    </w:p>
    <w:p>
      <w:pPr>
        <w:spacing w:after="0" w:line="19" w:lineRule="exact"/>
        <w:rPr>
          <w:rFonts w:ascii="Arial" w:cs="Arial" w:eastAsia="Arial" w:hAnsi="Arial"/>
          <w:sz w:val="25"/>
          <w:szCs w:val="25"/>
          <w:b w:val="1"/>
          <w:bCs w:val="1"/>
          <w:color w:val="00A3E1"/>
        </w:rPr>
      </w:pPr>
    </w:p>
    <w:p>
      <w:pPr>
        <w:ind w:left="360" w:right="120" w:hanging="236"/>
        <w:spacing w:after="0" w:line="224" w:lineRule="auto"/>
        <w:tabs>
          <w:tab w:leader="none" w:pos="36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201" w:lineRule="exact"/>
        <w:rPr>
          <w:rFonts w:ascii="Arial" w:cs="Arial" w:eastAsia="Arial" w:hAnsi="Arial"/>
          <w:sz w:val="25"/>
          <w:szCs w:val="25"/>
          <w:b w:val="1"/>
          <w:bCs w:val="1"/>
          <w:color w:val="00A3E1"/>
        </w:rPr>
      </w:pPr>
    </w:p>
    <w:p>
      <w:pPr>
        <w:ind w:left="360" w:hanging="236"/>
        <w:spacing w:after="0"/>
        <w:tabs>
          <w:tab w:leader="none" w:pos="36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Mehrotra served on the Board of Directors of Cavium,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ind w:left="360" w:hanging="236"/>
        <w:spacing w:after="0" w:line="229" w:lineRule="auto"/>
        <w:tabs>
          <w:tab w:leader="none" w:pos="36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CDW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Mr. Mehrotra has 42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w:t>
      </w:r>
    </w:p>
    <w:p>
      <w:pPr>
        <w:spacing w:after="0" w:line="200" w:lineRule="exact"/>
        <w:rPr>
          <w:sz w:val="20"/>
          <w:szCs w:val="20"/>
          <w:color w:val="auto"/>
        </w:rPr>
      </w:pPr>
    </w:p>
    <w:p>
      <w:pPr>
        <w:sectPr>
          <w:pgSz w:w="11900" w:h="16838" w:orient="portrait"/>
          <w:cols w:equalWidth="0" w:num="2">
            <w:col w:w="2220" w:space="720"/>
            <w:col w:w="8300"/>
          </w:cols>
          <w:pgMar w:left="320" w:top="125" w:right="339" w:bottom="1440" w:gutter="0" w:footer="0" w:header="0"/>
          <w:type w:val="continuous"/>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64</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2017</w:t>
      </w:r>
      <w:r>
        <w:rPr>
          <w:rFonts w:ascii="Arial" w:cs="Arial" w:eastAsia="Arial" w:hAnsi="Arial"/>
          <w:sz w:val="18"/>
          <w:szCs w:val="18"/>
          <w:color w:val="FFFFFF"/>
        </w:rPr>
        <w:t xml:space="preserve"> | Committee </w:t>
      </w:r>
      <w:r>
        <w:rPr>
          <w:rFonts w:ascii="Arial" w:cs="Arial" w:eastAsia="Arial" w:hAnsi="Arial"/>
          <w:sz w:val="21"/>
          <w:szCs w:val="21"/>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1183005" cy="1577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18300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Robert E.</w:t>
      </w:r>
    </w:p>
    <w:p>
      <w:pPr>
        <w:spacing w:after="0"/>
        <w:rPr>
          <w:sz w:val="20"/>
          <w:szCs w:val="20"/>
          <w:color w:val="auto"/>
        </w:rPr>
      </w:pPr>
      <w:r>
        <w:rPr>
          <w:rFonts w:ascii="Arial" w:cs="Arial" w:eastAsia="Arial" w:hAnsi="Arial"/>
          <w:sz w:val="36"/>
          <w:szCs w:val="36"/>
          <w:b w:val="1"/>
          <w:bCs w:val="1"/>
          <w:color w:val="auto"/>
        </w:rPr>
        <w:t>Switz</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00A3E1"/>
        </w:rPr>
        <w:t>Independent,</w:t>
      </w:r>
    </w:p>
    <w:p>
      <w:pPr>
        <w:spacing w:after="0" w:line="204" w:lineRule="auto"/>
        <w:rPr>
          <w:sz w:val="20"/>
          <w:szCs w:val="20"/>
          <w:color w:val="auto"/>
        </w:rPr>
      </w:pPr>
      <w:r>
        <w:rPr>
          <w:rFonts w:ascii="Arial" w:cs="Arial" w:eastAsia="Arial" w:hAnsi="Arial"/>
          <w:sz w:val="22"/>
          <w:szCs w:val="22"/>
          <w:b w:val="1"/>
          <w:bCs w:val="1"/>
          <w:color w:val="00A3E1"/>
        </w:rPr>
        <w:t>Chair of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A3E1"/>
        </w:rPr>
        <w:t>Board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-189230</wp:posOffset>
            </wp:positionV>
            <wp:extent cx="71323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260" w:hanging="236"/>
        <w:spacing w:after="0" w:line="227" w:lineRule="auto"/>
        <w:tabs>
          <w:tab w:leader="none" w:pos="360" w:val="left"/>
        </w:tabs>
        <w:numPr>
          <w:ilvl w:val="0"/>
          <w:numId w:val="19"/>
        </w:numPr>
        <w:rPr>
          <w:rFonts w:ascii="Arial" w:cs="Arial" w:eastAsia="Arial" w:hAnsi="Arial"/>
          <w:sz w:val="25"/>
          <w:szCs w:val="25"/>
          <w:b w:val="1"/>
          <w:bCs w:val="1"/>
          <w:color w:val="00A3E1"/>
        </w:rPr>
      </w:pPr>
      <w:r>
        <w:rPr>
          <w:rFonts w:ascii="Arial" w:cs="Arial" w:eastAsia="Arial" w:hAnsi="Arial"/>
          <w:sz w:val="18"/>
          <w:szCs w:val="18"/>
          <w:color w:val="auto"/>
        </w:rPr>
        <w:t>President and Chief Executive Officer of ADC Telecommunications, Inc., a supplier of network infrastructure products and services, from August 2003 until December 2010 and Chairman from 2008 until December 2010, when Tyco Electronics Ltd. acquired ADC. Mr. Switz joined ADC in 1994 and throughout his career there held numerous leadership positions.</w:t>
      </w:r>
    </w:p>
    <w:p>
      <w:pPr>
        <w:spacing w:after="0" w:line="261" w:lineRule="exact"/>
        <w:rPr>
          <w:rFonts w:ascii="Arial" w:cs="Arial" w:eastAsia="Arial" w:hAnsi="Arial"/>
          <w:sz w:val="25"/>
          <w:szCs w:val="25"/>
          <w:b w:val="1"/>
          <w:bCs w:val="1"/>
          <w:color w:val="00A3E1"/>
        </w:rPr>
      </w:pPr>
    </w:p>
    <w:p>
      <w:pPr>
        <w:ind w:left="360" w:right="740" w:hanging="236"/>
        <w:spacing w:after="0" w:line="214" w:lineRule="auto"/>
        <w:tabs>
          <w:tab w:leader="none" w:pos="360" w:val="left"/>
        </w:tabs>
        <w:numPr>
          <w:ilvl w:val="0"/>
          <w:numId w:val="19"/>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Switz served on the Board of Directors of Gigamon, Inc. and Mandiant,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360" w:hanging="236"/>
        <w:spacing w:after="0"/>
        <w:tabs>
          <w:tab w:leader="none" w:pos="360" w:val="left"/>
        </w:tabs>
        <w:numPr>
          <w:ilvl w:val="0"/>
          <w:numId w:val="20"/>
        </w:numPr>
        <w:rPr>
          <w:rFonts w:ascii="Arial" w:cs="Arial" w:eastAsia="Arial" w:hAnsi="Arial"/>
          <w:sz w:val="25"/>
          <w:szCs w:val="25"/>
          <w:b w:val="1"/>
          <w:bCs w:val="1"/>
          <w:color w:val="00A3E1"/>
        </w:rPr>
      </w:pPr>
      <w:r>
        <w:rPr>
          <w:rFonts w:ascii="Arial" w:cs="Arial" w:eastAsia="Arial" w:hAnsi="Arial"/>
          <w:sz w:val="18"/>
          <w:szCs w:val="18"/>
          <w:color w:val="auto"/>
        </w:rPr>
        <w:t>Marvell Technology Group Ltd.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Appointed Chair of Micron’s Board of Directors in 2012, Mr. Switz’s experience as Chief Executive Officer and Chairman of a leading technology company and history and leadership on Micron’s Board provide the Board expertise in the technology industry as well as international business operations, finance, corporate development, corporate governance, and management, all of which are critical to achieving our strategic objectives. We believe these experiences, qualifications, attributes, and skills qualify Mr. Switz to serve as a member of our Board.</w:t>
      </w:r>
    </w:p>
    <w:p>
      <w:pPr>
        <w:spacing w:after="0" w:line="210" w:lineRule="exact"/>
        <w:rPr>
          <w:sz w:val="20"/>
          <w:szCs w:val="20"/>
          <w:color w:val="auto"/>
        </w:rPr>
      </w:pPr>
    </w:p>
    <w:p>
      <w:pPr>
        <w:sectPr>
          <w:pgSz w:w="11900" w:h="16838" w:orient="portrait"/>
          <w:cols w:equalWidth="0" w:num="2">
            <w:col w:w="2200" w:space="720"/>
            <w:col w:w="8300"/>
          </w:cols>
          <w:pgMar w:left="340" w:top="125"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76</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2006</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9</w:t>
      </w:r>
    </w:p>
    <w:p>
      <w:pPr>
        <w:sectPr>
          <w:pgSz w:w="11900" w:h="16838" w:orient="portrait"/>
          <w:cols w:equalWidth="0" w:num="1">
            <w:col w:w="11220"/>
          </w:cols>
          <w:pgMar w:left="340" w:top="125" w:right="3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1183005" cy="1543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830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right="660"/>
        <w:spacing w:after="0" w:line="256" w:lineRule="auto"/>
        <w:rPr>
          <w:sz w:val="20"/>
          <w:szCs w:val="20"/>
          <w:color w:val="auto"/>
        </w:rPr>
      </w:pPr>
      <w:r>
        <w:rPr>
          <w:rFonts w:ascii="Arial" w:cs="Arial" w:eastAsia="Arial" w:hAnsi="Arial"/>
          <w:sz w:val="35"/>
          <w:szCs w:val="35"/>
          <w:b w:val="1"/>
          <w:bCs w:val="1"/>
          <w:color w:val="auto"/>
        </w:rPr>
        <w:t>MaryAnn Wright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-189230</wp:posOffset>
            </wp:positionV>
            <wp:extent cx="71323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6" w:lineRule="exact"/>
        <w:rPr>
          <w:sz w:val="20"/>
          <w:szCs w:val="20"/>
          <w:color w:val="auto"/>
        </w:rPr>
      </w:pPr>
    </w:p>
    <w:p>
      <w:pPr>
        <w:ind w:left="360" w:right="200" w:hanging="236"/>
        <w:spacing w:after="0" w:line="227" w:lineRule="auto"/>
        <w:tabs>
          <w:tab w:leader="none" w:pos="36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Group Vice President of Engineering and Product Development of Johnson Controls International (“JCI”) from 2013 to 2017. Ms. Wright also served as Vice President and General Manager for Johnson Controls’ Hybrid Systems business and as CEO of Johnson Controls-Saft from 2007 to 2009.</w:t>
      </w:r>
    </w:p>
    <w:p>
      <w:pPr>
        <w:spacing w:after="0" w:line="45" w:lineRule="exact"/>
        <w:rPr>
          <w:rFonts w:ascii="Arial" w:cs="Arial" w:eastAsia="Arial" w:hAnsi="Arial"/>
          <w:sz w:val="25"/>
          <w:szCs w:val="25"/>
          <w:b w:val="1"/>
          <w:bCs w:val="1"/>
          <w:color w:val="00A3E1"/>
        </w:rPr>
      </w:pPr>
    </w:p>
    <w:p>
      <w:pPr>
        <w:ind w:left="360" w:right="240" w:hanging="236"/>
        <w:spacing w:after="0" w:line="214" w:lineRule="auto"/>
        <w:tabs>
          <w:tab w:leader="none" w:pos="36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Prior to joining JCI, Ms. Wright served in the Office of the Chair and was EVP Engineering, Sales and Program Management at Collins &amp; Aikman from 2006 to 2007.</w:t>
      </w:r>
    </w:p>
    <w:p>
      <w:pPr>
        <w:spacing w:after="0" w:line="247" w:lineRule="exact"/>
        <w:rPr>
          <w:rFonts w:ascii="Arial" w:cs="Arial" w:eastAsia="Arial" w:hAnsi="Arial"/>
          <w:sz w:val="25"/>
          <w:szCs w:val="25"/>
          <w:b w:val="1"/>
          <w:bCs w:val="1"/>
          <w:color w:val="00A3E1"/>
        </w:rPr>
      </w:pPr>
    </w:p>
    <w:p>
      <w:pPr>
        <w:ind w:left="360" w:right="240" w:hanging="236"/>
        <w:spacing w:after="0" w:line="220" w:lineRule="auto"/>
        <w:tabs>
          <w:tab w:leader="none" w:pos="36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45" w:lineRule="exact"/>
        <w:rPr>
          <w:rFonts w:ascii="Arial" w:cs="Arial" w:eastAsia="Arial" w:hAnsi="Arial"/>
          <w:sz w:val="25"/>
          <w:szCs w:val="25"/>
          <w:b w:val="1"/>
          <w:bCs w:val="1"/>
          <w:color w:val="00A3E1"/>
        </w:rPr>
      </w:pPr>
    </w:p>
    <w:p>
      <w:pPr>
        <w:ind w:left="360" w:right="680" w:hanging="236"/>
        <w:spacing w:after="0" w:line="214" w:lineRule="auto"/>
        <w:tabs>
          <w:tab w:leader="none" w:pos="36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Wright served on the Board of Directors of Maxim Integrated Products, Inc. and Delphi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1" w:lineRule="exact"/>
        <w:rPr>
          <w:sz w:val="20"/>
          <w:szCs w:val="20"/>
          <w:color w:val="auto"/>
        </w:rPr>
      </w:pPr>
    </w:p>
    <w:p>
      <w:pPr>
        <w:ind w:left="360" w:hanging="236"/>
        <w:spacing w:after="0"/>
        <w:tabs>
          <w:tab w:leader="none" w:pos="360" w:val="left"/>
        </w:tabs>
        <w:numPr>
          <w:ilvl w:val="0"/>
          <w:numId w:val="22"/>
        </w:numPr>
        <w:rPr>
          <w:rFonts w:ascii="Arial" w:cs="Arial" w:eastAsia="Arial" w:hAnsi="Arial"/>
          <w:sz w:val="25"/>
          <w:szCs w:val="25"/>
          <w:b w:val="1"/>
          <w:bCs w:val="1"/>
          <w:color w:val="00A3E1"/>
        </w:rPr>
      </w:pPr>
      <w:r>
        <w:rPr>
          <w:rFonts w:ascii="Arial" w:cs="Arial" w:eastAsia="Arial" w:hAnsi="Arial"/>
          <w:sz w:val="18"/>
          <w:szCs w:val="18"/>
          <w:color w:val="auto"/>
        </w:rPr>
        <w:t>Group 1 Automotive, Inc.</w:t>
      </w:r>
    </w:p>
    <w:p>
      <w:pPr>
        <w:spacing w:after="0" w:line="23" w:lineRule="exact"/>
        <w:rPr>
          <w:rFonts w:ascii="Arial" w:cs="Arial" w:eastAsia="Arial" w:hAnsi="Arial"/>
          <w:sz w:val="25"/>
          <w:szCs w:val="25"/>
          <w:b w:val="1"/>
          <w:bCs w:val="1"/>
          <w:color w:val="00A3E1"/>
        </w:rPr>
      </w:pPr>
    </w:p>
    <w:p>
      <w:pPr>
        <w:ind w:left="360" w:hanging="236"/>
        <w:spacing w:after="0"/>
        <w:tabs>
          <w:tab w:leader="none" w:pos="360" w:val="left"/>
        </w:tabs>
        <w:numPr>
          <w:ilvl w:val="0"/>
          <w:numId w:val="22"/>
        </w:numPr>
        <w:rPr>
          <w:rFonts w:ascii="Arial" w:cs="Arial" w:eastAsia="Arial" w:hAnsi="Arial"/>
          <w:sz w:val="25"/>
          <w:szCs w:val="25"/>
          <w:b w:val="1"/>
          <w:bCs w:val="1"/>
          <w:color w:val="00A3E1"/>
        </w:rPr>
      </w:pPr>
      <w:r>
        <w:rPr>
          <w:rFonts w:ascii="Arial" w:cs="Arial" w:eastAsia="Arial" w:hAnsi="Arial"/>
          <w:sz w:val="18"/>
          <w:szCs w:val="18"/>
          <w:color w:val="auto"/>
        </w:rPr>
        <w:t>Brunswick Corporation</w:t>
      </w:r>
    </w:p>
    <w:p>
      <w:pPr>
        <w:spacing w:after="0" w:line="23" w:lineRule="exact"/>
        <w:rPr>
          <w:rFonts w:ascii="Arial" w:cs="Arial" w:eastAsia="Arial" w:hAnsi="Arial"/>
          <w:sz w:val="25"/>
          <w:szCs w:val="25"/>
          <w:b w:val="1"/>
          <w:bCs w:val="1"/>
          <w:color w:val="00A3E1"/>
        </w:rPr>
      </w:pPr>
    </w:p>
    <w:p>
      <w:pPr>
        <w:ind w:left="360" w:hanging="236"/>
        <w:spacing w:after="0"/>
        <w:tabs>
          <w:tab w:leader="none" w:pos="360" w:val="left"/>
        </w:tabs>
        <w:numPr>
          <w:ilvl w:val="0"/>
          <w:numId w:val="22"/>
        </w:numPr>
        <w:rPr>
          <w:rFonts w:ascii="Arial" w:cs="Arial" w:eastAsia="Arial" w:hAnsi="Arial"/>
          <w:sz w:val="25"/>
          <w:szCs w:val="25"/>
          <w:b w:val="1"/>
          <w:bCs w:val="1"/>
          <w:color w:val="00A3E1"/>
        </w:rPr>
      </w:pPr>
      <w:r>
        <w:rPr>
          <w:rFonts w:ascii="Arial" w:cs="Arial" w:eastAsia="Arial" w:hAnsi="Arial"/>
          <w:sz w:val="18"/>
          <w:szCs w:val="18"/>
          <w:color w:val="auto"/>
        </w:rPr>
        <w:t>Solid Power,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w:t>
      </w:r>
    </w:p>
    <w:p>
      <w:pPr>
        <w:spacing w:after="0" w:line="200" w:lineRule="exact"/>
        <w:rPr>
          <w:sz w:val="20"/>
          <w:szCs w:val="20"/>
          <w:color w:val="auto"/>
        </w:rPr>
      </w:pPr>
    </w:p>
    <w:p>
      <w:pPr>
        <w:sectPr>
          <w:pgSz w:w="11900" w:h="16838" w:orient="portrait"/>
          <w:cols w:equalWidth="0" w:num="2">
            <w:col w:w="2220" w:space="720"/>
            <w:col w:w="8300"/>
          </w:cols>
          <w:pgMar w:left="320" w:top="12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60</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2019</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approval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Director Nominations and Board Refreshment and Diversity</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Nomination Process</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the knowledge, experience, integrity, and judgment of the candidates, their contribution to the diversity of backgrounds, experience and skills on the Board, and their ability to devote sufficient time and effort to their duties as directors. The Governance and Sustainability Committee considers the following experience particularly relevant: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the Nasdaq Stock Market LLC (“Nasdaq”) and relevant rules and regulations of the Securities and Exchange Commission (“SEC”). The Governance and Sustainability Committee then recommends the best candidates to the Board.</w:t>
      </w:r>
    </w:p>
    <w:p>
      <w:pPr>
        <w:spacing w:after="0" w:line="21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When the Board decides to add directors to the Board, the Governance and Sustainability Committee works with a third party executive search firm to assist them in identifying and evaluating potential candidates.</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the range of viewpoints represented on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Recommendations of Director Candidates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recommend a director candidate to the Governance and Sustainability Committee by delivering a written notice to our Corporate Secretary at our principal executive offices and including the following in the notice: the name and address of the shareholder as they appear on our books or other proof of share ownership; the number of shares of our Common Stock beneficially owned by the shareholder as of the date the shareholder gives written notice; a description of all arrangements or understandings between the shareholder and the director candidate and any other person(s) pursuant to which the recommendation or nomination is to be made by the shareholder; the name, age, business address, and residence address of the director candidate and a description of the director candidate’s business experience for at least the previous five years; the principal occupation or employment of the director candidate; the number of shares of our Common Stock beneficially owned by the director candidate; the consent of the director candidate to serve as a member of our Board if appointed or elected; and any other information required to be disclosed with respect to a director nominee in solicitations for proxies for the election of directors pursuant to our Bylaws and the applicable rules of the SEC.</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Governance and Sustainability Committee may require additional information as it deems reasonably required to determine the eligibility of the director candidate to serve as a member of our Board. Shareholders recommending candidates for consideration by our Board in connection with the next annual meeting of shareholders should submit their written recommendation no later than one hundred twenty (120) calendar days in advance of the date of our Proxy Statement released in connection with the previous year's annual meeting of shareholders. 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candidate is suitable for membership on our Board, it will include the candidate in the pool of candidates to be considered for nomination upon the occurrence of the next vacancy on our Board or in connection with the next annual meeting of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Bylaws permit up to 20 shareholders owning continuously for at least three years shares representing in the aggregate at least 3% of the total voting power of the Company’s outstanding common stock to nominate and include shareholder-nominated director candidates in our proxy materials for annual meetings of shareholders. A shareholder, or group of not more than 20 shareholders (collectively, an “eligible shareholder”), meeting specified eligibility requirements is generally permitted to nominate the greater of (i) two director nominees or (ii) 20% of the number of directors on our Board. Use of the proxy access process to submit shareholder nominees is subject to additional eligibility, procedural, and disclosure requirements set forth in Article II, Section 11 of our Bylaws. A copy of our Bylaws can be found on the Corporate Governance page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available in print without charge upon request to corporatesecretary@micron.com.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Director Nominations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Governance and Sustainability Committee as described above) and who do not intend for the nomination to be included in our proxy materials pursuant to the proxy access process described above must comply with the advance notice requirement set forth in Article II, Section 11 of our Bylaws.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Refreshment and Diversity</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 With the appointments of Ms. Haynesworth in 2021, Ms. Dugle in 2020, Ms. Wright in 2019, and Ms. McCarthy and Mr. Gomo in 2018, our Board refreshed its composition while maintaining institutional knowledge with directors of varying lengths of tenure.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Governance and Sustainability Committee is committed to continuing to identify and recruit highly qualified director candidates with diverse experiences, perspectives, and backgrounds to join our Board. The table below provides certain information regarding the composition of our Board. Each of the categories listed in the table below has the meaning as it is used in Nasdaq Rule 5605(f) and related instructions.</w:t>
      </w:r>
    </w:p>
    <w:p>
      <w:pPr>
        <w:spacing w:after="0" w:line="23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Board Diversity Matrix</w:t>
      </w:r>
    </w:p>
    <w:p>
      <w:pPr>
        <w:jc w:val="center"/>
        <w:ind w:right="740"/>
        <w:spacing w:after="0"/>
        <w:rPr>
          <w:sz w:val="20"/>
          <w:szCs w:val="20"/>
          <w:color w:val="auto"/>
        </w:rPr>
      </w:pPr>
      <w:r>
        <w:rPr>
          <w:rFonts w:ascii="Arial" w:cs="Arial" w:eastAsia="Arial" w:hAnsi="Arial"/>
          <w:sz w:val="18"/>
          <w:szCs w:val="18"/>
          <w:b w:val="1"/>
          <w:bCs w:val="1"/>
          <w:color w:val="auto"/>
        </w:rPr>
        <w:t>(as of September 2, 2021 and September 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0090DA"/>
              <w:bottom w:val="single" w:sz="8" w:color="0090DA"/>
            </w:tcBorders>
          </w:tcPr>
          <w:p>
            <w:pPr>
              <w:ind w:left="20"/>
              <w:spacing w:after="0"/>
              <w:rPr>
                <w:sz w:val="20"/>
                <w:szCs w:val="20"/>
                <w:color w:val="auto"/>
              </w:rPr>
            </w:pPr>
            <w:r>
              <w:rPr>
                <w:rFonts w:ascii="Arial" w:cs="Arial" w:eastAsia="Arial" w:hAnsi="Arial"/>
                <w:sz w:val="18"/>
                <w:szCs w:val="18"/>
                <w:color w:val="auto"/>
              </w:rPr>
              <w:t>Total Number of Directors</w:t>
            </w:r>
          </w:p>
        </w:tc>
        <w:tc>
          <w:tcPr>
            <w:tcW w:w="1260" w:type="dxa"/>
            <w:vAlign w:val="bottom"/>
            <w:tcBorders>
              <w:top w:val="single" w:sz="8" w:color="0090DA"/>
              <w:bottom w:val="single" w:sz="8" w:color="0090DA"/>
            </w:tcBorders>
          </w:tcPr>
          <w:p>
            <w:pPr>
              <w:spacing w:after="0"/>
              <w:rPr>
                <w:sz w:val="21"/>
                <w:szCs w:val="21"/>
                <w:color w:val="auto"/>
              </w:rPr>
            </w:pPr>
          </w:p>
        </w:tc>
        <w:tc>
          <w:tcPr>
            <w:tcW w:w="1040" w:type="dxa"/>
            <w:vAlign w:val="bottom"/>
            <w:tcBorders>
              <w:top w:val="single" w:sz="8" w:color="0090DA"/>
              <w:bottom w:val="single" w:sz="8" w:color="0090DA"/>
            </w:tcBorders>
          </w:tcPr>
          <w:p>
            <w:pPr>
              <w:spacing w:after="0"/>
              <w:rPr>
                <w:sz w:val="21"/>
                <w:szCs w:val="21"/>
                <w:color w:val="auto"/>
              </w:rPr>
            </w:pPr>
          </w:p>
        </w:tc>
        <w:tc>
          <w:tcPr>
            <w:tcW w:w="1640" w:type="dxa"/>
            <w:vAlign w:val="bottom"/>
            <w:tcBorders>
              <w:top w:val="single" w:sz="8" w:color="0090DA"/>
              <w:bottom w:val="single" w:sz="8" w:color="0090DA"/>
            </w:tcBorders>
          </w:tcPr>
          <w:p>
            <w:pPr>
              <w:jc w:val="right"/>
              <w:ind w:right="1250"/>
              <w:spacing w:after="0"/>
              <w:rPr>
                <w:sz w:val="20"/>
                <w:szCs w:val="20"/>
                <w:color w:val="auto"/>
              </w:rPr>
            </w:pPr>
            <w:r>
              <w:rPr>
                <w:rFonts w:ascii="Arial" w:cs="Arial" w:eastAsia="Arial" w:hAnsi="Arial"/>
                <w:sz w:val="18"/>
                <w:szCs w:val="18"/>
                <w:color w:val="auto"/>
              </w:rPr>
              <w:t>8</w:t>
            </w:r>
          </w:p>
        </w:tc>
        <w:tc>
          <w:tcPr>
            <w:tcW w:w="1280" w:type="dxa"/>
            <w:vAlign w:val="bottom"/>
            <w:tcBorders>
              <w:top w:val="single" w:sz="8" w:color="0090DA"/>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Did Not</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15"/>
                <w:szCs w:val="15"/>
                <w:color w:val="auto"/>
              </w:rPr>
            </w:pPr>
          </w:p>
        </w:tc>
        <w:tc>
          <w:tcPr>
            <w:tcW w:w="12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Female</w:t>
            </w:r>
          </w:p>
        </w:tc>
        <w:tc>
          <w:tcPr>
            <w:tcW w:w="10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Male</w:t>
            </w:r>
          </w:p>
        </w:tc>
        <w:tc>
          <w:tcPr>
            <w:tcW w:w="164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8"/>
              </w:rPr>
              <w:t>Non-Binary</w:t>
            </w:r>
          </w:p>
        </w:tc>
        <w:tc>
          <w:tcPr>
            <w:tcW w:w="12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Disclose</w:t>
            </w:r>
          </w:p>
        </w:tc>
        <w:tc>
          <w:tcPr>
            <w:tcW w:w="0" w:type="dxa"/>
            <w:vAlign w:val="bottom"/>
          </w:tcPr>
          <w:p>
            <w:pPr>
              <w:spacing w:after="0"/>
              <w:rPr>
                <w:sz w:val="1"/>
                <w:szCs w:val="1"/>
                <w:color w:val="auto"/>
              </w:rPr>
            </w:pPr>
          </w:p>
        </w:tc>
      </w:tr>
      <w:tr>
        <w:trPr>
          <w:trHeight w:val="247"/>
        </w:trPr>
        <w:tc>
          <w:tcPr>
            <w:tcW w:w="5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2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18"/>
        </w:trPr>
        <w:tc>
          <w:tcPr>
            <w:tcW w:w="5260" w:type="dxa"/>
            <w:vAlign w:val="bottom"/>
            <w:tcBorders>
              <w:bottom w:val="single" w:sz="8" w:color="0090DA"/>
            </w:tcBorders>
            <w:vMerge w:val="continue"/>
          </w:tcPr>
          <w:p>
            <w:pPr>
              <w:spacing w:after="0"/>
              <w:rPr>
                <w:sz w:val="18"/>
                <w:szCs w:val="18"/>
                <w:color w:val="auto"/>
              </w:rPr>
            </w:pPr>
          </w:p>
        </w:tc>
        <w:tc>
          <w:tcPr>
            <w:tcW w:w="1260" w:type="dxa"/>
            <w:vAlign w:val="bottom"/>
            <w:tcBorders>
              <w:bottom w:val="single" w:sz="8" w:color="0090DA"/>
            </w:tcBorders>
          </w:tcPr>
          <w:p>
            <w:pPr>
              <w:spacing w:after="0"/>
              <w:rPr>
                <w:sz w:val="18"/>
                <w:szCs w:val="18"/>
                <w:color w:val="auto"/>
              </w:rPr>
            </w:pPr>
          </w:p>
        </w:tc>
        <w:tc>
          <w:tcPr>
            <w:tcW w:w="1040" w:type="dxa"/>
            <w:vAlign w:val="bottom"/>
            <w:tcBorders>
              <w:bottom w:val="single" w:sz="8" w:color="0090DA"/>
            </w:tcBorders>
          </w:tcPr>
          <w:p>
            <w:pPr>
              <w:spacing w:after="0"/>
              <w:rPr>
                <w:sz w:val="18"/>
                <w:szCs w:val="18"/>
                <w:color w:val="auto"/>
              </w:rPr>
            </w:pPr>
          </w:p>
        </w:tc>
        <w:tc>
          <w:tcPr>
            <w:tcW w:w="1640" w:type="dxa"/>
            <w:vAlign w:val="bottom"/>
            <w:tcBorders>
              <w:bottom w:val="single" w:sz="8" w:color="0090DA"/>
            </w:tcBorders>
          </w:tcPr>
          <w:p>
            <w:pPr>
              <w:spacing w:after="0"/>
              <w:rPr>
                <w:sz w:val="18"/>
                <w:szCs w:val="18"/>
                <w:color w:val="auto"/>
              </w:rPr>
            </w:pPr>
          </w:p>
        </w:tc>
        <w:tc>
          <w:tcPr>
            <w:tcW w:w="1280" w:type="dxa"/>
            <w:vAlign w:val="bottom"/>
            <w:tcBorders>
              <w:bottom w:val="single" w:sz="8" w:color="0090DA"/>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tcPr>
          <w:p>
            <w:pPr>
              <w:ind w:left="220"/>
              <w:spacing w:after="0"/>
              <w:rPr>
                <w:sz w:val="20"/>
                <w:szCs w:val="20"/>
                <w:color w:val="auto"/>
              </w:rPr>
            </w:pPr>
            <w:r>
              <w:rPr>
                <w:rFonts w:ascii="Arial" w:cs="Arial" w:eastAsia="Arial" w:hAnsi="Arial"/>
                <w:sz w:val="18"/>
                <w:szCs w:val="18"/>
                <w:color w:val="auto"/>
              </w:rPr>
              <w:t>Directors</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4</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52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26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tcPr>
          <w:p>
            <w:pPr>
              <w:spacing w:after="0"/>
              <w:rPr>
                <w:sz w:val="20"/>
                <w:szCs w:val="20"/>
                <w:color w:val="auto"/>
              </w:rPr>
            </w:pPr>
          </w:p>
        </w:tc>
        <w:tc>
          <w:tcPr>
            <w:tcW w:w="164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African American or Black</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1</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Alaskan Native or Native American</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Asian</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1</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Hispanic or Latinx</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Native Hawaiian or Pacific Islander</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White</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3</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Two or More Races or Ethnicities</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LGBTQ+</w:t>
            </w: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2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Did Not Disclose Demographic Background</w:t>
            </w:r>
          </w:p>
        </w:tc>
        <w:tc>
          <w:tcPr>
            <w:tcW w:w="1260" w:type="dxa"/>
            <w:vAlign w:val="bottom"/>
            <w:shd w:val="clear" w:color="auto" w:fill="DBDBDB"/>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center"/>
              <w:ind w:lef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center"/>
              <w:ind w:lef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58"/>
        </w:trPr>
        <w:tc>
          <w:tcPr>
            <w:tcW w:w="5260" w:type="dxa"/>
            <w:vAlign w:val="bottom"/>
          </w:tcPr>
          <w:p>
            <w:pPr>
              <w:spacing w:after="0"/>
              <w:rPr>
                <w:sz w:val="20"/>
                <w:szCs w:val="20"/>
                <w:color w:val="auto"/>
              </w:rPr>
            </w:pPr>
            <w:r>
              <w:rPr>
                <w:rFonts w:ascii="Arial" w:cs="Arial" w:eastAsia="Arial" w:hAnsi="Arial"/>
                <w:sz w:val="18"/>
                <w:szCs w:val="18"/>
                <w:color w:val="auto"/>
              </w:rPr>
              <w:t>In addition, one of our directors is a veteran of the U.S. military.</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The Board’s Role and Responsibilities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Shareholder Engagement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engaging with our shareholders and soliciting their views and input on important matters.</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directors occasionally participate in discussions with our shareholders.</w:t>
      </w:r>
    </w:p>
    <w:p>
      <w:pPr>
        <w:spacing w:after="0" w:line="252"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Members of our management team, together with our investor relations, sustainability and legal teams, maintain an active dialogue with shareholders throughout the year to obtain their input on key matters, and keep our management and Board informed about the issues that matter most to our shareholders.</w:t>
      </w:r>
    </w:p>
    <w:p>
      <w:pPr>
        <w:spacing w:after="0" w:line="197"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and Governance and Sustainability Committee routinely review our executive compensation design and governance practices and policies, with an eye towards continual improvement and enhancements. Our investor relations team updates the Board concerning shareholder input on these issues, allowing the Board and its committees to take shareholder input into account when setting pay and governance practices.</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fiscal 2022, our discussions with investors covered a variety of topics, including performance, executive compensation, board composition, governance, environmental sustainability, human capital management, and diversity, equality, and inclusion (“DEI”).</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13</w:t>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Human Capital and Culture</w:t>
      </w:r>
    </w:p>
    <w:p>
      <w:pPr>
        <w:spacing w:after="0" w:line="24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our people are our most important resource and a critical driver of our competitive advantage. We also believe that our best innovation springs from our team members’ diverse experiences, perspectives, and backgrounds. Our Board considers the creation and maintenance of a diverse and inclusive environment to be a crucial element of the Company’s business strategy, including effectively addressing customer, shareholder, and other stakeholder needs, and believes each Micron hire is an opportunity to enhance the competencies, skills, talent, experience, and perspectives in our Company with diverse perspectives, backgrounds, and viewpoints. The Board has tasked the Company’s management team with taking a proactive approach to DEI, and periodically reviews our programs and processes to ensure continual improvement. In addition to this proactive approach to improving our Company, the Board encouraged the Company to commit resources to the well-being of our communities across the globe. In fiscal 2022, we continued our progress increasing representation of underrepresented groups, maintained pay equity, and continued our work to strengthen our culture of inclusion. We also continued making progress on our six DEI commitments, which focus on internal opportunities and expand our impact outside of Micron into the communities where we work and live. In fiscal 2022, we achieved our goal of investing $500 million with minority-owned and led organizations that provide vital financial services to underserved communities.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Board believes a diverse workforce is a competitive advantage and that diverse teams drive more innovation, delivering value to our customers and increased returns to shareholders. We believe diverse teams expand creativity and problem-solving, lead to better decision-making, and enhance team member engagement and retention. Encouraged by our Board, we actively pursue a diverse talent pool using advanced technologies and inclusive hiring practices, and we partner with universities around the world to help us grow a workforce that reflects our customers and our communities.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Equality</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our vision to enrich life for all includes how we compensate our employees. We analyze our global compensation and benefits to ensure opportunities for all employees because our People value makes it essential we pay everyone fairly. In fiscal 2022, we maintained comprehensive global pay equity for all employees in total compensation across base pay, bonuses, and stock rewards. We have a regular review cadence for pay globally—including base pay and stock awards. If we find gaps during the review, we fix them. We work with a third-party and use dynamic technology to help us analyze and understand our pay variances and adjust when needed. Historically, our pay equity study has focused on gender globally. Our study now focuses on all underrepresented groups: women and people with disabilities globally and veterans, Blacks, and Hispanics in the United States. In addition, in fiscal 2022 we expanded opportunities for pay equity and inclusive benefits by adding race/ethnicity information into our pay equity analysis outside of the United States, including Singapore Malay. We are committed to pay equity for all.</w:t>
      </w:r>
    </w:p>
    <w:p>
      <w:pPr>
        <w:spacing w:after="0" w:line="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integrate training on inclusion and allyship, inviting our global employees to learn from various underrepresented groups about their culture, lived experiences, and challenges they may face as a result of their differences. In addition, we provided global inclusive leadership training in fiscal 2022, with an emphasis on supporting team members with disabilities. These trainings help our employees and leaders understand, recognize, and overcome the unconscious biases we all have. We have also added an inclusion advocate in talent review meetings. The inclusion advocate listens carefully for unconscious bias, calls any to the attention of the team, and challenges unfair assumptions to ensure decisions regarding promotions, rotation assignments, access to training and other advancement opportunities are determined fairly.</w:t>
      </w:r>
    </w:p>
    <w:p>
      <w:pPr>
        <w:spacing w:after="0" w:line="2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also provide grants to minority-owned businesses to help underrepresented businesses have equitable opportunities, which also creates a multiplying effect on the economies of those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Inclusion</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that creating an inclusive culture at Micron helps us unleash the human potential of our team members, so everyone feels seen, heard, valued, and respected. These values help us create an environment where team members know they can bring their whole selves to work developing the next solution for data storage, health care technology, self-driving cars, or whatever our applications need to do to drive technology forward. We continue to strengthen our culture of inclusion, with a continued increase in our Inclusion Index score in fiscal 2022 for the third year in a row. And employee resource group (“ERG”) membership continued to grow, increasing by 47% from fiscal 2021, with 39% of our workforce belonging to at least one ERG. In addition, in fiscal 2022 for the first time, we issued stock grants to team members for leadership of our ERGs.</w:t>
      </w:r>
    </w:p>
    <w:p>
      <w:pPr>
        <w:spacing w:after="0" w:line="21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Please see our DEI Annual Report 2021, available at micron.com/DEI, for more information about how we ensure DEI is part of our Company’s global DNA, expanding to a global focus, especially in Asia. Our DEI Annual Report 2021 and the information at or accessible through our website, are not part of or incorporated by reference into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Sustainability</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Our commitment to understanding and addressing environmental, social, and governance (“ESG”) issues along our value chain and in our communities is a critical part of our culture and our vision to transform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Our Board considers ESG issues to be an integral part of its business oversight and our corporate strategy, and has encouraged a proactive approach toward mitigating our impact on the environment, supporting our team members and the communities in which they live, respecting human rights, driving transparency and accountability in our supply chain, and developing innovative products that support a sustainable future. We have developed and are executing on a sustainability strategy in response to these issues that leverages our leading products, responsible sourcing and operations, and engaged team members.</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material ESG trends and related long and short-term impacts of the Company’s operations, supply chains, and products, as well as the Company’s activities and annual public reporting on these topics directed by the Company’s Sustainability Council, sustainability staff, and various teams implementing the Company’s sustainability efforts.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Governance and Sustainability Committee reviews and discusses ESG issues at each regularly-scheduled committee meeting. Discussions and reports to the Committee include information about significant ESG issues, such as observations from consultations with team members, customers, investors, and other stakeholders about their interests and expectations for us; our social and environmental impacts and benefits; and the impacts of these issues on our business. Over the past year, the Governance and Sustainability Committee reviewed the implementation of our long-term environmental goals and aspirations. We expect to allocate about $1 billion of capital expenditures to support these goals, though we cannot guarantee that our environmental goals and aspirations set forth below will be realized. These goals and initiatives have been developed based in part on feedback from investors, customers, and current and prospective team members, and are a critical component of our management of evolving physical, regulatory, market, supply chain, and other risks and opportunities related to climate change, water availability, and other ESG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ectPr>
          <w:pgSz w:w="11900" w:h="16838" w:orient="portrait"/>
          <w:cols w:equalWidth="0" w:num="1">
            <w:col w:w="11240"/>
          </w:cols>
          <w:pgMar w:left="320" w:top="12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Environmental Goals and Aspirations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Borders>
              <w:top w:val="single" w:sz="8" w:color="0090DA"/>
              <w:bottom w:val="single" w:sz="8" w:color="0090DA"/>
            </w:tcBorders>
          </w:tcPr>
          <w:p>
            <w:pPr>
              <w:spacing w:after="0"/>
              <w:rPr>
                <w:sz w:val="19"/>
                <w:szCs w:val="19"/>
                <w:color w:val="auto"/>
              </w:rPr>
            </w:pPr>
          </w:p>
        </w:tc>
        <w:tc>
          <w:tcPr>
            <w:tcW w:w="5040" w:type="dxa"/>
            <w:vAlign w:val="bottom"/>
            <w:tcBorders>
              <w:top w:val="single" w:sz="8" w:color="0090DA"/>
              <w:bottom w:val="single" w:sz="8" w:color="0090DA"/>
            </w:tcBorders>
          </w:tcPr>
          <w:p>
            <w:pPr>
              <w:jc w:val="center"/>
              <w:ind w:left="50"/>
              <w:spacing w:after="0"/>
              <w:rPr>
                <w:sz w:val="20"/>
                <w:szCs w:val="20"/>
                <w:color w:val="auto"/>
              </w:rPr>
            </w:pPr>
            <w:r>
              <w:rPr>
                <w:rFonts w:ascii="Arial" w:cs="Arial" w:eastAsia="Arial" w:hAnsi="Arial"/>
                <w:sz w:val="18"/>
                <w:szCs w:val="18"/>
                <w:b w:val="1"/>
                <w:bCs w:val="1"/>
                <w:color w:val="auto"/>
                <w:w w:val="99"/>
              </w:rPr>
              <w:t>Goals</w:t>
            </w:r>
          </w:p>
        </w:tc>
        <w:tc>
          <w:tcPr>
            <w:tcW w:w="4740" w:type="dxa"/>
            <w:vAlign w:val="bottom"/>
            <w:tcBorders>
              <w:top w:val="single" w:sz="8" w:color="0090DA"/>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Aspirations</w:t>
            </w:r>
          </w:p>
        </w:tc>
      </w:tr>
      <w:tr>
        <w:trPr>
          <w:trHeight w:val="177"/>
        </w:trPr>
        <w:tc>
          <w:tcPr>
            <w:tcW w:w="1400" w:type="dxa"/>
            <w:vAlign w:val="bottom"/>
            <w:shd w:val="clear" w:color="auto" w:fill="D1D2D4"/>
          </w:tcPr>
          <w:p>
            <w:pPr>
              <w:ind w:left="20"/>
              <w:spacing w:after="0" w:line="177" w:lineRule="exact"/>
              <w:rPr>
                <w:sz w:val="20"/>
                <w:szCs w:val="20"/>
                <w:color w:val="auto"/>
              </w:rPr>
            </w:pPr>
            <w:r>
              <w:rPr>
                <w:rFonts w:ascii="Arial" w:cs="Arial" w:eastAsia="Arial" w:hAnsi="Arial"/>
                <w:sz w:val="18"/>
                <w:szCs w:val="18"/>
                <w:b w:val="1"/>
                <w:bCs w:val="1"/>
                <w:color w:val="auto"/>
              </w:rPr>
              <w:t>Emissions:</w:t>
            </w:r>
          </w:p>
        </w:tc>
        <w:tc>
          <w:tcPr>
            <w:tcW w:w="5040" w:type="dxa"/>
            <w:vAlign w:val="bottom"/>
            <w:shd w:val="clear" w:color="auto" w:fill="D1D2D4"/>
          </w:tcPr>
          <w:p>
            <w:pPr>
              <w:jc w:val="center"/>
              <w:ind w:left="30"/>
              <w:spacing w:after="0" w:line="177" w:lineRule="exact"/>
              <w:rPr>
                <w:sz w:val="20"/>
                <w:szCs w:val="20"/>
                <w:color w:val="auto"/>
              </w:rPr>
            </w:pPr>
            <w:r>
              <w:rPr>
                <w:rFonts w:ascii="Arial" w:cs="Arial" w:eastAsia="Arial" w:hAnsi="Arial"/>
                <w:sz w:val="18"/>
                <w:szCs w:val="18"/>
                <w:color w:val="auto"/>
                <w:w w:val="99"/>
              </w:rPr>
              <w:t>75% reduction in greenhouse gas emissions per unit in</w:t>
            </w:r>
          </w:p>
        </w:tc>
        <w:tc>
          <w:tcPr>
            <w:tcW w:w="4740" w:type="dxa"/>
            <w:vAlign w:val="bottom"/>
            <w:shd w:val="clear" w:color="auto" w:fill="D1D2D4"/>
          </w:tcPr>
          <w:p>
            <w:pPr>
              <w:jc w:val="center"/>
              <w:spacing w:after="0" w:line="177" w:lineRule="exact"/>
              <w:rPr>
                <w:sz w:val="20"/>
                <w:szCs w:val="20"/>
                <w:color w:val="auto"/>
              </w:rPr>
            </w:pPr>
            <w:r>
              <w:rPr>
                <w:rFonts w:ascii="Arial" w:cs="Arial" w:eastAsia="Arial" w:hAnsi="Arial"/>
                <w:sz w:val="18"/>
                <w:szCs w:val="18"/>
                <w:color w:val="auto"/>
              </w:rPr>
              <w:t>Net zero scope 1 and 2 emissions by</w:t>
            </w:r>
          </w:p>
        </w:tc>
      </w:tr>
      <w:tr>
        <w:trPr>
          <w:trHeight w:val="239"/>
        </w:trPr>
        <w:tc>
          <w:tcPr>
            <w:tcW w:w="1400" w:type="dxa"/>
            <w:vAlign w:val="bottom"/>
            <w:shd w:val="clear" w:color="auto" w:fill="D1D2D4"/>
          </w:tcPr>
          <w:p>
            <w:pPr>
              <w:spacing w:after="0"/>
              <w:rPr>
                <w:sz w:val="20"/>
                <w:szCs w:val="20"/>
                <w:color w:val="auto"/>
              </w:rPr>
            </w:pPr>
          </w:p>
        </w:tc>
        <w:tc>
          <w:tcPr>
            <w:tcW w:w="5040" w:type="dxa"/>
            <w:vAlign w:val="bottom"/>
            <w:shd w:val="clear" w:color="auto" w:fill="D1D2D4"/>
          </w:tcPr>
          <w:p>
            <w:pPr>
              <w:jc w:val="center"/>
              <w:ind w:left="30"/>
              <w:spacing w:after="0"/>
              <w:rPr>
                <w:sz w:val="20"/>
                <w:szCs w:val="20"/>
                <w:color w:val="auto"/>
              </w:rPr>
            </w:pPr>
            <w:r>
              <w:rPr>
                <w:rFonts w:ascii="Arial" w:cs="Arial" w:eastAsia="Arial" w:hAnsi="Arial"/>
                <w:sz w:val="18"/>
                <w:szCs w:val="18"/>
                <w:color w:val="auto"/>
                <w:w w:val="99"/>
              </w:rPr>
              <w:t>calendar year 2030 vs. calendar year 2018</w:t>
            </w:r>
          </w:p>
        </w:tc>
        <w:tc>
          <w:tcPr>
            <w:tcW w:w="47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calendar year 2050</w:t>
            </w:r>
          </w:p>
        </w:tc>
      </w:tr>
      <w:tr>
        <w:trPr>
          <w:trHeight w:val="396"/>
        </w:trPr>
        <w:tc>
          <w:tcPr>
            <w:tcW w:w="1400" w:type="dxa"/>
            <w:vAlign w:val="bottom"/>
            <w:shd w:val="clear" w:color="auto" w:fill="D1D2D4"/>
          </w:tcPr>
          <w:p>
            <w:pPr>
              <w:spacing w:after="0"/>
              <w:rPr>
                <w:sz w:val="24"/>
                <w:szCs w:val="24"/>
                <w:color w:val="auto"/>
              </w:rPr>
            </w:pPr>
          </w:p>
        </w:tc>
        <w:tc>
          <w:tcPr>
            <w:tcW w:w="5040" w:type="dxa"/>
            <w:vAlign w:val="bottom"/>
            <w:shd w:val="clear" w:color="auto" w:fill="D1D2D4"/>
          </w:tcPr>
          <w:p>
            <w:pPr>
              <w:jc w:val="center"/>
              <w:ind w:left="30"/>
              <w:spacing w:after="0"/>
              <w:rPr>
                <w:sz w:val="20"/>
                <w:szCs w:val="20"/>
                <w:color w:val="auto"/>
              </w:rPr>
            </w:pPr>
            <w:r>
              <w:rPr>
                <w:rFonts w:ascii="Arial" w:cs="Arial" w:eastAsia="Arial" w:hAnsi="Arial"/>
                <w:sz w:val="18"/>
                <w:szCs w:val="18"/>
                <w:color w:val="auto"/>
                <w:w w:val="99"/>
              </w:rPr>
              <w:t>42% absolute reduction in scope 1 emissions by</w:t>
            </w:r>
          </w:p>
        </w:tc>
        <w:tc>
          <w:tcPr>
            <w:tcW w:w="4740" w:type="dxa"/>
            <w:vAlign w:val="bottom"/>
            <w:shd w:val="clear" w:color="auto" w:fill="D1D2D4"/>
          </w:tcPr>
          <w:p>
            <w:pPr>
              <w:spacing w:after="0"/>
              <w:rPr>
                <w:sz w:val="24"/>
                <w:szCs w:val="24"/>
                <w:color w:val="auto"/>
              </w:rPr>
            </w:pPr>
          </w:p>
        </w:tc>
      </w:tr>
      <w:tr>
        <w:trPr>
          <w:trHeight w:val="248"/>
        </w:trPr>
        <w:tc>
          <w:tcPr>
            <w:tcW w:w="1400" w:type="dxa"/>
            <w:vAlign w:val="bottom"/>
            <w:shd w:val="clear" w:color="auto" w:fill="D1D2D4"/>
          </w:tcPr>
          <w:p>
            <w:pPr>
              <w:spacing w:after="0"/>
              <w:rPr>
                <w:sz w:val="21"/>
                <w:szCs w:val="21"/>
                <w:color w:val="auto"/>
              </w:rPr>
            </w:pPr>
          </w:p>
        </w:tc>
        <w:tc>
          <w:tcPr>
            <w:tcW w:w="5040" w:type="dxa"/>
            <w:vAlign w:val="bottom"/>
            <w:shd w:val="clear" w:color="auto" w:fill="D1D2D4"/>
          </w:tcPr>
          <w:p>
            <w:pPr>
              <w:jc w:val="center"/>
              <w:ind w:left="30"/>
              <w:spacing w:after="0"/>
              <w:rPr>
                <w:sz w:val="20"/>
                <w:szCs w:val="20"/>
                <w:color w:val="auto"/>
              </w:rPr>
            </w:pPr>
            <w:r>
              <w:rPr>
                <w:rFonts w:ascii="Arial" w:cs="Arial" w:eastAsia="Arial" w:hAnsi="Arial"/>
                <w:sz w:val="18"/>
                <w:szCs w:val="18"/>
                <w:color w:val="auto"/>
                <w:w w:val="99"/>
              </w:rPr>
              <w:t>calendar year 2030 vs. calendar year 2020</w:t>
            </w:r>
          </w:p>
        </w:tc>
        <w:tc>
          <w:tcPr>
            <w:tcW w:w="4740" w:type="dxa"/>
            <w:vAlign w:val="bottom"/>
            <w:shd w:val="clear" w:color="auto" w:fill="D1D2D4"/>
          </w:tcPr>
          <w:p>
            <w:pPr>
              <w:spacing w:after="0"/>
              <w:rPr>
                <w:sz w:val="21"/>
                <w:szCs w:val="21"/>
                <w:color w:val="auto"/>
              </w:rPr>
            </w:pPr>
          </w:p>
        </w:tc>
      </w:tr>
      <w:tr>
        <w:trPr>
          <w:trHeight w:val="184"/>
        </w:trPr>
        <w:tc>
          <w:tcPr>
            <w:tcW w:w="14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Energy:</w:t>
            </w:r>
          </w:p>
        </w:tc>
        <w:tc>
          <w:tcPr>
            <w:tcW w:w="5040" w:type="dxa"/>
            <w:vAlign w:val="bottom"/>
          </w:tcPr>
          <w:p>
            <w:pPr>
              <w:jc w:val="center"/>
              <w:ind w:left="30"/>
              <w:spacing w:after="0" w:line="183" w:lineRule="exact"/>
              <w:rPr>
                <w:sz w:val="20"/>
                <w:szCs w:val="20"/>
                <w:color w:val="auto"/>
              </w:rPr>
            </w:pPr>
            <w:r>
              <w:rPr>
                <w:rFonts w:ascii="Arial" w:cs="Arial" w:eastAsia="Arial" w:hAnsi="Arial"/>
                <w:sz w:val="18"/>
                <w:szCs w:val="18"/>
                <w:color w:val="auto"/>
                <w:w w:val="99"/>
              </w:rPr>
              <w:t>100% renewable energy in U.S. operations in</w:t>
            </w:r>
          </w:p>
        </w:tc>
        <w:tc>
          <w:tcPr>
            <w:tcW w:w="4740" w:type="dxa"/>
            <w:vAlign w:val="bottom"/>
          </w:tcPr>
          <w:p>
            <w:pPr>
              <w:jc w:val="center"/>
              <w:spacing w:after="0" w:line="183" w:lineRule="exact"/>
              <w:rPr>
                <w:sz w:val="20"/>
                <w:szCs w:val="20"/>
                <w:color w:val="auto"/>
              </w:rPr>
            </w:pPr>
            <w:r>
              <w:rPr>
                <w:rFonts w:ascii="Arial" w:cs="Arial" w:eastAsia="Arial" w:hAnsi="Arial"/>
                <w:sz w:val="18"/>
                <w:szCs w:val="18"/>
                <w:color w:val="auto"/>
                <w:w w:val="99"/>
              </w:rPr>
              <w:t>100% renewable energy worldwide, where available</w:t>
            </w:r>
          </w:p>
        </w:tc>
      </w:tr>
      <w:tr>
        <w:trPr>
          <w:trHeight w:val="239"/>
        </w:trPr>
        <w:tc>
          <w:tcPr>
            <w:tcW w:w="1400" w:type="dxa"/>
            <w:vAlign w:val="bottom"/>
          </w:tcPr>
          <w:p>
            <w:pPr>
              <w:spacing w:after="0"/>
              <w:rPr>
                <w:sz w:val="20"/>
                <w:szCs w:val="20"/>
                <w:color w:val="auto"/>
              </w:rPr>
            </w:pPr>
          </w:p>
        </w:tc>
        <w:tc>
          <w:tcPr>
            <w:tcW w:w="5040" w:type="dxa"/>
            <w:vAlign w:val="bottom"/>
          </w:tcPr>
          <w:p>
            <w:pPr>
              <w:jc w:val="center"/>
              <w:ind w:left="50"/>
              <w:spacing w:after="0"/>
              <w:rPr>
                <w:sz w:val="20"/>
                <w:szCs w:val="20"/>
                <w:color w:val="auto"/>
              </w:rPr>
            </w:pPr>
            <w:r>
              <w:rPr>
                <w:rFonts w:ascii="Arial" w:cs="Arial" w:eastAsia="Arial" w:hAnsi="Arial"/>
                <w:sz w:val="18"/>
                <w:szCs w:val="18"/>
                <w:color w:val="auto"/>
                <w:w w:val="99"/>
              </w:rPr>
              <w:t>calendar year 2025</w:t>
            </w:r>
          </w:p>
        </w:tc>
        <w:tc>
          <w:tcPr>
            <w:tcW w:w="4740" w:type="dxa"/>
            <w:vAlign w:val="bottom"/>
          </w:tcPr>
          <w:p>
            <w:pPr>
              <w:spacing w:after="0"/>
              <w:rPr>
                <w:sz w:val="20"/>
                <w:szCs w:val="20"/>
                <w:color w:val="auto"/>
              </w:rPr>
            </w:pPr>
          </w:p>
        </w:tc>
      </w:tr>
      <w:tr>
        <w:trPr>
          <w:trHeight w:val="396"/>
        </w:trPr>
        <w:tc>
          <w:tcPr>
            <w:tcW w:w="1400" w:type="dxa"/>
            <w:vAlign w:val="bottom"/>
          </w:tcPr>
          <w:p>
            <w:pPr>
              <w:spacing w:after="0"/>
              <w:rPr>
                <w:sz w:val="24"/>
                <w:szCs w:val="24"/>
                <w:color w:val="auto"/>
              </w:rPr>
            </w:pPr>
          </w:p>
        </w:tc>
        <w:tc>
          <w:tcPr>
            <w:tcW w:w="5040" w:type="dxa"/>
            <w:vAlign w:val="bottom"/>
          </w:tcPr>
          <w:p>
            <w:pPr>
              <w:jc w:val="center"/>
              <w:ind w:left="50"/>
              <w:spacing w:after="0"/>
              <w:rPr>
                <w:sz w:val="20"/>
                <w:szCs w:val="20"/>
                <w:color w:val="auto"/>
              </w:rPr>
            </w:pPr>
            <w:r>
              <w:rPr>
                <w:rFonts w:ascii="Arial" w:cs="Arial" w:eastAsia="Arial" w:hAnsi="Arial"/>
                <w:sz w:val="18"/>
                <w:szCs w:val="18"/>
                <w:color w:val="auto"/>
                <w:w w:val="99"/>
              </w:rPr>
              <w:t>100% renewable energy in Malaysia in calendar</w:t>
            </w:r>
          </w:p>
        </w:tc>
        <w:tc>
          <w:tcPr>
            <w:tcW w:w="474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5040" w:type="dxa"/>
            <w:vAlign w:val="bottom"/>
          </w:tcPr>
          <w:p>
            <w:pPr>
              <w:jc w:val="center"/>
              <w:ind w:left="30"/>
              <w:spacing w:after="0"/>
              <w:rPr>
                <w:sz w:val="20"/>
                <w:szCs w:val="20"/>
                <w:color w:val="auto"/>
              </w:rPr>
            </w:pPr>
            <w:r>
              <w:rPr>
                <w:rFonts w:ascii="Arial" w:cs="Arial" w:eastAsia="Arial" w:hAnsi="Arial"/>
                <w:sz w:val="18"/>
                <w:szCs w:val="18"/>
                <w:color w:val="auto"/>
                <w:w w:val="99"/>
              </w:rPr>
              <w:t>year 2022</w:t>
            </w:r>
          </w:p>
        </w:tc>
        <w:tc>
          <w:tcPr>
            <w:tcW w:w="4740" w:type="dxa"/>
            <w:vAlign w:val="bottom"/>
          </w:tcPr>
          <w:p>
            <w:pPr>
              <w:spacing w:after="0"/>
              <w:rPr>
                <w:sz w:val="21"/>
                <w:szCs w:val="21"/>
                <w:color w:val="auto"/>
              </w:rPr>
            </w:pPr>
          </w:p>
        </w:tc>
      </w:tr>
      <w:tr>
        <w:trPr>
          <w:trHeight w:val="188"/>
        </w:trPr>
        <w:tc>
          <w:tcPr>
            <w:tcW w:w="140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b w:val="1"/>
                <w:bCs w:val="1"/>
                <w:color w:val="auto"/>
              </w:rPr>
              <w:t>Water:</w:t>
            </w:r>
          </w:p>
        </w:tc>
        <w:tc>
          <w:tcPr>
            <w:tcW w:w="5040" w:type="dxa"/>
            <w:vAlign w:val="bottom"/>
            <w:shd w:val="clear" w:color="auto" w:fill="D1D2D4"/>
          </w:tcPr>
          <w:p>
            <w:pPr>
              <w:jc w:val="center"/>
              <w:ind w:left="30"/>
              <w:spacing w:after="0" w:line="189" w:lineRule="exact"/>
              <w:rPr>
                <w:sz w:val="20"/>
                <w:szCs w:val="20"/>
                <w:color w:val="auto"/>
              </w:rPr>
            </w:pPr>
            <w:r>
              <w:rPr>
                <w:rFonts w:ascii="Arial" w:cs="Arial" w:eastAsia="Arial" w:hAnsi="Arial"/>
                <w:sz w:val="18"/>
                <w:szCs w:val="18"/>
                <w:color w:val="auto"/>
                <w:w w:val="99"/>
              </w:rPr>
              <w:t>75% water conservation through reuse, recycling, and</w:t>
            </w:r>
          </w:p>
        </w:tc>
        <w:tc>
          <w:tcPr>
            <w:tcW w:w="474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rPr>
              <w:t>100% water conservation through reuse,</w:t>
            </w:r>
          </w:p>
        </w:tc>
      </w:tr>
      <w:tr>
        <w:trPr>
          <w:trHeight w:val="242"/>
        </w:trPr>
        <w:tc>
          <w:tcPr>
            <w:tcW w:w="1400" w:type="dxa"/>
            <w:vAlign w:val="bottom"/>
            <w:tcBorders>
              <w:bottom w:val="single" w:sz="8" w:color="D1D2D4"/>
            </w:tcBorders>
            <w:shd w:val="clear" w:color="auto" w:fill="D1D2D4"/>
          </w:tcPr>
          <w:p>
            <w:pPr>
              <w:spacing w:after="0"/>
              <w:rPr>
                <w:sz w:val="21"/>
                <w:szCs w:val="21"/>
                <w:color w:val="auto"/>
              </w:rPr>
            </w:pPr>
          </w:p>
        </w:tc>
        <w:tc>
          <w:tcPr>
            <w:tcW w:w="5040" w:type="dxa"/>
            <w:vAlign w:val="bottom"/>
            <w:tcBorders>
              <w:bottom w:val="single" w:sz="8" w:color="D1D2D4"/>
            </w:tcBorders>
            <w:shd w:val="clear" w:color="auto" w:fill="D1D2D4"/>
          </w:tcPr>
          <w:p>
            <w:pPr>
              <w:jc w:val="center"/>
              <w:ind w:left="30"/>
              <w:spacing w:after="0"/>
              <w:rPr>
                <w:sz w:val="20"/>
                <w:szCs w:val="20"/>
                <w:color w:val="auto"/>
              </w:rPr>
            </w:pPr>
            <w:r>
              <w:rPr>
                <w:rFonts w:ascii="Arial" w:cs="Arial" w:eastAsia="Arial" w:hAnsi="Arial"/>
                <w:sz w:val="18"/>
                <w:szCs w:val="18"/>
                <w:color w:val="auto"/>
              </w:rPr>
              <w:t>restoration in calendar year 2030</w:t>
            </w:r>
          </w:p>
        </w:tc>
        <w:tc>
          <w:tcPr>
            <w:tcW w:w="4740" w:type="dxa"/>
            <w:vAlign w:val="bottom"/>
            <w:tcBorders>
              <w:bottom w:val="single" w:sz="8" w:color="D1D2D4"/>
            </w:tcBorders>
            <w:shd w:val="clear" w:color="auto" w:fill="D1D2D4"/>
          </w:tcPr>
          <w:p>
            <w:pPr>
              <w:jc w:val="center"/>
              <w:spacing w:after="0"/>
              <w:rPr>
                <w:sz w:val="20"/>
                <w:szCs w:val="20"/>
                <w:color w:val="auto"/>
              </w:rPr>
            </w:pPr>
            <w:r>
              <w:rPr>
                <w:rFonts w:ascii="Arial" w:cs="Arial" w:eastAsia="Arial" w:hAnsi="Arial"/>
                <w:sz w:val="18"/>
                <w:szCs w:val="18"/>
                <w:color w:val="auto"/>
                <w:w w:val="99"/>
              </w:rPr>
              <w:t>recycling, and restoration</w:t>
            </w:r>
          </w:p>
        </w:tc>
      </w:tr>
      <w:tr>
        <w:trPr>
          <w:trHeight w:val="184"/>
        </w:trPr>
        <w:tc>
          <w:tcPr>
            <w:tcW w:w="14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Waste:</w:t>
            </w:r>
          </w:p>
        </w:tc>
        <w:tc>
          <w:tcPr>
            <w:tcW w:w="5040" w:type="dxa"/>
            <w:vAlign w:val="bottom"/>
          </w:tcPr>
          <w:p>
            <w:pPr>
              <w:jc w:val="center"/>
              <w:ind w:left="30"/>
              <w:spacing w:after="0" w:line="183" w:lineRule="exact"/>
              <w:rPr>
                <w:sz w:val="20"/>
                <w:szCs w:val="20"/>
                <w:color w:val="auto"/>
              </w:rPr>
            </w:pPr>
            <w:r>
              <w:rPr>
                <w:rFonts w:ascii="Arial" w:cs="Arial" w:eastAsia="Arial" w:hAnsi="Arial"/>
                <w:sz w:val="18"/>
                <w:szCs w:val="18"/>
                <w:color w:val="auto"/>
              </w:rPr>
              <w:t>95% reuse, recycle, and recovery and zero hazardous</w:t>
            </w:r>
          </w:p>
        </w:tc>
        <w:tc>
          <w:tcPr>
            <w:tcW w:w="4740" w:type="dxa"/>
            <w:vAlign w:val="bottom"/>
          </w:tcPr>
          <w:p>
            <w:pPr>
              <w:jc w:val="center"/>
              <w:spacing w:after="0" w:line="183" w:lineRule="exact"/>
              <w:rPr>
                <w:sz w:val="20"/>
                <w:szCs w:val="20"/>
                <w:color w:val="auto"/>
              </w:rPr>
            </w:pPr>
            <w:r>
              <w:rPr>
                <w:rFonts w:ascii="Arial" w:cs="Arial" w:eastAsia="Arial" w:hAnsi="Arial"/>
                <w:sz w:val="18"/>
                <w:szCs w:val="18"/>
                <w:color w:val="auto"/>
                <w:w w:val="99"/>
              </w:rPr>
              <w:t>Zero waste to landfill through waste minimization,</w:t>
            </w:r>
          </w:p>
        </w:tc>
      </w:tr>
      <w:tr>
        <w:trPr>
          <w:trHeight w:val="239"/>
        </w:trPr>
        <w:tc>
          <w:tcPr>
            <w:tcW w:w="1400" w:type="dxa"/>
            <w:vAlign w:val="bottom"/>
          </w:tcPr>
          <w:p>
            <w:pPr>
              <w:spacing w:after="0"/>
              <w:rPr>
                <w:sz w:val="20"/>
                <w:szCs w:val="20"/>
                <w:color w:val="auto"/>
              </w:rPr>
            </w:pPr>
          </w:p>
        </w:tc>
        <w:tc>
          <w:tcPr>
            <w:tcW w:w="5040" w:type="dxa"/>
            <w:vAlign w:val="bottom"/>
          </w:tcPr>
          <w:p>
            <w:pPr>
              <w:jc w:val="center"/>
              <w:ind w:left="30"/>
              <w:spacing w:after="0"/>
              <w:rPr>
                <w:sz w:val="20"/>
                <w:szCs w:val="20"/>
                <w:color w:val="auto"/>
              </w:rPr>
            </w:pPr>
            <w:r>
              <w:rPr>
                <w:rFonts w:ascii="Arial" w:cs="Arial" w:eastAsia="Arial" w:hAnsi="Arial"/>
                <w:sz w:val="18"/>
                <w:szCs w:val="18"/>
                <w:color w:val="auto"/>
                <w:w w:val="99"/>
              </w:rPr>
              <w:t>waste to landfill in calendar year 2030*</w:t>
            </w:r>
          </w:p>
        </w:tc>
        <w:tc>
          <w:tcPr>
            <w:tcW w:w="4740" w:type="dxa"/>
            <w:vAlign w:val="bottom"/>
          </w:tcPr>
          <w:p>
            <w:pPr>
              <w:jc w:val="center"/>
              <w:spacing w:after="0"/>
              <w:rPr>
                <w:sz w:val="20"/>
                <w:szCs w:val="20"/>
                <w:color w:val="auto"/>
              </w:rPr>
            </w:pPr>
            <w:r>
              <w:rPr>
                <w:rFonts w:ascii="Arial" w:cs="Arial" w:eastAsia="Arial" w:hAnsi="Arial"/>
                <w:sz w:val="18"/>
                <w:szCs w:val="18"/>
                <w:color w:val="auto"/>
                <w:w w:val="99"/>
              </w:rPr>
              <w:t>reuse, recycling, and recovery</w:t>
            </w:r>
          </w:p>
        </w:tc>
      </w:tr>
    </w:tbl>
    <w:p>
      <w:pPr>
        <w:spacing w:after="0" w:line="184"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6"/>
          <w:szCs w:val="16"/>
          <w:color w:val="auto"/>
        </w:rPr>
        <w:t>Subject to vendor availability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fiscal 2022, the Board also reviewed:</w:t>
      </w:r>
    </w:p>
    <w:p>
      <w:pPr>
        <w:spacing w:after="0" w:line="252" w:lineRule="exact"/>
        <w:rPr>
          <w:sz w:val="20"/>
          <w:szCs w:val="20"/>
          <w:color w:val="auto"/>
        </w:rPr>
      </w:pPr>
    </w:p>
    <w:p>
      <w:pPr>
        <w:ind w:left="660" w:right="30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sustainability report content and processes, which in fiscal 2022 included indexes and information aligning with the Sustainability Accounting Standards Board (“SASB”) semiconductor industry standard and Taskforce on Climate-related Financial Disclosures (“TCFD”), supporting investor requests to align with the SASB standard and TCFD recommendations;</w:t>
      </w:r>
    </w:p>
    <w:p>
      <w:pPr>
        <w:spacing w:after="0" w:line="19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responsible sourcing and human rights efforts, including our conflict minerals report outlining our response to human rights and other concerns related to mineral sourcing as well as our annual modern slavery and human trafficking statement;</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human capital initiatives, including our talent acquisition, retention, and development policies and practices;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findings from team member, customer, investor and other stakeholder engagement exercises.</w:t>
      </w:r>
    </w:p>
    <w:p>
      <w:pPr>
        <w:spacing w:after="0" w:line="25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strive to make a positive impact on our team members, the communities in which we operate, and the planet, as well as our customers’ sustainability performance. We plan to continue regular consultation with stakeholders regarding environmental and social issues and report annually on our progress in these efforts. Our 2022 Sustainability Report, available at micron.com/sustainability, includes more details about the ways we are committed to sustainable practices and supporting our global community. Our Sustainability Report, and the information at or accessible through our website, are not part of or incorporated by reference into this Proxy Statement.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Risk Assessment and Mitigation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in a dynamic economic, social, and political landscape, making structured and conscientious risk management more important than ever. Our Board reviews and oversees our Enterprise Risk Management (“ERM”) program, which is a unified approach to risk management that helps us achieve a shared understanding of risks and make informed business decisions. This approach enhances our capability to address future events that create uncertainty and respond in an efficient and effective manner. It also facilitates prompt action to mitigate identified risks and embeds risk management into our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Board has delegated primary oversight of our ERM process to the Audit Committee, which conducts reviews of our risk assessment and ERM policies as described below, including overseeing the management of risks related to financial reporting and compliance. Other Board committees provide additional insights into our ERM program in the areas of their core competencies, and report to the Board regularly on matters relating to the following specific areas of risk the committees oversee:</w:t>
      </w:r>
    </w:p>
    <w:p>
      <w:pPr>
        <w:spacing w:after="0" w:line="20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Committee oversees management of risks relating to our compensation plans and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Finance Committee oversees the Company’s strategies for management of significant financial risks.</w:t>
      </w:r>
    </w:p>
    <w:p>
      <w:pPr>
        <w:spacing w:after="0" w:line="252"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Governance and Sustainability Committee oversees risks associated with the Board’s governance, director independence, and the Company’s human capital programs and sustainability initiatives.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Security Committee oversees risks associated with physical security and cybersecurity.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ERM Process</w:t>
      </w:r>
    </w:p>
    <w:p>
      <w:pPr>
        <w:spacing w:after="0" w:line="25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designed our ERM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198" w:lineRule="exact"/>
        <w:rPr>
          <w:sz w:val="20"/>
          <w:szCs w:val="20"/>
          <w:color w:val="auto"/>
        </w:rPr>
      </w:pPr>
    </w:p>
    <w:p>
      <w:pPr>
        <w:ind w:left="660" w:right="5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an initial step, our Risk Advisory Services representative meets periodically with business unit and functional area heads to identify significant financial and nonfinancial risk exposures and to develop risk mitigation measures and contingency plans.</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we collect data from stakeholders throughout the Company, our Risk Advisory Services representative summarizes the results of these meetings and creates a consolidated risk profile.</w:t>
      </w:r>
    </w:p>
    <w:p>
      <w:pPr>
        <w:spacing w:after="0" w:line="179" w:lineRule="exact"/>
        <w:rPr>
          <w:rFonts w:ascii="Arial" w:cs="Arial" w:eastAsia="Arial" w:hAnsi="Arial"/>
          <w:sz w:val="18"/>
          <w:szCs w:val="18"/>
          <w:color w:val="auto"/>
        </w:rPr>
      </w:pPr>
    </w:p>
    <w:p>
      <w:pPr>
        <w:jc w:val="both"/>
        <w:ind w:left="660" w:right="22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Risk Advisory Services representative then reviews this risk profile with our senior management, seeking input and agreement on mitigation and response strategies. This process is iterative, and repeats as significant risks are added to, or are removed from, the ERM program.</w:t>
      </w:r>
    </w:p>
    <w:p>
      <w:pPr>
        <w:spacing w:after="0" w:line="197" w:lineRule="exact"/>
        <w:rPr>
          <w:rFonts w:ascii="Arial" w:cs="Arial" w:eastAsia="Arial" w:hAnsi="Arial"/>
          <w:sz w:val="18"/>
          <w:szCs w:val="18"/>
          <w:color w:val="auto"/>
        </w:rPr>
      </w:pPr>
    </w:p>
    <w:p>
      <w:pPr>
        <w:jc w:val="both"/>
        <w:ind w:left="660" w:right="8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Risk Advisory Services representative attends quarterly Audit Committee meetings, where the Audit Committee reviews our risk profile and mitigation and response strategies, as well as our progress toward mitigating identified risks. This process repeats for the full Board periodically.</w:t>
      </w:r>
    </w:p>
    <w:p>
      <w:pPr>
        <w:spacing w:after="0" w:line="19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incorporating input from the Audit Committee and/or the full Board, Risk Advisory Services designs our internal audit strategies and plans to minimize the impact of relevant risks.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Committee reviews our compensation programs annually and has concluded that our compensation policies and practices are not reasonably likely to create situations that would have a material adverse effect on us. In making this assessment, the Compensation Committee reviewed our compensation programs to determine if the programs’ provisions and operations create undesired or unintentional risk of a material nature. The Compensation Committee also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 to potential reward, and risk-control. Although the Compensation Committee reviewed all compensation programs, the Committee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w:t>
      </w:r>
    </w:p>
    <w:p>
      <w:pPr>
        <w:spacing w:after="0" w:line="200" w:lineRule="exact"/>
        <w:rPr>
          <w:sz w:val="20"/>
          <w:szCs w:val="20"/>
          <w:color w:val="auto"/>
        </w:rPr>
      </w:pPr>
    </w:p>
    <w:p>
      <w:pPr>
        <w:spacing w:after="0" w:line="36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Risks</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Security Committee regularly reviews and oversees our policies and practices to identify and mitigate cybersecurity risks. Our management team updates the Security Committee at least quarterly on cybersecurity matters. Our cybersecurity policies and practices follow the cybersecurity framework of the National Institute of Standards and Technology (NIST). We engage third parties to perform assessments of our cybersecurity measures at least annually. The results of those assessments are reported to the Security Committee, and we make adjustments to our cybersecurity policies and practices as necessary in light of the assessments. While we have not experienced a material information security (cybersecurity) incident in the past three fiscal years, we maintain an information security (cybersecurity) risk insurance policy as a matter of good practice.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Board Processes and Policies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5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Any amendments or waivers of the Code of Business Conduct and Ethics will also be posted on our website within four business days of the amendment or waiver as required by applicable rules and regulations of the SEC and the Listing Rules of Nasdaq.</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Self-Evaluation</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structure and responsibilities of our Board and its committees, agendas and meeting schedules for our Board and its committees, and changes in the performance or functioning of our Board.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Skills Evaluation</w:t>
      </w:r>
    </w:p>
    <w:p>
      <w:pPr>
        <w:spacing w:after="0" w:line="2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Governance and Sustainability Committee oversees the Board’s ongoing and annual assessments of the Board’s composition and the skills each director possesses. The Governance and Sustainability Committee has identified and continually refines a list of skills, attributes, and experiences that it believes will result in an effective, dynamic, and diverse Board. The Governance and Sustainability Committee then reviews each director on a matrix in an effort to identify needed skills, experiences, or perspectives. The Governance and Sustainability Committee uses the insights this matrix provides to recommend committee assignments and inform searches for new director candidates or opportunities to refresh Board composition.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Board Structure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has determined that directors Beyer, Dugle, Gomo, Haynesworth, McCarthy, Switz, and Wright qualify as independent directors. In determining the independence of our directors, the Board has adopted independence standards that mirror the criteria specified by applicable laws and regulations of the SEC and the Listing Rules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Nasdaq. None of these directors have a relationship with us, other than any relationship that is categorically not material under the guidelines referenced above. See “Certain Relationships and Related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Mr. Switz has served as our independent Chair of the Board since February 2012. We do not have a fixed policy on whether the roles of Chair of the Board and CEO should be separate or combined. The Board’s determination to have an independent, non-employee director as our Chair is based on the Board’s consideration of our and our shareholders’ best interests under the current circumstances. In his role as Chair, Mr. Switz oversees meetings of the independent directors and acts as a liaison between the independent directors and CEO.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 and Committees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held nine formal meetings during fiscal 2022. The Board met in Executive Session (meetings in which only non-employee directors are present) five times during fiscal 2022. In fiscal 2022, the Board had a standing Audit Committee, Compensation Committee, Finance Committee, Governance and Sustainability Committee, and Security Committee. During fiscal 2022, the Audit Committee met fifteen times, the Compensation Committee met five times, the Finance Committee met four times, the Governance and Sustainability Committee met four times, and the Security Committee met five times. In addition to formal committee meetings, the chair of each committee engaged in regular discussions with management regarding various issues relevant to their respective committees. All incumbent directors attended 75% or more of the total number of meetings of the Board during fiscal 2022. All incumbent directors who served on the Audit, Compensation, Finance, Governance and Sustainability, and Security Committees attended 75% or more of the total number of applicable committee meetings during fiscal 2022. We expect director attendance at the Annual Meeting of Shareholders, and all then-incumbent members of our Board were present at the Fiscal 2021 Annual Meeting of Shareholders.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Audit, Compensation, Finance, Governance and Sustainability, and Security Committees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are also available in print without charge upon request to corporatesecretary@micron.com. The Board has determined that all the members of the Audit, Compensation, Governance and Sustainability, and Security Committees satisfy the independence requirements of applicable SEC laws and the Listing Rules of Nasdaq for such committees.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Mses. McCarthy and Dugle and Mr. Gomo currently serve, and during fiscal 2022 served, on the Audit Committee. Mr. Gomo has served as the Chair of the Audit Committee since January 2019. The Board has determined that all Audit Committee members qualify as an “audit committee financial expert” for purposes of the rules and regulations of the SEC and that each of these members is sufficiently proficient in reading and understanding our financial statements to serve on the Audit Committee. The purpose of the Audit Committee is to assist the Board in overseeing and monitoring:</w:t>
      </w:r>
    </w:p>
    <w:p>
      <w:pPr>
        <w:spacing w:after="0" w:line="20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internal controls and procedures;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Audit Committee is also responsible for preparing the Audit Committee report that is included in our annual Proxy Statement. See “Audit Committee Matters – Report of the Audit Committee of the Board of Directors.” The</w:t>
      </w:r>
    </w:p>
    <w:p>
      <w:pPr>
        <w:spacing w:after="0" w:line="200" w:lineRule="exact"/>
        <w:rPr>
          <w:sz w:val="20"/>
          <w:szCs w:val="20"/>
          <w:color w:val="auto"/>
        </w:rPr>
      </w:pPr>
    </w:p>
    <w:p>
      <w:pPr>
        <w:spacing w:after="0" w:line="33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to corporatesecretary@micron.com.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Ms. Wright and Messrs. Beyer and Switz currently serve, and during fiscal 2022 served, on the Compensation Committee. Mr. Beyer has served as the Chair of the Compensation Committee since April 2021. Previously, Mr. Switz had served as the Chair of the Compensation Committee since January 2019. The Board has determined that all Compensation Committee members qualify as “non-employee directors” as defined under Rule 16b-3, promulgated under Section 16 of the Securities Exchange Act of 1934, as amended (the “Exchange Act”). The Compensation Committee is responsible for reviewing and approving the compensation of our executive officers. See “Executive Compensation and Related Information – Compensation Discussion and Analysis” and “–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to corporatesecretary@micron.com.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Ms. McCarthy and Messrs. Gomo and Mehrotra currently serve, and during fiscal 2022 served, on the Finance Committee. Mr. Mehrotra joined the Finance Committee when he became our President and CEO in May 2017. Ms. McCarthy has served as the Chair of the Finance Committee since January 2019. The Finance Committee represents and assists the Board in discharging its responsibilities with respect to oversight of our financial policies, financial strategies, capital structure, debt and equity offerings, capital return program, cash management and investments, risk management related to hedge and derivative instruments, and insurance. The complete duties of the Finance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to corporatesecretary@micron.com.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Sustainability Committee</w:t>
      </w:r>
    </w:p>
    <w:p>
      <w:pPr>
        <w:spacing w:after="0" w:line="25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Mses. Haynesworth and Wright and Messrs. Beyer and Switz currently serve, and during fiscal 2022 served, on the Governance and Sustainability Committee. Ms. Wright has served as Chair of the Governance and Sustainability Committee since April 2021. The responsibilities of the Governance and Sustainability Committee include assisting the Board in discharging its duties with respect to the following:</w:t>
      </w:r>
    </w:p>
    <w:p>
      <w:pPr>
        <w:spacing w:after="0" w:line="20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oversight and monitoring of the development and integration of material social and environmental strategies;</w:t>
      </w:r>
    </w:p>
    <w:p>
      <w:pPr>
        <w:spacing w:after="0" w:line="238" w:lineRule="exact"/>
        <w:rPr>
          <w:rFonts w:ascii="Arial" w:cs="Arial" w:eastAsia="Arial" w:hAnsi="Arial"/>
          <w:sz w:val="18"/>
          <w:szCs w:val="18"/>
          <w:color w:val="auto"/>
        </w:rPr>
      </w:pPr>
    </w:p>
    <w:p>
      <w:pPr>
        <w:ind w:left="660" w:right="420" w:hanging="328"/>
        <w:spacing w:after="0" w:line="27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oversight and monitoring of our human capital management efforts, including culture, talent development and retention, and DEI programs and initiatives;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the Board and management.</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The complete duties and responsibilities of the Governance and Sustainability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Committee</w:t>
      </w: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Mses. Dugle and Haynesworth and Mr. Beyer currently serve, and during fiscal 2022 served, on the Security Committee. Ms. Dugle has served as Chair of the Security Committee since June 2021. The responsibilities of the Security Committee include assisting the Board in discharging its duties with respect to oversight of the following:</w:t>
      </w:r>
    </w:p>
    <w:p>
      <w:pPr>
        <w:spacing w:after="0" w:line="198" w:lineRule="exact"/>
        <w:rPr>
          <w:sz w:val="20"/>
          <w:szCs w:val="20"/>
          <w:color w:val="auto"/>
        </w:rPr>
      </w:pPr>
    </w:p>
    <w:p>
      <w:pPr>
        <w:ind w:left="660" w:right="40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physical security of our facilities and employees as well as enterprise cybersecurity and data protection risks associated with our security-related infrastructure and related operations including outside partners;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cyber crisis preparedness and security breach and incident response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applicable information security and data protection laws and industry standards;</w:t>
      </w:r>
    </w:p>
    <w:p>
      <w:pPr>
        <w:spacing w:after="0" w:line="252"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physical and cybersecurity strategy, crisis or incident management, and security-related information technology planning processes; and</w:t>
      </w:r>
    </w:p>
    <w:p>
      <w:pPr>
        <w:spacing w:after="0" w:line="179"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disclosure relating to security of our employees, facilities, and information technology systems, including privacy, network security, and data security.</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The complete duties and responsibilities of the Security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without charge upon request to corporatesecretary@micron.com.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and Communications with the Board of Directors</w:t>
      </w:r>
    </w:p>
    <w:p>
      <w:pPr>
        <w:spacing w:after="0" w:line="250"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Mr. Switz has been the independent Chair of our Board since February 2012. As part of his duties as Chair, Mr. Switz chairs Executive Session meetings of our Board. Shareholders and interested parties wishing to communicate with our Board may contact Mr. Switz at chair@micron.com.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RELATIONSHIPS AND RELATED TRANSACTIONS</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Related party transactions are reviewed by our Board in accordance with our related party transaction policy.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 (i) the nature and terms of the transaction,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There were no actual or proposed related party transactions in excess of $120,000 for fiscal 2022 and through November 14, 2022. Subsequent to November 14, 2022, Mr. Mehrotra reimbursed the Company in respect of his usage of Micron aircraft for personal travel in fiscal 2022. See “Executive Compensation and Related Information – Compensation Discussion and Analysis – CEO Compensation – Other Compensation” below.</w:t>
      </w:r>
    </w:p>
    <w:p>
      <w:pPr>
        <w:spacing w:after="0" w:line="200" w:lineRule="exact"/>
        <w:rPr>
          <w:sz w:val="20"/>
          <w:szCs w:val="20"/>
          <w:color w:val="auto"/>
        </w:rPr>
      </w:pPr>
    </w:p>
    <w:p>
      <w:pPr>
        <w:spacing w:after="0" w:line="38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21</w:t>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DIRECTOR COMPENSATION</w:t>
      </w:r>
    </w:p>
    <w:p>
      <w:pPr>
        <w:spacing w:after="0" w:line="25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Governance and Sustainability Committee oversees the setting of compensation for our non-employee members of the Board. Each year, the Governance and Sustainability Committee works with the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 – Compensation Discussion and Analysis” below. Upon completion of its review and evaluation, the Governance and Sustainability Committee did not recommend any changes to the Board in director compensation for fiscal 2023.</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Elements of Director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Retainer and Committee Chair Remuneration</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Non-employee directors were entitled to receive an annual retainer of $125,000 in fiscal 2022. Pursuant to our 2008 Director’s Compensation Plan (the “DCP”), which operates as a sub-plan of the Amended and Restated 2007 Equity Incentive Plan (the “2007 Plan”), non-employee directors may elect to take some or all of their annual retainer in the form of cash, shares of Common Stock, or deferred rights to receive Common Stock upon termination as a director. Employee directors receive no additional or special remuneration for their service as directors. The amounts earned by the non-employee directors in respect of their service during fiscal 2022 are set forth below under “Fiscal 2022 Director Compensation.”</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Set forth below are the amounts directors are entitled to receive for their service as committee chair or Chair of the Board for fiscal 2022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40" w:type="dxa"/>
            <w:vAlign w:val="bottom"/>
            <w:tcBorders>
              <w:bottom w:val="single" w:sz="8" w:color="0090DA"/>
            </w:tcBorders>
          </w:tcPr>
          <w:p>
            <w:pPr>
              <w:spacing w:after="0"/>
              <w:rPr>
                <w:sz w:val="20"/>
                <w:szCs w:val="20"/>
                <w:color w:val="auto"/>
              </w:rPr>
            </w:pPr>
          </w:p>
        </w:tc>
        <w:tc>
          <w:tcPr>
            <w:tcW w:w="25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34"/>
        </w:trPr>
        <w:tc>
          <w:tcPr>
            <w:tcW w:w="6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6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Audit Committee Chair</w:t>
            </w:r>
          </w:p>
        </w:tc>
        <w:tc>
          <w:tcPr>
            <w:tcW w:w="25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2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6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Committee Chair</w:t>
            </w:r>
          </w:p>
        </w:tc>
        <w:tc>
          <w:tcPr>
            <w:tcW w:w="25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Governance and Sustainability Committee Chair</w:t>
            </w:r>
          </w:p>
        </w:tc>
        <w:tc>
          <w:tcPr>
            <w:tcW w:w="2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Security Committee Chair</w:t>
            </w:r>
          </w:p>
        </w:tc>
        <w:tc>
          <w:tcPr>
            <w:tcW w:w="25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20,000</w:t>
            </w:r>
          </w:p>
        </w:tc>
      </w:tr>
      <w:tr>
        <w:trPr>
          <w:trHeight w:val="239"/>
        </w:trPr>
        <w:tc>
          <w:tcPr>
            <w:tcW w:w="6140" w:type="dxa"/>
            <w:vAlign w:val="bottom"/>
          </w:tcPr>
          <w:p>
            <w:pPr>
              <w:ind w:left="20"/>
              <w:spacing w:after="0"/>
              <w:rPr>
                <w:sz w:val="20"/>
                <w:szCs w:val="20"/>
                <w:color w:val="auto"/>
              </w:rPr>
            </w:pPr>
            <w:r>
              <w:rPr>
                <w:rFonts w:ascii="Arial" w:cs="Arial" w:eastAsia="Arial" w:hAnsi="Arial"/>
                <w:sz w:val="18"/>
                <w:szCs w:val="18"/>
                <w:color w:val="auto"/>
              </w:rPr>
              <w:t>Chair of the Board</w:t>
            </w:r>
          </w:p>
        </w:tc>
        <w:tc>
          <w:tcPr>
            <w:tcW w:w="2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r>
    </w:tbl>
    <w:p>
      <w:pPr>
        <w:spacing w:after="0" w:line="30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meetings.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Non-employee directors receive an equity award each fiscal year. Since fiscal 2007, the equity award has been exclusively in the form of restricted stock. The restricted stock includes the right to receive dividend equivalents, which will accumulate and pay out in cash, if and when the underlying shares are released. The “targeted value” for the annual non-employee director equity award is established each year by the Board following discussions with the compensation consultant and has been set at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2022 lapse for 100% of such shares on the first anniversary of the date of grant (the “Vesting Period”). Notwithstanding the foregoing, the restrictions will lapse for 100% of such shares in the event a director reaches the mandatory retirement age, if any, or retires from the Board during the Vesting Period having achieved a minimum of three years of service with the Board prior to the effective date of their retirement, or upon a director’s death or disability.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Fiscal 2022 Director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gridSpan w:val="4"/>
          </w:tcPr>
          <w:p>
            <w:pPr>
              <w:spacing w:after="0"/>
              <w:rPr>
                <w:sz w:val="20"/>
                <w:szCs w:val="20"/>
                <w:color w:val="auto"/>
              </w:rPr>
            </w:pPr>
            <w:r>
              <w:rPr>
                <w:rFonts w:ascii="Arial" w:cs="Arial" w:eastAsia="Arial" w:hAnsi="Arial"/>
                <w:sz w:val="18"/>
                <w:szCs w:val="18"/>
                <w:color w:val="auto"/>
                <w:w w:val="99"/>
              </w:rPr>
              <w:t>The following table details the total compensation earned by our non-employee directors in fiscal 2022.</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380" w:type="dxa"/>
            <w:vAlign w:val="bottom"/>
          </w:tcPr>
          <w:p>
            <w:pPr>
              <w:spacing w:after="0"/>
              <w:rPr>
                <w:sz w:val="17"/>
                <w:szCs w:val="17"/>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rPr>
              <w:t>Fees Earned or</w:t>
            </w:r>
          </w:p>
        </w:tc>
        <w:tc>
          <w:tcPr>
            <w:tcW w:w="200" w:type="dxa"/>
            <w:vAlign w:val="bottom"/>
          </w:tcPr>
          <w:p>
            <w:pPr>
              <w:spacing w:after="0"/>
              <w:rPr>
                <w:sz w:val="17"/>
                <w:szCs w:val="17"/>
                <w:color w:val="auto"/>
              </w:rPr>
            </w:pPr>
          </w:p>
        </w:tc>
        <w:tc>
          <w:tcPr>
            <w:tcW w:w="15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Stock Awards(1)</w:t>
            </w:r>
          </w:p>
        </w:tc>
        <w:tc>
          <w:tcPr>
            <w:tcW w:w="36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0090DA"/>
            </w:tcBorders>
            <w:vMerge w:val="continue"/>
          </w:tcPr>
          <w:p>
            <w:pPr>
              <w:spacing w:after="0"/>
              <w:rPr>
                <w:sz w:val="20"/>
                <w:szCs w:val="20"/>
                <w:color w:val="auto"/>
              </w:rPr>
            </w:pPr>
          </w:p>
        </w:tc>
        <w:tc>
          <w:tcPr>
            <w:tcW w:w="2380" w:type="dxa"/>
            <w:vAlign w:val="bottom"/>
            <w:tcBorders>
              <w:bottom w:val="single" w:sz="8" w:color="0090DA"/>
            </w:tcBorders>
          </w:tcPr>
          <w:p>
            <w:pPr>
              <w:spacing w:after="0"/>
              <w:rPr>
                <w:sz w:val="20"/>
                <w:szCs w:val="20"/>
                <w:color w:val="auto"/>
              </w:rPr>
            </w:pPr>
          </w:p>
        </w:tc>
        <w:tc>
          <w:tcPr>
            <w:tcW w:w="154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Paid in Cash</w:t>
            </w:r>
          </w:p>
        </w:tc>
        <w:tc>
          <w:tcPr>
            <w:tcW w:w="200" w:type="dxa"/>
            <w:vAlign w:val="bottom"/>
            <w:tcBorders>
              <w:bottom w:val="single" w:sz="8" w:color="0090DA"/>
            </w:tcBorders>
          </w:tcPr>
          <w:p>
            <w:pPr>
              <w:spacing w:after="0"/>
              <w:rPr>
                <w:sz w:val="20"/>
                <w:szCs w:val="20"/>
                <w:color w:val="auto"/>
              </w:rPr>
            </w:pPr>
          </w:p>
        </w:tc>
        <w:tc>
          <w:tcPr>
            <w:tcW w:w="1560" w:type="dxa"/>
            <w:vAlign w:val="bottom"/>
            <w:tcBorders>
              <w:bottom w:val="single" w:sz="8" w:color="0090DA"/>
            </w:tcBorders>
            <w:vMerge w:val="continue"/>
          </w:tcPr>
          <w:p>
            <w:pPr>
              <w:spacing w:after="0"/>
              <w:rPr>
                <w:sz w:val="20"/>
                <w:szCs w:val="20"/>
                <w:color w:val="auto"/>
              </w:rPr>
            </w:pPr>
          </w:p>
        </w:tc>
        <w:tc>
          <w:tcPr>
            <w:tcW w:w="36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Richard M. Beyer</w:t>
            </w:r>
          </w:p>
        </w:tc>
        <w:tc>
          <w:tcPr>
            <w:tcW w:w="2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155,000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405,000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r>
        <w:trPr>
          <w:trHeight w:val="229"/>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Steven J. Gomo</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Linnie M. Haynesworth</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29"/>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 Pat McCarthy</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2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30"/>
        </w:trPr>
        <w:tc>
          <w:tcPr>
            <w:tcW w:w="4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MaryAnn Wright</w:t>
            </w:r>
          </w:p>
        </w:tc>
        <w:tc>
          <w:tcPr>
            <w:tcW w:w="238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40" w:right="20" w:hanging="332"/>
        <w:spacing w:after="0" w:line="254" w:lineRule="auto"/>
        <w:tabs>
          <w:tab w:leader="none" w:pos="339" w:val="left"/>
        </w:tabs>
        <w:numPr>
          <w:ilvl w:val="0"/>
          <w:numId w:val="31"/>
        </w:numPr>
        <w:rPr>
          <w:rFonts w:ascii="Arial" w:cs="Arial" w:eastAsia="Arial" w:hAnsi="Arial"/>
          <w:sz w:val="20"/>
          <w:szCs w:val="20"/>
          <w:color w:val="auto"/>
        </w:rPr>
      </w:pPr>
      <w:r>
        <w:rPr>
          <w:rFonts w:ascii="Arial" w:cs="Arial" w:eastAsia="Arial" w:hAnsi="Arial"/>
          <w:sz w:val="18"/>
          <w:szCs w:val="18"/>
          <w:color w:val="auto"/>
        </w:rPr>
        <w:t>On October 13, 2021, each of Messrs. Beyer, Gomo, and Switz, and Mses. Dugle, Haynesworth, McCarthy, and Wright was granted 3,747 shares of restricted stock with a grant date fair value of $250,000 ($66.72 per share). For information on the restrictions associated with these awards, see “Elements of Director Compensation – Equity Award” above.</w:t>
      </w:r>
    </w:p>
    <w:p>
      <w:pPr>
        <w:spacing w:after="0" w:line="182" w:lineRule="exact"/>
        <w:rPr>
          <w:rFonts w:ascii="Arial" w:cs="Arial" w:eastAsia="Arial" w:hAnsi="Arial"/>
          <w:sz w:val="20"/>
          <w:szCs w:val="20"/>
          <w:color w:val="auto"/>
        </w:rPr>
      </w:pPr>
    </w:p>
    <w:p>
      <w:pPr>
        <w:ind w:left="340" w:right="420"/>
        <w:spacing w:after="0" w:line="268" w:lineRule="auto"/>
        <w:rPr>
          <w:rFonts w:ascii="Arial" w:cs="Arial" w:eastAsia="Arial" w:hAnsi="Arial"/>
          <w:sz w:val="20"/>
          <w:szCs w:val="20"/>
          <w:color w:val="auto"/>
        </w:rPr>
      </w:pPr>
      <w:r>
        <w:rPr>
          <w:rFonts w:ascii="Arial" w:cs="Arial" w:eastAsia="Arial" w:hAnsi="Arial"/>
          <w:sz w:val="18"/>
          <w:szCs w:val="18"/>
          <w:color w:val="auto"/>
        </w:rPr>
        <w:t>As of September 1, 2022, each of Messrs. Beyer, Gomo, and Switz, and Mses. Dugle, Haynesworth, McCarthy, and Wright had outstanding a grant of 3,747 shares of restricted stock. For information regarding Mr. Mehrotra’s holding of stock as of September 1, 2022, see “Outstanding Equity Awards at Fiscal 2022 Year-End” below.</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5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have established stock ownership guidelines for our directors. The minimum ownership guideline for directors is to hold shares with a value equal to five times their annual retainer. The minimum ownership guideline for our CEO is to hold shares with a value equal to five times his base salary.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either in compliance with the guidelines or are newer directors who have time remaining to meet the guidelines.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Director</w:t>
            </w:r>
          </w:p>
        </w:tc>
        <w:tc>
          <w:tcPr>
            <w:tcW w:w="378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Guideline</w:t>
            </w:r>
          </w:p>
        </w:tc>
        <w:tc>
          <w:tcPr>
            <w:tcW w:w="3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Guideline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0090DA"/>
            </w:tcBorders>
            <w:vMerge w:val="continue"/>
          </w:tcPr>
          <w:p>
            <w:pPr>
              <w:spacing w:after="0"/>
              <w:rPr>
                <w:sz w:val="21"/>
                <w:szCs w:val="21"/>
                <w:color w:val="auto"/>
              </w:rPr>
            </w:pPr>
          </w:p>
        </w:tc>
        <w:tc>
          <w:tcPr>
            <w:tcW w:w="3780" w:type="dxa"/>
            <w:vAlign w:val="bottom"/>
            <w:tcBorders>
              <w:bottom w:val="single" w:sz="8" w:color="0090DA"/>
            </w:tcBorders>
          </w:tcPr>
          <w:p>
            <w:pPr>
              <w:jc w:val="center"/>
              <w:ind w:left="2570"/>
              <w:spacing w:after="0"/>
              <w:rPr>
                <w:sz w:val="20"/>
                <w:szCs w:val="20"/>
                <w:color w:val="auto"/>
              </w:rPr>
            </w:pPr>
            <w:r>
              <w:rPr>
                <w:rFonts w:ascii="Arial" w:cs="Arial" w:eastAsia="Arial" w:hAnsi="Arial"/>
                <w:sz w:val="18"/>
                <w:szCs w:val="18"/>
                <w:b w:val="1"/>
                <w:bCs w:val="1"/>
                <w:color w:val="auto"/>
                <w:w w:val="99"/>
              </w:rPr>
              <w:t>Multiplier</w:t>
            </w:r>
          </w:p>
        </w:tc>
        <w:tc>
          <w:tcPr>
            <w:tcW w:w="30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with Guideline</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Richard M. Beyer</w:t>
            </w:r>
          </w:p>
        </w:tc>
        <w:tc>
          <w:tcPr>
            <w:tcW w:w="3780" w:type="dxa"/>
            <w:vAlign w:val="bottom"/>
            <w:shd w:val="clear" w:color="auto" w:fill="D1D2D4"/>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378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4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Steven J. Gomo</w:t>
            </w:r>
          </w:p>
        </w:tc>
        <w:tc>
          <w:tcPr>
            <w:tcW w:w="3780" w:type="dxa"/>
            <w:vAlign w:val="bottom"/>
            <w:shd w:val="clear" w:color="auto" w:fill="D1D2D4"/>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Linnie M. Haynesworth</w:t>
            </w:r>
          </w:p>
        </w:tc>
        <w:tc>
          <w:tcPr>
            <w:tcW w:w="378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 Pat McCarthy</w:t>
            </w:r>
          </w:p>
        </w:tc>
        <w:tc>
          <w:tcPr>
            <w:tcW w:w="3780" w:type="dxa"/>
            <w:vAlign w:val="bottom"/>
            <w:shd w:val="clear" w:color="auto" w:fill="D1D2D4"/>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3780" w:type="dxa"/>
            <w:vAlign w:val="bottom"/>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4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MaryAnn Wright</w:t>
            </w:r>
          </w:p>
        </w:tc>
        <w:tc>
          <w:tcPr>
            <w:tcW w:w="3780" w:type="dxa"/>
            <w:vAlign w:val="bottom"/>
            <w:shd w:val="clear" w:color="auto" w:fill="D1D2D4"/>
          </w:tcPr>
          <w:p>
            <w:pPr>
              <w:jc w:val="center"/>
              <w:ind w:left="259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20" w:firstLine="8"/>
        <w:spacing w:after="0" w:line="569"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Haynesworth has until February 15, 2026 to meet the guidelines because she first joined the Board in 2021. Please refer to page 47 for information on the stock ownership guidelines for our Named Executive Officers.</w:t>
      </w:r>
    </w:p>
    <w:p>
      <w:pPr>
        <w:spacing w:after="0" w:line="30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23</w:t>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760"/>
        <w:spacing w:after="0" w:line="265" w:lineRule="auto"/>
        <w:rPr>
          <w:sz w:val="20"/>
          <w:szCs w:val="20"/>
          <w:color w:val="auto"/>
        </w:rPr>
      </w:pPr>
      <w:r>
        <w:rPr>
          <w:rFonts w:ascii="Arial" w:cs="Arial" w:eastAsia="Arial" w:hAnsi="Arial"/>
          <w:sz w:val="40"/>
          <w:szCs w:val="40"/>
          <w:b w:val="1"/>
          <w:bCs w:val="1"/>
          <w:color w:val="0090DA"/>
        </w:rPr>
        <w:t>EXECUTIVE COMPENSATION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ind w:left="20" w:right="480"/>
        <w:spacing w:after="0" w:line="284" w:lineRule="auto"/>
        <w:rPr>
          <w:sz w:val="20"/>
          <w:szCs w:val="20"/>
          <w:color w:val="auto"/>
        </w:rPr>
      </w:pPr>
      <w:r>
        <w:rPr>
          <w:rFonts w:ascii="Arial" w:cs="Arial" w:eastAsia="Arial" w:hAnsi="Arial"/>
          <w:sz w:val="36"/>
          <w:szCs w:val="36"/>
          <w:b w:val="1"/>
          <w:bCs w:val="1"/>
          <w:color w:val="FFFFFF"/>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491172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Dodd-Frank Wall Street Reform and Consumer Protection Act of 2010 enables our shareholders to vote to approve, on an advisory (non-binding) basis, the compensation of our Named Executive Officers as described in this Proxy Statement in the “Compensation Discussion and Analysis” section and the related compensation tables beginning on page 26. We seek your advisory vote and ask that you indicate your support for the compensation of the Named Executive Officers as disclosed in this Proxy Statement.</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expected to occur at the Fiscal 2023 Annual Meeting of Shareholders.</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At our annual meeting of shareholders held in January 2022, 86% of the votes cast on the say-on-pay proposal were voted in favor of the proposal. See “Consideration of the Fiscal 2021 Advisory Vote on Executive Compensation” on page 30.</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Please read the “Compensation Discussion and Analysis” section and related compensation tables for information necessary to inform your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911725"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340"/>
        <w:spacing w:after="0" w:line="296" w:lineRule="auto"/>
        <w:rPr>
          <w:sz w:val="20"/>
          <w:szCs w:val="20"/>
          <w:color w:val="auto"/>
        </w:rPr>
      </w:pPr>
      <w:r>
        <w:rPr>
          <w:rFonts w:ascii="Arial" w:cs="Arial" w:eastAsia="Arial" w:hAnsi="Arial"/>
          <w:sz w:val="18"/>
          <w:szCs w:val="18"/>
          <w:b w:val="1"/>
          <w:bCs w:val="1"/>
          <w:color w:val="auto"/>
        </w:rPr>
        <w:t>The Board invites you to review carefully the Compensation Discussion and Analysis beginning on page 26 and the tabular and other disclosures on executive compensation beginning on page 49, and cast a vote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the following resolution:</w:t>
      </w:r>
    </w:p>
    <w:p>
      <w:pPr>
        <w:spacing w:after="0" w:line="166" w:lineRule="exact"/>
        <w:rPr>
          <w:sz w:val="20"/>
          <w:szCs w:val="20"/>
          <w:color w:val="auto"/>
        </w:rPr>
      </w:pPr>
    </w:p>
    <w:p>
      <w:pPr>
        <w:jc w:val="both"/>
        <w:ind w:right="440"/>
        <w:spacing w:after="0" w:line="267"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9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say-on-pay vote is required by Section 14A of the Exchange Act (15 U.S.C. 78n-1) and is advisory and therefore not binding on us, the Compensation Committee, or the Board. Furthermore, because this non-binding, advisory resolution primarily relates to the compensation of our Named Executive Officers that has already been paid or contractually committed, there may not be an opportunity for us to revisit these decisions. However, the Board and Compensation Committee value the opinions of our shareholders and will consider the results of the say-on-pay vote and any other feedback from shareholders in their evaluation of our compensation program as they believe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4911725"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affirmative vote of a majority of the voting power of our Common Stock present in person or represented by proxy at the Annual Meeting and entitled to vote on this Proposal 2 is required to approve the non-binding advisory vote on the compensation of our Named Executive Officers.</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While this vote is non-binding on our Company and our Board, and will not be construed as overruling a decision by our Company or our Board or creating or implying any additional fiduciary duty for our Company or our Board, our Board and the Compensation Committee value the opinions of our shareholders and will consider the outcome of the vote when making future compensation decisions for Named Executive Officers under our executive compensation program.</w:t>
      </w:r>
    </w:p>
    <w:p>
      <w:pPr>
        <w:spacing w:after="0" w:line="200" w:lineRule="exact"/>
        <w:rPr>
          <w:sz w:val="20"/>
          <w:szCs w:val="20"/>
          <w:color w:val="auto"/>
        </w:rPr>
      </w:pPr>
    </w:p>
    <w:p>
      <w:pPr>
        <w:spacing w:after="0" w:line="3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25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9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Sanjay Mehrotra, our President and Chief Executive Officer (“CEO”);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 J. Murphy, our Executive Vice President and Chief Financial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Manish Bhatia, our Executive Vice President, Global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Michael W. Bokan, our Senior Vice President, Worldwide Sales;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Scott J. DeBoer, our Executive Vice President, Technology and Products;</w:t>
      </w:r>
    </w:p>
    <w:p>
      <w:pPr>
        <w:spacing w:after="0" w:line="252"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Sumit Sadana, our Executive Vice President and Chief Business Officer and our former interim Chief Financial Officer from January 10, 2022 to April 18, 2022;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David A. Zinsner, our former Executive Vice President and Chief Financial Officer.</w:t>
      </w:r>
    </w:p>
    <w:p>
      <w:pPr>
        <w:spacing w:after="0" w:line="25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Throughout this discussion and elsewhere in this Proxy Statement, the foregoing individuals are referred to as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Executive Summary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Highlights</w:t>
      </w:r>
    </w:p>
    <w:p>
      <w:pPr>
        <w:spacing w:after="0" w:line="237" w:lineRule="exact"/>
        <w:rPr>
          <w:sz w:val="20"/>
          <w:szCs w:val="20"/>
          <w:color w:val="auto"/>
        </w:rPr>
      </w:pPr>
    </w:p>
    <w:p>
      <w:pPr>
        <w:ind w:left="480" w:hanging="18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delivered record annual revenue in fiscal 2022 with solid profitability despite a challenging environment in the latter part of the year:</w:t>
      </w:r>
    </w:p>
    <w:p>
      <w:pPr>
        <w:spacing w:after="0" w:line="252"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$30.8 billion in revenue (compared to $27.7 billion in fiscal 2021); and</w:t>
      </w:r>
    </w:p>
    <w:p>
      <w:pPr>
        <w:spacing w:after="0" w:line="27" w:lineRule="exact"/>
        <w:rPr>
          <w:rFonts w:ascii="Arial" w:cs="Arial" w:eastAsia="Arial" w:hAnsi="Arial"/>
          <w:sz w:val="18"/>
          <w:szCs w:val="18"/>
          <w:color w:val="auto"/>
        </w:rPr>
      </w:pPr>
    </w:p>
    <w:p>
      <w:pPr>
        <w:ind w:left="700" w:right="320" w:hanging="206"/>
        <w:spacing w:after="0" w:line="266" w:lineRule="auto"/>
        <w:tabs>
          <w:tab w:leader="none" w:pos="6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$8.7 billion in GAAP net income, or $7.75 in earnings per diluted share (compared to $5.9 billion and $5.14, respectively, in fiscal 2021).</w:t>
      </w:r>
    </w:p>
    <w:p>
      <w:pPr>
        <w:spacing w:after="0" w:line="198" w:lineRule="exact"/>
        <w:rPr>
          <w:rFonts w:ascii="Arial" w:cs="Arial" w:eastAsia="Arial" w:hAnsi="Arial"/>
          <w:sz w:val="18"/>
          <w:szCs w:val="18"/>
          <w:color w:val="auto"/>
        </w:rPr>
      </w:pPr>
    </w:p>
    <w:p>
      <w:pPr>
        <w:ind w:left="480" w:hanging="18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ended fiscal 2022 with $11.1 billion of cash, marketable investments, and restricted cash.</w:t>
      </w:r>
    </w:p>
    <w:p>
      <w:pPr>
        <w:spacing w:after="0" w:line="252" w:lineRule="exact"/>
        <w:rPr>
          <w:rFonts w:ascii="Arial" w:cs="Arial" w:eastAsia="Arial" w:hAnsi="Arial"/>
          <w:sz w:val="18"/>
          <w:szCs w:val="18"/>
          <w:color w:val="auto"/>
        </w:rPr>
      </w:pPr>
    </w:p>
    <w:p>
      <w:pPr>
        <w:ind w:left="480" w:hanging="18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industry-leading DRAM and NAND technology made strong progress in fiscal 2022:</w:t>
      </w:r>
    </w:p>
    <w:p>
      <w:pPr>
        <w:spacing w:after="0" w:line="252"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DRAM:</w:t>
      </w:r>
    </w:p>
    <w:p>
      <w:pPr>
        <w:spacing w:after="0" w:line="27" w:lineRule="exact"/>
        <w:rPr>
          <w:rFonts w:ascii="Arial" w:cs="Arial" w:eastAsia="Arial" w:hAnsi="Arial"/>
          <w:sz w:val="18"/>
          <w:szCs w:val="18"/>
          <w:color w:val="auto"/>
        </w:rPr>
      </w:pPr>
    </w:p>
    <w:p>
      <w:pPr>
        <w:ind w:left="900" w:right="720" w:hanging="204"/>
        <w:spacing w:after="0" w:line="250" w:lineRule="auto"/>
        <w:tabs>
          <w:tab w:leader="none" w:pos="89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announced volume shipments of our new 1z 16Gb GDDR6X, which features twice the capacity and up to 15% higher performance than the previous 1y generation;</w:t>
      </w: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continued the enablement of DDR5 across the industry, especially with key cloud customers; 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received the first ISO 26262 Automotive Safety Integrity Level D certification of memory for our LPDDR5 DRAM.</w:t>
      </w:r>
    </w:p>
    <w:p>
      <w:pPr>
        <w:spacing w:after="0" w:line="234"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NAND:</w:t>
      </w:r>
    </w:p>
    <w:p>
      <w:pPr>
        <w:spacing w:after="0" w:line="27"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achieved record revenue in SSDs and in our consolidated NAND business in fiscal 2022;</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176-layer NAND comprised approximately 95% of our mobile NAND bit shipments in the fourth quarter of fiscal 2022; 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led the industry again in entering volume production of the world’s first 232-layer NAND in the fourth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 w:right="460" w:hanging="209"/>
        <w:spacing w:after="0" w:line="287" w:lineRule="auto"/>
        <w:tabs>
          <w:tab w:leader="none" w:pos="4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issued our inaugural $1.0 billion green bond to finance eligible projects focused on renewable energy, green buildings, energy efficiency, water management, pollution control, and a circular economy.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Manufacturing Fabs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support expected memory demand in the second half of the decade, in September 2022 and October 2022, we announced plans to invest in two leading-edge memory manufacturing fabs in Boise, Idaho, and Clay, New York, respectively. We plan to build these sites in stages with tool installation and production output ramped in line with industry demand growth, consistent with our goal to maintain stable bit supply share as well as supply discipline.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Shareholder Return (“TSR”)</w:t>
      </w:r>
    </w:p>
    <w:p>
      <w:pPr>
        <w:spacing w:after="0" w:line="2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chart shows our relative TSR data as compared to the S&amp;P 500 Composite Index and the median of our Compensation Peer Group as identified in "Compensation-Setting Process and the Determination of Compensation Levels – “Market Data”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126365</wp:posOffset>
            </wp:positionV>
            <wp:extent cx="428625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862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information presented is based on closing prices on or nearest to September 1 and represents annualized rates of return reflecting price appreciation plus reinvestment of dividends and the compounding effect of dividends paid, if any, on reinvested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27</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250" w:lineRule="exact"/>
        <w:rPr>
          <w:sz w:val="20"/>
          <w:szCs w:val="20"/>
          <w:color w:val="auto"/>
        </w:rPr>
      </w:pPr>
    </w:p>
    <w:p>
      <w:pPr>
        <w:ind w:left="660" w:right="8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2021, the Compensation Committee set compensation levels and performance goals for fiscal 2022 based on a review of financial results, projections, individual contributions, strategic objectives, Market Data (as defined below), and market conditions.</w:t>
      </w:r>
    </w:p>
    <w:p>
      <w:pPr>
        <w:spacing w:after="0" w:line="179" w:lineRule="exact"/>
        <w:rPr>
          <w:rFonts w:ascii="Arial" w:cs="Arial" w:eastAsia="Arial" w:hAnsi="Arial"/>
          <w:sz w:val="18"/>
          <w:szCs w:val="18"/>
          <w:color w:val="auto"/>
        </w:rPr>
      </w:pPr>
    </w:p>
    <w:p>
      <w:pPr>
        <w:ind w:left="980" w:right="40" w:hanging="324"/>
        <w:spacing w:after="0" w:line="287" w:lineRule="auto"/>
        <w:tabs>
          <w:tab w:leader="none" w:pos="9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CEO and other Named Executive Officers (on average) for fiscal 2022 (other than Mr. Murphy, who joined in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126365</wp:posOffset>
            </wp:positionV>
            <wp:extent cx="5572125" cy="1654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21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980" w:right="260" w:hanging="324"/>
        <w:spacing w:after="0" w:line="268"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Named Executive Officers are eligible to earn short-term incentive awards pursuant to our Executive Officer Performance Incentive Plan (“EIP”). The Compensation Committee selected performance goals for our Named Executive Officers based on their correlation to the creation of shareholder value and their alignment with our strategic objectives.</w:t>
      </w:r>
    </w:p>
    <w:p>
      <w:pPr>
        <w:spacing w:after="0" w:line="197" w:lineRule="exact"/>
        <w:rPr>
          <w:rFonts w:ascii="Arial" w:cs="Arial" w:eastAsia="Arial" w:hAnsi="Arial"/>
          <w:sz w:val="18"/>
          <w:szCs w:val="18"/>
          <w:color w:val="auto"/>
        </w:rPr>
      </w:pPr>
    </w:p>
    <w:p>
      <w:pPr>
        <w:ind w:left="1620" w:right="280" w:hanging="316"/>
        <w:spacing w:after="0" w:line="291" w:lineRule="auto"/>
        <w:tabs>
          <w:tab w:leader="none" w:pos="1616"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fiscal 2022, the Compensation Committee established goals tied to profitability and the achievement of certain technology, product, business, and cost milestones, and goals focusing on key stakeholders. Please see “Fiscal 2022 Executive Compensation – Fiscal 2022 Short-Term Incentive Awards” for additional detail concerning these goals.</w:t>
      </w:r>
    </w:p>
    <w:p>
      <w:pPr>
        <w:spacing w:after="0" w:line="179" w:lineRule="exact"/>
        <w:rPr>
          <w:rFonts w:ascii="Arial" w:cs="Arial" w:eastAsia="Arial" w:hAnsi="Arial"/>
          <w:sz w:val="17"/>
          <w:szCs w:val="17"/>
          <w:color w:val="auto"/>
        </w:rPr>
      </w:pPr>
    </w:p>
    <w:p>
      <w:pPr>
        <w:ind w:left="980" w:right="280" w:hanging="324"/>
        <w:spacing w:after="0" w:line="287"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used a mix of 50% time-based restricted stock and 50% performance-based restricted stock units for our fiscal 2022 long-term equity incentives.</w:t>
      </w:r>
    </w:p>
    <w:p>
      <w:pPr>
        <w:spacing w:after="0" w:line="179" w:lineRule="exact"/>
        <w:rPr>
          <w:rFonts w:ascii="Arial" w:cs="Arial" w:eastAsia="Arial" w:hAnsi="Arial"/>
          <w:sz w:val="18"/>
          <w:szCs w:val="18"/>
          <w:color w:val="auto"/>
        </w:rPr>
      </w:pPr>
    </w:p>
    <w:p>
      <w:pPr>
        <w:ind w:left="980" w:right="40" w:hanging="324"/>
        <w:spacing w:after="0" w:line="262"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metrics for our performance-based restricted stock units include percentage of bits shipped as high value solutions and for a certain market segment and TSR relative to the semiconductor sector. In addition, the high-value solutions and market segment goals together have two stretch milestones relating to development of next-generation products. The relative TSR, high-value solutions, and market segment goals have a three-year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35" w:name="page36"/>
    <w:bookmarkEnd w:id="35"/>
    <w:p>
      <w:pPr>
        <w:spacing w:after="0" w:line="191" w:lineRule="auto"/>
        <w:framePr w:w="480" w:h="147" w:wrap="auto" w:vAnchor="page" w:hAnchor="page" w:x="4380" w:y="11941"/>
        <w:rPr>
          <w:rFonts w:ascii="Arial" w:cs="Arial" w:eastAsia="Arial" w:hAnsi="Arial"/>
          <w:sz w:val="16"/>
          <w:szCs w:val="16"/>
          <w:color w:val="auto"/>
        </w:rPr>
      </w:pPr>
      <w:r>
        <w:rPr>
          <w:rFonts w:ascii="Arial" w:cs="Arial" w:eastAsia="Arial" w:hAnsi="Arial"/>
          <w:sz w:val="16"/>
          <w:szCs w:val="16"/>
          <w:color w:val="auto"/>
        </w:rPr>
        <w:t>years</w:t>
      </w:r>
    </w:p>
    <w:p>
      <w:pPr>
        <w:jc w:val="both"/>
        <w:spacing w:after="0" w:line="204" w:lineRule="auto"/>
        <w:framePr w:w="11100" w:h="471" w:wrap="auto" w:vAnchor="page" w:hAnchor="page" w:x="300" w:y="12683"/>
        <w:rPr>
          <w:rFonts w:ascii="Arial" w:cs="Arial" w:eastAsia="Arial" w:hAnsi="Arial"/>
          <w:sz w:val="16"/>
          <w:szCs w:val="16"/>
          <w:color w:val="auto"/>
        </w:rPr>
      </w:pPr>
      <w:r>
        <w:rPr>
          <w:rFonts w:ascii="Arial" w:cs="Arial" w:eastAsia="Arial" w:hAnsi="Arial"/>
          <w:sz w:val="16"/>
          <w:szCs w:val="16"/>
          <w:color w:val="auto"/>
        </w:rPr>
        <w:t>* 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 Percentages of total compensation may not total 100% due to rounding.</w:t>
      </w:r>
    </w:p>
    <w:p>
      <w:pPr>
        <w:spacing w:after="0" w:line="191" w:lineRule="auto"/>
        <w:framePr w:w="260" w:h="147" w:wrap="auto" w:vAnchor="page" w:hAnchor="page" w:x="11340" w:y="14087"/>
        <w:rPr>
          <w:rFonts w:ascii="Arial" w:cs="Arial" w:eastAsia="Arial" w:hAnsi="Arial"/>
          <w:sz w:val="16"/>
          <w:szCs w:val="16"/>
          <w:b w:val="1"/>
          <w:bCs w:val="1"/>
          <w:color w:val="auto"/>
        </w:rPr>
      </w:pPr>
      <w:r>
        <w:rPr>
          <w:rFonts w:ascii="Arial" w:cs="Arial" w:eastAsia="Arial" w:hAnsi="Arial"/>
          <w:sz w:val="16"/>
          <w:szCs w:val="16"/>
          <w:b w:val="1"/>
          <w:bCs w:val="1"/>
          <w:color w:val="auto"/>
        </w:rPr>
        <w:t>29</w:t>
      </w:r>
    </w:p>
    <w:p>
      <w:pPr>
        <w:spacing w:after="0" w:line="191" w:lineRule="auto"/>
        <w:framePr w:w="1980" w:h="147" w:wrap="auto" w:vAnchor="page" w:hAnchor="page" w:x="4180" w:y="11752"/>
        <w:rPr>
          <w:rFonts w:ascii="Arial" w:cs="Arial" w:eastAsia="Arial" w:hAnsi="Arial"/>
          <w:sz w:val="16"/>
          <w:szCs w:val="16"/>
          <w:b w:val="1"/>
          <w:bCs w:val="1"/>
          <w:color w:val="auto"/>
        </w:rPr>
      </w:pPr>
      <w:r>
        <w:rPr>
          <w:rFonts w:ascii="Arial" w:cs="Arial" w:eastAsia="Arial" w:hAnsi="Arial"/>
          <w:sz w:val="16"/>
          <w:szCs w:val="16"/>
          <w:b w:val="1"/>
          <w:bCs w:val="1"/>
          <w:color w:val="auto"/>
        </w:rPr>
        <w:t>–  Vests ratably over three</w:t>
      </w:r>
    </w:p>
    <w:p>
      <w:pPr>
        <w:spacing w:after="0" w:line="191" w:lineRule="auto"/>
        <w:framePr w:w="2020" w:h="147" w:wrap="auto" w:vAnchor="page" w:hAnchor="page" w:x="6520" w:y="11752"/>
        <w:rPr>
          <w:rFonts w:ascii="Arial" w:cs="Arial" w:eastAsia="Arial" w:hAnsi="Arial"/>
          <w:sz w:val="16"/>
          <w:szCs w:val="16"/>
          <w:b w:val="1"/>
          <w:bCs w:val="1"/>
          <w:color w:val="auto"/>
        </w:rPr>
      </w:pPr>
      <w:r>
        <w:rPr>
          <w:rFonts w:ascii="Arial" w:cs="Arial" w:eastAsia="Arial" w:hAnsi="Arial"/>
          <w:sz w:val="16"/>
          <w:szCs w:val="16"/>
          <w:b w:val="1"/>
          <w:bCs w:val="1"/>
          <w:color w:val="auto"/>
        </w:rPr>
        <w:t>–  Provides retention value</w:t>
      </w:r>
    </w:p>
    <w:p>
      <w:pPr>
        <w:spacing w:after="0" w:line="191" w:lineRule="auto"/>
        <w:framePr w:w="4320" w:h="147" w:wrap="auto" w:vAnchor="page" w:hAnchor="page" w:x="4180" w:y="10955"/>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Provides alignment with</w:t>
      </w:r>
    </w:p>
    <w:p>
      <w:pPr>
        <w:spacing w:after="0" w:line="201" w:lineRule="auto"/>
        <w:framePr w:w="1560" w:h="147" w:wrap="auto" w:vAnchor="page" w:hAnchor="page" w:x="4380" w:y="11144"/>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201" w:lineRule="auto"/>
        <w:framePr w:w="2120" w:h="309" w:wrap="auto" w:vAnchor="page" w:hAnchor="page" w:x="6720" w:y="11117"/>
        <w:rPr>
          <w:rFonts w:ascii="Arial" w:cs="Arial" w:eastAsia="Arial" w:hAnsi="Arial"/>
          <w:sz w:val="16"/>
          <w:szCs w:val="16"/>
          <w:b w:val="1"/>
          <w:bCs w:val="1"/>
          <w:color w:val="auto"/>
        </w:rPr>
      </w:pPr>
      <w:r>
        <w:rPr>
          <w:rFonts w:ascii="Arial" w:cs="Arial" w:eastAsia="Arial" w:hAnsi="Arial"/>
          <w:sz w:val="16"/>
          <w:szCs w:val="16"/>
          <w:b w:val="1"/>
          <w:bCs w:val="1"/>
          <w:color w:val="auto"/>
        </w:rPr>
        <w:t>shareholders’ interests by focusing executives on long-</w:t>
      </w:r>
    </w:p>
    <w:p>
      <w:pPr>
        <w:spacing w:after="0" w:line="191" w:lineRule="auto"/>
        <w:framePr w:w="1460" w:h="147" w:wrap="auto" w:vAnchor="page" w:hAnchor="page" w:x="6720" w:y="11441"/>
        <w:rPr>
          <w:rFonts w:ascii="Arial" w:cs="Arial" w:eastAsia="Arial" w:hAnsi="Arial"/>
          <w:sz w:val="16"/>
          <w:szCs w:val="16"/>
          <w:b w:val="1"/>
          <w:bCs w:val="1"/>
          <w:color w:val="auto"/>
        </w:rPr>
      </w:pPr>
      <w:r>
        <w:rPr>
          <w:rFonts w:ascii="Arial" w:cs="Arial" w:eastAsia="Arial" w:hAnsi="Arial"/>
          <w:sz w:val="16"/>
          <w:szCs w:val="16"/>
          <w:b w:val="1"/>
          <w:bCs w:val="1"/>
          <w:color w:val="auto"/>
        </w:rPr>
        <w:t>term value creation</w:t>
      </w:r>
    </w:p>
    <w:p>
      <w:pPr>
        <w:spacing w:after="0" w:line="191" w:lineRule="auto"/>
        <w:framePr w:w="2200" w:h="147" w:wrap="auto" w:vAnchor="page" w:hAnchor="page" w:x="8980" w:y="10955"/>
        <w:rPr>
          <w:rFonts w:ascii="Arial" w:cs="Arial" w:eastAsia="Arial" w:hAnsi="Arial"/>
          <w:sz w:val="16"/>
          <w:szCs w:val="16"/>
          <w:b w:val="1"/>
          <w:bCs w:val="1"/>
          <w:color w:val="auto"/>
        </w:rPr>
      </w:pPr>
      <w:r>
        <w:rPr>
          <w:rFonts w:ascii="Arial" w:cs="Arial" w:eastAsia="Arial" w:hAnsi="Arial"/>
          <w:sz w:val="16"/>
          <w:szCs w:val="16"/>
          <w:b w:val="1"/>
          <w:bCs w:val="1"/>
          <w:color w:val="auto"/>
        </w:rPr>
        <w:t>–  Value based on stock price</w:t>
      </w:r>
    </w:p>
    <w:p>
      <w:pPr>
        <w:spacing w:after="0" w:line="207" w:lineRule="auto"/>
        <w:framePr w:w="2300" w:h="795" w:wrap="auto" w:vAnchor="page" w:hAnchor="page" w:x="4180" w:y="9808"/>
        <w:rPr>
          <w:rFonts w:ascii="Arial" w:cs="Arial" w:eastAsia="Arial" w:hAnsi="Arial"/>
          <w:sz w:val="16"/>
          <w:szCs w:val="16"/>
          <w:b w:val="1"/>
          <w:bCs w:val="1"/>
          <w:color w:val="auto"/>
        </w:rPr>
      </w:pPr>
      <w:r>
        <w:rPr>
          <w:rFonts w:ascii="Arial" w:cs="Arial" w:eastAsia="Arial" w:hAnsi="Arial"/>
          <w:sz w:val="16"/>
          <w:szCs w:val="16"/>
          <w:b w:val="1"/>
          <w:bCs w:val="1"/>
          <w:color w:val="auto"/>
        </w:rPr>
        <w:t>– 50% of total banked PRSU vests at end of second year, remaining and/or incremental vests at end of third year</w:t>
      </w:r>
    </w:p>
    <w:p>
      <w:pPr>
        <w:spacing w:after="0" w:line="207" w:lineRule="auto"/>
        <w:framePr w:w="2340" w:h="957" w:wrap="auto" w:vAnchor="page" w:hAnchor="page" w:x="4180" w:y="8741"/>
        <w:rPr>
          <w:rFonts w:ascii="Arial" w:cs="Arial" w:eastAsia="Arial" w:hAnsi="Arial"/>
          <w:sz w:val="16"/>
          <w:szCs w:val="16"/>
          <w:b w:val="1"/>
          <w:bCs w:val="1"/>
          <w:color w:val="auto"/>
        </w:rPr>
      </w:pPr>
      <w:r>
        <w:rPr>
          <w:rFonts w:ascii="Arial" w:cs="Arial" w:eastAsia="Arial" w:hAnsi="Arial"/>
          <w:sz w:val="16"/>
          <w:szCs w:val="16"/>
          <w:b w:val="1"/>
          <w:bCs w:val="1"/>
          <w:color w:val="auto"/>
        </w:rPr>
        <w:t>– Earned at the end of the second and third year for the operational goals and each day beginning on the first day of the second year for the financial goal</w:t>
      </w:r>
    </w:p>
    <w:p>
      <w:pPr>
        <w:spacing w:after="0" w:line="201" w:lineRule="auto"/>
        <w:framePr w:w="2020" w:h="309" w:wrap="auto" w:vAnchor="page" w:hAnchor="page" w:x="4180" w:y="8323"/>
        <w:rPr>
          <w:rFonts w:ascii="Arial" w:cs="Arial" w:eastAsia="Arial" w:hAnsi="Arial"/>
          <w:sz w:val="16"/>
          <w:szCs w:val="16"/>
          <w:b w:val="1"/>
          <w:bCs w:val="1"/>
          <w:color w:val="auto"/>
        </w:rPr>
      </w:pPr>
      <w:r>
        <w:rPr>
          <w:rFonts w:ascii="Arial" w:cs="Arial" w:eastAsia="Arial" w:hAnsi="Arial"/>
          <w:sz w:val="16"/>
          <w:szCs w:val="16"/>
          <w:b w:val="1"/>
          <w:bCs w:val="1"/>
          <w:color w:val="auto"/>
        </w:rPr>
        <w:t>– Three-year performance period</w:t>
      </w:r>
    </w:p>
    <w:p>
      <w:pPr>
        <w:spacing w:after="0" w:line="206" w:lineRule="auto"/>
        <w:framePr w:w="1980" w:h="633" w:wrap="auto" w:vAnchor="page" w:hAnchor="page" w:x="9380" w:y="8323"/>
        <w:rPr>
          <w:rFonts w:ascii="Arial" w:cs="Arial" w:eastAsia="Arial" w:hAnsi="Arial"/>
          <w:sz w:val="16"/>
          <w:szCs w:val="16"/>
          <w:b w:val="1"/>
          <w:bCs w:val="1"/>
          <w:color w:val="auto"/>
        </w:rPr>
      </w:pPr>
      <w:r>
        <w:rPr>
          <w:rFonts w:ascii="Arial" w:cs="Arial" w:eastAsia="Arial" w:hAnsi="Arial"/>
          <w:sz w:val="16"/>
          <w:szCs w:val="16"/>
          <w:b w:val="1"/>
          <w:bCs w:val="1"/>
          <w:color w:val="auto"/>
        </w:rPr>
        <w:t>- Percentage of NAND bits shipped as high value solutions and for a certain market segment</w:t>
      </w:r>
    </w:p>
    <w:p>
      <w:pPr>
        <w:spacing w:after="0" w:line="208" w:lineRule="auto"/>
        <w:framePr w:w="2160" w:h="1281" w:wrap="auto" w:vAnchor="page" w:hAnchor="page" w:x="9380" w:y="8971"/>
        <w:rPr>
          <w:rFonts w:ascii="Arial" w:cs="Arial" w:eastAsia="Arial" w:hAnsi="Arial"/>
          <w:sz w:val="16"/>
          <w:szCs w:val="16"/>
          <w:b w:val="1"/>
          <w:bCs w:val="1"/>
          <w:color w:val="auto"/>
        </w:rPr>
      </w:pPr>
      <w:r>
        <w:rPr>
          <w:rFonts w:ascii="Arial" w:cs="Arial" w:eastAsia="Arial" w:hAnsi="Arial"/>
          <w:sz w:val="16"/>
          <w:szCs w:val="16"/>
          <w:b w:val="1"/>
          <w:bCs w:val="1"/>
          <w:color w:val="auto"/>
        </w:rPr>
        <w:t>- TSR relative to the semiconductor sector - Additional earning opportunities for achievement of stretch goal milestones, subject to the aggregate 2x Limit described below</w:t>
      </w:r>
    </w:p>
    <w:p>
      <w:pPr>
        <w:spacing w:after="0" w:line="191" w:lineRule="auto"/>
        <w:framePr w:w="4260" w:h="147" w:wrap="auto" w:vAnchor="page" w:hAnchor="page" w:x="4180" w:y="7904"/>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Creates direct, specific</w:t>
      </w:r>
    </w:p>
    <w:p>
      <w:pPr>
        <w:spacing w:after="0" w:line="208" w:lineRule="auto"/>
        <w:framePr w:w="1560" w:h="147" w:wrap="auto" w:vAnchor="page" w:hAnchor="page" w:x="4380" w:y="8066"/>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208" w:lineRule="auto"/>
        <w:framePr w:w="2240" w:h="1119" w:wrap="auto" w:vAnchor="page" w:hAnchor="page" w:x="6720" w:y="8066"/>
        <w:rPr>
          <w:rFonts w:ascii="Arial" w:cs="Arial" w:eastAsia="Arial" w:hAnsi="Arial"/>
          <w:sz w:val="16"/>
          <w:szCs w:val="16"/>
          <w:b w:val="1"/>
          <w:bCs w:val="1"/>
          <w:color w:val="auto"/>
        </w:rPr>
      </w:pPr>
      <w:r>
        <w:rPr>
          <w:rFonts w:ascii="Arial" w:cs="Arial" w:eastAsia="Arial" w:hAnsi="Arial"/>
          <w:sz w:val="16"/>
          <w:szCs w:val="16"/>
          <w:b w:val="1"/>
          <w:bCs w:val="1"/>
          <w:color w:val="auto"/>
        </w:rPr>
        <w:t>alignment with shareholders’ interests by focusing executives on long-term value creation through the achievement of key operational milestones and stock price performance</w:t>
      </w:r>
    </w:p>
    <w:p>
      <w:pPr>
        <w:spacing w:after="0" w:line="201" w:lineRule="auto"/>
        <w:framePr w:w="2540" w:h="309" w:wrap="auto" w:vAnchor="page" w:hAnchor="page" w:x="8980" w:y="7904"/>
        <w:rPr>
          <w:rFonts w:ascii="Arial" w:cs="Arial" w:eastAsia="Arial" w:hAnsi="Arial"/>
          <w:sz w:val="16"/>
          <w:szCs w:val="16"/>
          <w:b w:val="1"/>
          <w:bCs w:val="1"/>
          <w:color w:val="auto"/>
        </w:rPr>
      </w:pPr>
      <w:r>
        <w:rPr>
          <w:rFonts w:ascii="Arial" w:cs="Arial" w:eastAsia="Arial" w:hAnsi="Arial"/>
          <w:sz w:val="16"/>
          <w:szCs w:val="16"/>
          <w:b w:val="1"/>
          <w:bCs w:val="1"/>
          <w:color w:val="auto"/>
        </w:rPr>
        <w:t>– Goals set by the Compensation Committee</w:t>
      </w:r>
    </w:p>
    <w:p>
      <w:pPr>
        <w:spacing w:after="0" w:line="206" w:lineRule="auto"/>
        <w:framePr w:w="2120" w:h="633" w:wrap="auto" w:vAnchor="page" w:hAnchor="page" w:x="6520" w:y="6082"/>
        <w:rPr>
          <w:rFonts w:ascii="Arial" w:cs="Arial" w:eastAsia="Arial" w:hAnsi="Arial"/>
          <w:sz w:val="16"/>
          <w:szCs w:val="16"/>
          <w:b w:val="1"/>
          <w:bCs w:val="1"/>
          <w:color w:val="auto"/>
        </w:rPr>
      </w:pPr>
      <w:r>
        <w:rPr>
          <w:rFonts w:ascii="Arial" w:cs="Arial" w:eastAsia="Arial" w:hAnsi="Arial"/>
          <w:sz w:val="16"/>
          <w:szCs w:val="16"/>
          <w:b w:val="1"/>
          <w:bCs w:val="1"/>
          <w:color w:val="auto"/>
        </w:rPr>
        <w:t>– Focuses executives on achievement of near-term financial and operational objectives</w:t>
      </w:r>
    </w:p>
    <w:p>
      <w:pPr>
        <w:spacing w:after="0" w:line="204" w:lineRule="auto"/>
        <w:framePr w:w="2400" w:h="471" w:wrap="auto" w:vAnchor="page" w:hAnchor="page" w:x="6520" w:y="6838"/>
        <w:rPr>
          <w:rFonts w:ascii="Arial" w:cs="Arial" w:eastAsia="Arial" w:hAnsi="Arial"/>
          <w:sz w:val="16"/>
          <w:szCs w:val="16"/>
          <w:b w:val="1"/>
          <w:bCs w:val="1"/>
          <w:color w:val="auto"/>
        </w:rPr>
      </w:pPr>
      <w:r>
        <w:rPr>
          <w:rFonts w:ascii="Arial" w:cs="Arial" w:eastAsia="Arial" w:hAnsi="Arial"/>
          <w:sz w:val="16"/>
          <w:szCs w:val="16"/>
          <w:b w:val="1"/>
          <w:bCs w:val="1"/>
          <w:color w:val="auto"/>
        </w:rPr>
        <w:t>– Promotes long-term company success and drives shareholder value</w:t>
      </w:r>
    </w:p>
    <w:p>
      <w:pPr>
        <w:spacing w:after="0" w:line="191" w:lineRule="auto"/>
        <w:framePr w:w="1500" w:h="147" w:wrap="auto" w:vAnchor="page" w:hAnchor="page" w:x="9380" w:y="6082"/>
        <w:rPr>
          <w:rFonts w:ascii="Arial" w:cs="Arial" w:eastAsia="Arial" w:hAnsi="Arial"/>
          <w:sz w:val="16"/>
          <w:szCs w:val="16"/>
          <w:b w:val="1"/>
          <w:bCs w:val="1"/>
          <w:color w:val="auto"/>
        </w:rPr>
      </w:pPr>
      <w:r>
        <w:rPr>
          <w:rFonts w:ascii="Arial" w:cs="Arial" w:eastAsia="Arial" w:hAnsi="Arial"/>
          <w:sz w:val="16"/>
          <w:szCs w:val="16"/>
          <w:b w:val="1"/>
          <w:bCs w:val="1"/>
          <w:color w:val="auto"/>
        </w:rPr>
        <w:t>- Profitability targets</w:t>
      </w:r>
    </w:p>
    <w:p>
      <w:pPr>
        <w:spacing w:after="0" w:line="208" w:lineRule="auto"/>
        <w:framePr w:w="2100" w:h="1119" w:wrap="auto" w:vAnchor="page" w:hAnchor="page" w:x="9380" w:y="6244"/>
        <w:rPr>
          <w:rFonts w:ascii="Arial" w:cs="Arial" w:eastAsia="Arial" w:hAnsi="Arial"/>
          <w:sz w:val="16"/>
          <w:szCs w:val="16"/>
          <w:b w:val="1"/>
          <w:bCs w:val="1"/>
          <w:color w:val="auto"/>
        </w:rPr>
      </w:pPr>
      <w:r>
        <w:rPr>
          <w:rFonts w:ascii="Arial" w:cs="Arial" w:eastAsia="Arial" w:hAnsi="Arial"/>
          <w:sz w:val="16"/>
          <w:szCs w:val="16"/>
          <w:b w:val="1"/>
          <w:bCs w:val="1"/>
          <w:color w:val="auto"/>
        </w:rPr>
        <w:t>- Achievement of certain technology, product, business, and cost aims - Other goals including customer, sustainability, and diversity, equality, and inclusion</w:t>
      </w:r>
    </w:p>
    <w:p>
      <w:pPr>
        <w:jc w:val="both"/>
        <w:spacing w:after="0" w:line="228" w:lineRule="auto"/>
        <w:framePr w:w="2120" w:h="525" w:wrap="auto" w:vAnchor="page" w:hAnchor="page" w:x="4180" w:y="5474"/>
        <w:rPr>
          <w:rFonts w:ascii="Arial" w:cs="Arial" w:eastAsia="Arial" w:hAnsi="Arial"/>
          <w:sz w:val="16"/>
          <w:szCs w:val="16"/>
          <w:b w:val="1"/>
          <w:bCs w:val="1"/>
          <w:color w:val="auto"/>
        </w:rPr>
      </w:pPr>
      <w:r>
        <w:rPr>
          <w:rFonts w:ascii="Arial" w:cs="Arial" w:eastAsia="Arial" w:hAnsi="Arial"/>
          <w:sz w:val="16"/>
          <w:szCs w:val="16"/>
          <w:b w:val="1"/>
          <w:bCs w:val="1"/>
          <w:color w:val="auto"/>
        </w:rPr>
        <w:t>– Target payout is tied to a percentage of executive’s base salary</w:t>
      </w:r>
    </w:p>
    <w:p>
      <w:pPr>
        <w:spacing w:after="0" w:line="204" w:lineRule="auto"/>
        <w:framePr w:w="2380" w:h="471" w:wrap="auto" w:vAnchor="page" w:hAnchor="page" w:x="6520" w:y="5474"/>
        <w:rPr>
          <w:rFonts w:ascii="Arial" w:cs="Arial" w:eastAsia="Arial" w:hAnsi="Arial"/>
          <w:sz w:val="16"/>
          <w:szCs w:val="16"/>
          <w:b w:val="1"/>
          <w:bCs w:val="1"/>
          <w:color w:val="auto"/>
        </w:rPr>
      </w:pPr>
      <w:r>
        <w:rPr>
          <w:rFonts w:ascii="Arial" w:cs="Arial" w:eastAsia="Arial" w:hAnsi="Arial"/>
          <w:sz w:val="16"/>
          <w:szCs w:val="16"/>
          <w:b w:val="1"/>
          <w:bCs w:val="1"/>
          <w:color w:val="auto"/>
        </w:rPr>
        <w:t>– Encourages accountability by rewarding achievement of specific performance goals</w:t>
      </w:r>
    </w:p>
    <w:p>
      <w:pPr>
        <w:spacing w:after="0" w:line="204" w:lineRule="auto"/>
        <w:framePr w:w="2400" w:h="471" w:wrap="auto" w:vAnchor="page" w:hAnchor="page" w:x="8980" w:y="5474"/>
        <w:rPr>
          <w:rFonts w:ascii="Arial" w:cs="Arial" w:eastAsia="Arial" w:hAnsi="Arial"/>
          <w:sz w:val="16"/>
          <w:szCs w:val="16"/>
          <w:b w:val="1"/>
          <w:bCs w:val="1"/>
          <w:color w:val="auto"/>
        </w:rPr>
      </w:pPr>
      <w:r>
        <w:rPr>
          <w:rFonts w:ascii="Arial" w:cs="Arial" w:eastAsia="Arial" w:hAnsi="Arial"/>
          <w:sz w:val="16"/>
          <w:szCs w:val="16"/>
          <w:b w:val="1"/>
          <w:bCs w:val="1"/>
          <w:color w:val="auto"/>
        </w:rPr>
        <w:t>– Annual, pre-determined goals set by the Compensation Committee</w:t>
      </w:r>
    </w:p>
    <w:p>
      <w:pPr>
        <w:spacing w:after="0" w:line="191" w:lineRule="auto"/>
        <w:framePr w:w="4740" w:h="147" w:wrap="auto" w:vAnchor="page" w:hAnchor="page" w:x="4180" w:y="4556"/>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Provides performance-based,</w:t>
      </w:r>
    </w:p>
    <w:p>
      <w:pPr>
        <w:spacing w:after="0" w:line="206" w:lineRule="auto"/>
        <w:framePr w:w="1480" w:h="147" w:wrap="auto" w:vAnchor="page" w:hAnchor="page" w:x="4380" w:y="4718"/>
        <w:rPr>
          <w:rFonts w:ascii="Arial" w:cs="Arial" w:eastAsia="Arial" w:hAnsi="Arial"/>
          <w:sz w:val="16"/>
          <w:szCs w:val="16"/>
          <w:b w:val="1"/>
          <w:bCs w:val="1"/>
          <w:color w:val="auto"/>
        </w:rPr>
      </w:pPr>
      <w:r>
        <w:rPr>
          <w:rFonts w:ascii="Arial" w:cs="Arial" w:eastAsia="Arial" w:hAnsi="Arial"/>
          <w:sz w:val="16"/>
          <w:szCs w:val="16"/>
          <w:b w:val="1"/>
          <w:bCs w:val="1"/>
          <w:color w:val="auto"/>
        </w:rPr>
        <w:t>cash compensation</w:t>
      </w:r>
    </w:p>
    <w:p>
      <w:pPr>
        <w:spacing w:after="0" w:line="206" w:lineRule="auto"/>
        <w:framePr w:w="2120" w:h="633" w:wrap="auto" w:vAnchor="page" w:hAnchor="page" w:x="6720" w:y="4718"/>
        <w:rPr>
          <w:rFonts w:ascii="Arial" w:cs="Arial" w:eastAsia="Arial" w:hAnsi="Arial"/>
          <w:sz w:val="16"/>
          <w:szCs w:val="16"/>
          <w:b w:val="1"/>
          <w:bCs w:val="1"/>
          <w:color w:val="auto"/>
        </w:rPr>
      </w:pPr>
      <w:r>
        <w:rPr>
          <w:rFonts w:ascii="Arial" w:cs="Arial" w:eastAsia="Arial" w:hAnsi="Arial"/>
          <w:sz w:val="16"/>
          <w:szCs w:val="16"/>
          <w:b w:val="1"/>
          <w:bCs w:val="1"/>
          <w:color w:val="auto"/>
        </w:rPr>
        <w:t>incentive cash awards for outstanding performance at the individual, business-unit, and/or company-wide level</w:t>
      </w:r>
    </w:p>
    <w:p>
      <w:pPr>
        <w:spacing w:after="0" w:line="201" w:lineRule="auto"/>
        <w:framePr w:w="2180" w:h="309" w:wrap="auto" w:vAnchor="page" w:hAnchor="page" w:x="8980" w:y="4556"/>
        <w:rPr>
          <w:rFonts w:ascii="Arial" w:cs="Arial" w:eastAsia="Arial" w:hAnsi="Arial"/>
          <w:sz w:val="16"/>
          <w:szCs w:val="16"/>
          <w:b w:val="1"/>
          <w:bCs w:val="1"/>
          <w:color w:val="auto"/>
        </w:rPr>
      </w:pPr>
      <w:r>
        <w:rPr>
          <w:rFonts w:ascii="Arial" w:cs="Arial" w:eastAsia="Arial" w:hAnsi="Arial"/>
          <w:sz w:val="16"/>
          <w:szCs w:val="16"/>
          <w:b w:val="1"/>
          <w:bCs w:val="1"/>
          <w:color w:val="auto"/>
        </w:rPr>
        <w:t>– Market Data median forms baseline</w:t>
      </w:r>
    </w:p>
    <w:p>
      <w:pPr>
        <w:spacing w:after="0" w:line="191" w:lineRule="auto"/>
        <w:framePr w:w="4440" w:h="147" w:wrap="auto" w:vAnchor="page" w:hAnchor="page" w:x="6520" w:y="3247"/>
        <w:rPr>
          <w:rFonts w:ascii="Arial" w:cs="Arial" w:eastAsia="Arial" w:hAnsi="Arial"/>
          <w:sz w:val="16"/>
          <w:szCs w:val="16"/>
          <w:b w:val="1"/>
          <w:bCs w:val="1"/>
          <w:color w:val="auto"/>
        </w:rPr>
      </w:pPr>
      <w:r>
        <w:rPr>
          <w:rFonts w:ascii="Arial" w:cs="Arial" w:eastAsia="Arial" w:hAnsi="Arial"/>
          <w:sz w:val="16"/>
          <w:szCs w:val="16"/>
          <w:b w:val="1"/>
          <w:bCs w:val="1"/>
          <w:color w:val="auto"/>
        </w:rPr>
        <w:t>–  Attracts, develops, and retains –  Adjusted for executive’s</w:t>
      </w:r>
    </w:p>
    <w:p>
      <w:pPr>
        <w:spacing w:after="0" w:line="191" w:lineRule="auto"/>
        <w:framePr w:w="1880" w:h="147" w:wrap="auto" w:vAnchor="page" w:hAnchor="page" w:x="6720" w:y="3409"/>
        <w:rPr>
          <w:rFonts w:ascii="Arial" w:cs="Arial" w:eastAsia="Arial" w:hAnsi="Arial"/>
          <w:sz w:val="16"/>
          <w:szCs w:val="16"/>
          <w:b w:val="1"/>
          <w:bCs w:val="1"/>
          <w:color w:val="auto"/>
        </w:rPr>
      </w:pPr>
      <w:r>
        <w:rPr>
          <w:rFonts w:ascii="Arial" w:cs="Arial" w:eastAsia="Arial" w:hAnsi="Arial"/>
          <w:sz w:val="16"/>
          <w:szCs w:val="16"/>
          <w:b w:val="1"/>
          <w:bCs w:val="1"/>
          <w:color w:val="auto"/>
        </w:rPr>
        <w:t>highly-qualified executive</w:t>
      </w:r>
    </w:p>
    <w:p>
      <w:pPr>
        <w:spacing w:after="0" w:line="191" w:lineRule="auto"/>
        <w:framePr w:w="2240" w:h="147" w:wrap="auto" w:vAnchor="page" w:hAnchor="page" w:x="9180" w:y="3409"/>
        <w:rPr>
          <w:rFonts w:ascii="Arial" w:cs="Arial" w:eastAsia="Arial" w:hAnsi="Arial"/>
          <w:sz w:val="16"/>
          <w:szCs w:val="16"/>
          <w:b w:val="1"/>
          <w:bCs w:val="1"/>
          <w:color w:val="auto"/>
        </w:rPr>
      </w:pPr>
      <w:r>
        <w:rPr>
          <w:rFonts w:ascii="Arial" w:cs="Arial" w:eastAsia="Arial" w:hAnsi="Arial"/>
          <w:sz w:val="16"/>
          <w:szCs w:val="16"/>
          <w:b w:val="1"/>
          <w:bCs w:val="1"/>
          <w:color w:val="auto"/>
        </w:rPr>
        <w:t>contributions, experience, and</w:t>
      </w:r>
    </w:p>
    <w:p>
      <w:pPr>
        <w:spacing w:after="0" w:line="191" w:lineRule="auto"/>
        <w:framePr w:w="480" w:h="147" w:wrap="auto" w:vAnchor="page" w:hAnchor="page" w:x="6720" w:y="3571"/>
        <w:rPr>
          <w:rFonts w:ascii="Arial" w:cs="Arial" w:eastAsia="Arial" w:hAnsi="Arial"/>
          <w:sz w:val="16"/>
          <w:szCs w:val="16"/>
          <w:b w:val="1"/>
          <w:bCs w:val="1"/>
          <w:color w:val="auto"/>
        </w:rPr>
      </w:pPr>
      <w:r>
        <w:rPr>
          <w:rFonts w:ascii="Arial" w:cs="Arial" w:eastAsia="Arial" w:hAnsi="Arial"/>
          <w:sz w:val="16"/>
          <w:szCs w:val="16"/>
          <w:b w:val="1"/>
          <w:bCs w:val="1"/>
          <w:color w:val="auto"/>
        </w:rPr>
        <w:t>talent</w:t>
      </w:r>
    </w:p>
    <w:p>
      <w:pPr>
        <w:spacing w:after="0" w:line="191" w:lineRule="auto"/>
        <w:framePr w:w="980" w:h="147" w:wrap="auto" w:vAnchor="page" w:hAnchor="page" w:x="9180" w:y="3571"/>
        <w:rPr>
          <w:rFonts w:ascii="Arial" w:cs="Arial" w:eastAsia="Arial" w:hAnsi="Arial"/>
          <w:sz w:val="16"/>
          <w:szCs w:val="16"/>
          <w:b w:val="1"/>
          <w:bCs w:val="1"/>
          <w:color w:val="auto"/>
        </w:rPr>
      </w:pPr>
      <w:r>
        <w:rPr>
          <w:rFonts w:ascii="Arial" w:cs="Arial" w:eastAsia="Arial" w:hAnsi="Arial"/>
          <w:sz w:val="16"/>
          <w:szCs w:val="16"/>
          <w:b w:val="1"/>
          <w:bCs w:val="1"/>
          <w:color w:val="auto"/>
        </w:rPr>
        <w:t>performance</w:t>
      </w:r>
    </w:p>
    <w:p>
      <w:pPr>
        <w:spacing w:after="0" w:line="201" w:lineRule="auto"/>
        <w:framePr w:w="2440" w:h="309" w:wrap="auto" w:vAnchor="page" w:hAnchor="page" w:x="6520" w:y="3854"/>
        <w:rPr>
          <w:rFonts w:ascii="Arial" w:cs="Arial" w:eastAsia="Arial" w:hAnsi="Arial"/>
          <w:sz w:val="16"/>
          <w:szCs w:val="16"/>
          <w:b w:val="1"/>
          <w:bCs w:val="1"/>
          <w:color w:val="auto"/>
        </w:rPr>
      </w:pPr>
      <w:r>
        <w:rPr>
          <w:rFonts w:ascii="Arial" w:cs="Arial" w:eastAsia="Arial" w:hAnsi="Arial"/>
          <w:sz w:val="16"/>
          <w:szCs w:val="16"/>
          <w:b w:val="1"/>
          <w:bCs w:val="1"/>
          <w:color w:val="auto"/>
        </w:rPr>
        <w:t>– Maintains stable management team</w:t>
      </w:r>
    </w:p>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87"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22"/>
          <w:szCs w:val="22"/>
          <w:b w:val="1"/>
          <w:bCs w:val="1"/>
          <w:color w:val="0090DA"/>
        </w:rPr>
        <w:t>Components of our Executive Compensation Program</w:t>
      </w:r>
    </w:p>
    <w:p>
      <w:pPr>
        <w:spacing w:after="0" w:line="243" w:lineRule="exact"/>
        <w:rPr>
          <w:rFonts w:ascii="Arial" w:cs="Arial" w:eastAsia="Arial" w:hAnsi="Arial"/>
          <w:sz w:val="16"/>
          <w:szCs w:val="16"/>
          <w:b w:val="1"/>
          <w:bCs w:val="1"/>
          <w:color w:val="auto"/>
        </w:rPr>
      </w:pPr>
    </w:p>
    <w:p>
      <w:pPr>
        <w:ind w:right="580"/>
        <w:spacing w:after="0" w:line="277" w:lineRule="auto"/>
        <w:rPr>
          <w:sz w:val="20"/>
          <w:szCs w:val="20"/>
          <w:color w:val="auto"/>
        </w:rPr>
      </w:pPr>
      <w:r>
        <w:rPr>
          <w:rFonts w:ascii="Arial" w:cs="Arial" w:eastAsia="Arial" w:hAnsi="Arial"/>
          <w:sz w:val="18"/>
          <w:szCs w:val="18"/>
          <w:color w:val="auto"/>
        </w:rPr>
        <w:t>As illustrated in the table below, our executive compensation program is designed to focus on the longer-term and performance-based components of target total direct compensation.</w:t>
      </w:r>
    </w:p>
    <w:tbl>
      <w:tblPr>
        <w:tblLayout w:type="fixed"/>
        <w:tblInd w:w="0" w:type="dxa"/>
        <w:tblCellMar>
          <w:top w:w="0" w:type="dxa"/>
          <w:left w:w="0" w:type="dxa"/>
          <w:bottom w:w="0" w:type="dxa"/>
          <w:right w:w="0" w:type="dxa"/>
        </w:tblCellMar>
      </w:tblPr>
      <w:tr>
        <w:trPr>
          <w:trHeight w:val="270"/>
        </w:trPr>
        <w:tc>
          <w:tcPr>
            <w:tcW w:w="3900" w:type="dxa"/>
            <w:vAlign w:val="bottom"/>
            <w:tcBorders>
              <w:bottom w:val="single" w:sz="8" w:color="929292"/>
              <w:right w:val="single" w:sz="8" w:color="818386"/>
            </w:tcBorders>
          </w:tcPr>
          <w:p>
            <w:pPr>
              <w:ind w:left="520"/>
              <w:spacing w:after="0"/>
              <w:rPr>
                <w:sz w:val="20"/>
                <w:szCs w:val="20"/>
                <w:color w:val="auto"/>
              </w:rPr>
            </w:pPr>
            <w:r>
              <w:rPr>
                <w:rFonts w:ascii="Arial" w:cs="Arial" w:eastAsia="Arial" w:hAnsi="Arial"/>
                <w:sz w:val="22"/>
                <w:szCs w:val="22"/>
                <w:b w:val="1"/>
                <w:bCs w:val="1"/>
                <w:color w:val="auto"/>
              </w:rPr>
              <w:t>Compensation Component*</w:t>
            </w:r>
          </w:p>
        </w:tc>
        <w:tc>
          <w:tcPr>
            <w:tcW w:w="140" w:type="dxa"/>
            <w:vAlign w:val="bottom"/>
            <w:tcBorders>
              <w:bottom w:val="single" w:sz="8" w:color="929292"/>
            </w:tcBorders>
          </w:tcPr>
          <w:p>
            <w:pPr>
              <w:spacing w:after="0"/>
              <w:rPr>
                <w:sz w:val="23"/>
                <w:szCs w:val="23"/>
                <w:color w:val="auto"/>
              </w:rPr>
            </w:pPr>
          </w:p>
        </w:tc>
        <w:tc>
          <w:tcPr>
            <w:tcW w:w="2200" w:type="dxa"/>
            <w:vAlign w:val="bottom"/>
            <w:tcBorders>
              <w:bottom w:val="single" w:sz="8" w:color="929292"/>
              <w:right w:val="single" w:sz="8" w:color="818386"/>
            </w:tcBorders>
          </w:tcPr>
          <w:p>
            <w:pPr>
              <w:ind w:left="240"/>
              <w:spacing w:after="0"/>
              <w:rPr>
                <w:sz w:val="20"/>
                <w:szCs w:val="20"/>
                <w:color w:val="auto"/>
              </w:rPr>
            </w:pPr>
            <w:r>
              <w:rPr>
                <w:rFonts w:ascii="Arial" w:cs="Arial" w:eastAsia="Arial" w:hAnsi="Arial"/>
                <w:sz w:val="22"/>
                <w:szCs w:val="22"/>
                <w:b w:val="1"/>
                <w:bCs w:val="1"/>
                <w:color w:val="auto"/>
              </w:rPr>
              <w:t>Characteristics</w:t>
            </w:r>
          </w:p>
        </w:tc>
        <w:tc>
          <w:tcPr>
            <w:tcW w:w="2460" w:type="dxa"/>
            <w:vAlign w:val="bottom"/>
            <w:tcBorders>
              <w:bottom w:val="single" w:sz="8" w:color="929292"/>
              <w:right w:val="single" w:sz="8" w:color="818386"/>
            </w:tcBorders>
          </w:tcPr>
          <w:p>
            <w:pPr>
              <w:ind w:left="780"/>
              <w:spacing w:after="0"/>
              <w:rPr>
                <w:sz w:val="20"/>
                <w:szCs w:val="20"/>
                <w:color w:val="auto"/>
              </w:rPr>
            </w:pPr>
            <w:r>
              <w:rPr>
                <w:rFonts w:ascii="Arial" w:cs="Arial" w:eastAsia="Arial" w:hAnsi="Arial"/>
                <w:sz w:val="22"/>
                <w:szCs w:val="22"/>
                <w:b w:val="1"/>
                <w:bCs w:val="1"/>
                <w:color w:val="auto"/>
              </w:rPr>
              <w:t>Purpose</w:t>
            </w:r>
          </w:p>
        </w:tc>
        <w:tc>
          <w:tcPr>
            <w:tcW w:w="2540" w:type="dxa"/>
            <w:vAlign w:val="bottom"/>
            <w:tcBorders>
              <w:bottom w:val="single" w:sz="8" w:color="929292"/>
            </w:tcBorders>
          </w:tcPr>
          <w:p>
            <w:pPr>
              <w:ind w:left="220"/>
              <w:spacing w:after="0"/>
              <w:rPr>
                <w:sz w:val="20"/>
                <w:szCs w:val="20"/>
                <w:color w:val="auto"/>
              </w:rPr>
            </w:pPr>
            <w:r>
              <w:rPr>
                <w:rFonts w:ascii="Arial" w:cs="Arial" w:eastAsia="Arial" w:hAnsi="Arial"/>
                <w:sz w:val="22"/>
                <w:szCs w:val="22"/>
                <w:b w:val="1"/>
                <w:bCs w:val="1"/>
                <w:color w:val="auto"/>
              </w:rPr>
              <w:t>Determining Factors</w:t>
            </w:r>
          </w:p>
        </w:tc>
      </w:tr>
      <w:tr>
        <w:trPr>
          <w:trHeight w:val="222"/>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009D85"/>
              </w:rPr>
              <w:t>Base Salary</w:t>
            </w:r>
          </w:p>
        </w:tc>
        <w:tc>
          <w:tcPr>
            <w:tcW w:w="22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163"/>
        </w:trPr>
        <w:tc>
          <w:tcPr>
            <w:tcW w:w="3900" w:type="dxa"/>
            <w:vAlign w:val="bottom"/>
          </w:tcPr>
          <w:p>
            <w:pPr>
              <w:spacing w:after="0"/>
              <w:rPr>
                <w:sz w:val="14"/>
                <w:szCs w:val="14"/>
                <w:color w:val="auto"/>
              </w:rPr>
            </w:pPr>
          </w:p>
        </w:tc>
        <w:tc>
          <w:tcPr>
            <w:tcW w:w="14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200" w:type="dxa"/>
            <w:vAlign w:val="bottom"/>
          </w:tcPr>
          <w:p>
            <w:pPr>
              <w:ind w:left="60"/>
              <w:spacing w:after="0" w:line="163" w:lineRule="exact"/>
              <w:rPr>
                <w:sz w:val="20"/>
                <w:szCs w:val="20"/>
                <w:color w:val="auto"/>
              </w:rPr>
            </w:pPr>
            <w:r>
              <w:rPr>
                <w:rFonts w:ascii="Arial" w:cs="Arial" w:eastAsia="Arial" w:hAnsi="Arial"/>
                <w:sz w:val="16"/>
                <w:szCs w:val="16"/>
                <w:color w:val="auto"/>
              </w:rPr>
              <w:t>Fixed Compensation</w:t>
            </w:r>
          </w:p>
        </w:tc>
        <w:tc>
          <w:tcPr>
            <w:tcW w:w="2460" w:type="dxa"/>
            <w:vAlign w:val="bottom"/>
          </w:tcPr>
          <w:p>
            <w:pPr>
              <w:spacing w:after="0" w:line="163" w:lineRule="exact"/>
              <w:rPr>
                <w:sz w:val="20"/>
                <w:szCs w:val="20"/>
                <w:color w:val="auto"/>
              </w:rPr>
            </w:pPr>
            <w:r>
              <w:rPr>
                <w:rFonts w:ascii="Arial" w:cs="Arial" w:eastAsia="Arial" w:hAnsi="Arial"/>
                <w:sz w:val="16"/>
                <w:szCs w:val="16"/>
                <w:color w:val="auto"/>
              </w:rPr>
              <w:t>–  Compensates executives for</w:t>
            </w:r>
          </w:p>
        </w:tc>
        <w:tc>
          <w:tcPr>
            <w:tcW w:w="2540" w:type="dxa"/>
            <w:vAlign w:val="bottom"/>
          </w:tcPr>
          <w:p>
            <w:pPr>
              <w:spacing w:after="0" w:line="163" w:lineRule="exact"/>
              <w:rPr>
                <w:sz w:val="20"/>
                <w:szCs w:val="20"/>
                <w:color w:val="auto"/>
              </w:rPr>
            </w:pPr>
            <w:r>
              <w:rPr>
                <w:rFonts w:ascii="Arial" w:cs="Arial" w:eastAsia="Arial" w:hAnsi="Arial"/>
                <w:sz w:val="16"/>
                <w:szCs w:val="16"/>
                <w:color w:val="auto"/>
              </w:rPr>
              <w:t>–  Market Data median sets</w:t>
            </w:r>
          </w:p>
        </w:tc>
      </w:tr>
      <w:tr>
        <w:trPr>
          <w:trHeight w:val="189"/>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performing day-to-day job</w:t>
            </w:r>
          </w:p>
        </w:tc>
        <w:tc>
          <w:tcPr>
            <w:tcW w:w="2540" w:type="dxa"/>
            <w:vAlign w:val="bottom"/>
          </w:tcPr>
          <w:p>
            <w:pPr>
              <w:ind w:left="200"/>
              <w:spacing w:after="0"/>
              <w:rPr>
                <w:sz w:val="20"/>
                <w:szCs w:val="20"/>
                <w:color w:val="auto"/>
              </w:rPr>
            </w:pPr>
            <w:r>
              <w:rPr>
                <w:rFonts w:ascii="Arial" w:cs="Arial" w:eastAsia="Arial" w:hAnsi="Arial"/>
                <w:sz w:val="16"/>
                <w:szCs w:val="16"/>
                <w:color w:val="auto"/>
              </w:rPr>
              <w:t>baseline</w:t>
            </w:r>
          </w:p>
        </w:tc>
      </w:tr>
      <w:tr>
        <w:trPr>
          <w:trHeight w:val="215"/>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responsibilities</w:t>
            </w:r>
          </w:p>
        </w:tc>
        <w:tc>
          <w:tcPr>
            <w:tcW w:w="2540" w:type="dxa"/>
            <w:vAlign w:val="bottom"/>
          </w:tcPr>
          <w:p>
            <w:pPr>
              <w:spacing w:after="0"/>
              <w:rPr>
                <w:sz w:val="18"/>
                <w:szCs w:val="18"/>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097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7" w:lineRule="exact"/>
        <w:rPr>
          <w:rFonts w:ascii="Arial" w:cs="Arial" w:eastAsia="Arial" w:hAnsi="Arial"/>
          <w:sz w:val="16"/>
          <w:szCs w:val="16"/>
          <w:b w:val="1"/>
          <w:bCs w:val="1"/>
          <w:color w:val="auto"/>
        </w:rPr>
      </w:pPr>
    </w:p>
    <w:p>
      <w:pPr>
        <w:ind w:left="20"/>
        <w:spacing w:after="0"/>
        <w:rPr>
          <w:sz w:val="20"/>
          <w:szCs w:val="20"/>
          <w:color w:val="auto"/>
        </w:rPr>
      </w:pPr>
      <w:r>
        <w:rPr>
          <w:rFonts w:ascii="Arial" w:cs="Arial" w:eastAsia="Arial" w:hAnsi="Arial"/>
          <w:sz w:val="18"/>
          <w:szCs w:val="18"/>
          <w:b w:val="1"/>
          <w:bCs w:val="1"/>
          <w:color w:val="5F259F"/>
        </w:rPr>
        <w:t>Short Term Incentive Pay</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386080</wp:posOffset>
            </wp:positionV>
            <wp:extent cx="2065655" cy="1028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r>
    </w:p>
    <w:p>
      <w:pPr>
        <w:spacing w:after="0" w:line="184"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74" w:lineRule="exact"/>
        <w:rPr>
          <w:rFonts w:ascii="Arial" w:cs="Arial" w:eastAsia="Arial" w:hAnsi="Arial"/>
          <w:sz w:val="16"/>
          <w:szCs w:val="16"/>
          <w:b w:val="1"/>
          <w:bCs w:val="1"/>
          <w:color w:val="auto"/>
        </w:rPr>
      </w:pPr>
    </w:p>
    <w:p>
      <w:pPr>
        <w:ind w:left="20"/>
        <w:spacing w:after="0"/>
        <w:rPr>
          <w:sz w:val="20"/>
          <w:szCs w:val="20"/>
          <w:color w:val="auto"/>
        </w:rPr>
      </w:pPr>
      <w:r>
        <w:rPr>
          <w:rFonts w:ascii="Arial" w:cs="Arial" w:eastAsia="Arial" w:hAnsi="Arial"/>
          <w:sz w:val="18"/>
          <w:szCs w:val="18"/>
          <w:b w:val="1"/>
          <w:bCs w:val="1"/>
          <w:color w:val="auto"/>
        </w:rPr>
        <w:t>Long Term Incentive Pay</w:t>
      </w:r>
    </w:p>
    <w:p>
      <w:pPr>
        <w:spacing w:after="0" w:line="40"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8"/>
          <w:szCs w:val="18"/>
          <w:b w:val="1"/>
          <w:bCs w:val="1"/>
          <w:i w:val="1"/>
          <w:iCs w:val="1"/>
          <w:color w:val="71C5E8"/>
        </w:rPr>
        <w:t>Performance RSUs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1790065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349885</wp:posOffset>
            </wp:positionV>
            <wp:extent cx="2065655" cy="102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r>
    </w:p>
    <w:p>
      <w:pPr>
        <w:spacing w:after="0" w:line="167"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22"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8"/>
          <w:szCs w:val="18"/>
          <w:b w:val="1"/>
          <w:bCs w:val="1"/>
          <w:i w:val="1"/>
          <w:iCs w:val="1"/>
          <w:color w:val="FF8F1C"/>
        </w:rPr>
        <w:t>Time-Based RSAs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097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1893570</wp:posOffset>
            </wp:positionV>
            <wp:extent cx="64325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Consideration of the Fiscal 2021 Advisory Vote on Compensation of Named Executive Officers</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Fiscal 2021 Annual Meeting of Shareholders on January 13, 2022, in our annual shareholder advisory vote on compensation of Named Executive Officers, 86% of the votes cast were voted in support of the compensation of our Named Executive Officers. The Compensation Committee appreciates and values the views of our shareholders. In considering the results of the fiscal 2021 advisory vote on compensation of Named Executive Officers, the Compensation Committee concluded that the compensation paid to our Named Executive Officers and our overall executive pay practices have shareholder support and have been effective in implementing our stated compensation philosophy and objectives. The Compensation Committee recognizes that executive pay practices and governance principles continue to evolve. Consequently, we discussed executive compensation and other matters with shareholders throughout fiscal 2022 and intend to continue our outreach to shareholders on executive compensation and other matters. The Compensation Committee also intends to continue to seek the advice and counsel of its compensation advisors. Our shareholders may communicate any concerns or opinions on executive pay directly to the Compensation Committee or the Board. Please refer to “Executive Sessions and Communications with the Board of Directors” on page 21 for information about communicating with the Board.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Oversight of the Executive Compensation Program</w:t>
      </w:r>
    </w:p>
    <w:p>
      <w:pPr>
        <w:spacing w:after="0" w:line="2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determine executive compensation in the context of our pay-for-performance philosophy. The Compensation Committee believes a substantial portion of our executive compensation should be incentive-based and focused on long-term performance to help ensure that the interests of our executive officers are aligned with those of our shareholders. Our primary long-term objective is to drive sustainable value creation for our shareholders by attracting, retaining, developing, and motivating a diverse group of top executive talent through a comprehensive and market-competitive executive compensation program. The Compensation Committee reviews and approves the goals and objectives used to determine executive compensation, evaluates performance in light of such goals and objectives, and determines and approves compensation levels based on that evaluation.</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The Compensation Committee annually engages an external compensation consultant and meets with the compensation consultant at least quarterly. The Compensation Committee also works closely with our CEO with respect to the determination of compensation of other officers. A more complete description of the Compensation Committee’s responsibilities is provided in the Compensation Committee’s Charter approved by the Board, which can be found on our website, </w:t>
      </w:r>
      <w:r>
        <w:rPr>
          <w:rFonts w:ascii="Arial" w:cs="Arial" w:eastAsia="Arial" w:hAnsi="Arial"/>
          <w:sz w:val="17"/>
          <w:szCs w:val="17"/>
          <w:i w:val="1"/>
          <w:iCs w:val="1"/>
          <w:color w:val="auto"/>
        </w:rPr>
        <w:t>www.micron.com</w:t>
      </w:r>
      <w:r>
        <w:rPr>
          <w:rFonts w:ascii="Arial" w:cs="Arial" w:eastAsia="Arial" w:hAnsi="Arial"/>
          <w:sz w:val="17"/>
          <w:szCs w:val="17"/>
          <w:color w:val="auto"/>
        </w:rPr>
        <w:t>. A more complete description of the role of the Compensation Committee’s compensation consultant and our CEO in the compensation process is described later in this Compensation Discussion and Analysis. Additional information regarding the Compensation Committee’s compensation consultant, the specific activities it undertakes for us, and its fees can be found under “Compensation-Setting Process and the Determination of Compensation Levels” on page 33.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83"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64870B"/>
        </w:rPr>
        <w:t>WHAT WE DO</w:t>
      </w:r>
    </w:p>
    <w:p>
      <w:pPr>
        <w:spacing w:after="0" w:line="81" w:lineRule="exact"/>
        <w:rPr>
          <w:sz w:val="20"/>
          <w:szCs w:val="20"/>
          <w:color w:val="auto"/>
        </w:rPr>
      </w:pPr>
    </w:p>
    <w:p>
      <w:pPr>
        <w:ind w:left="20" w:right="140" w:firstLine="6"/>
        <w:spacing w:after="0" w:line="233" w:lineRule="auto"/>
        <w:tabs>
          <w:tab w:leader="none" w:pos="218"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Pay for performance by requiring that a substantial portion of our executive officers’ target total direct compensation be earned based on performance goals</w:t>
      </w:r>
    </w:p>
    <w:p>
      <w:pPr>
        <w:spacing w:after="0" w:line="45" w:lineRule="exact"/>
        <w:rPr>
          <w:rFonts w:ascii="MS PGothic" w:cs="MS PGothic" w:eastAsia="MS PGothic" w:hAnsi="MS PGothic"/>
          <w:sz w:val="18"/>
          <w:szCs w:val="18"/>
          <w:color w:val="64870B"/>
        </w:rPr>
      </w:pPr>
    </w:p>
    <w:p>
      <w:pPr>
        <w:ind w:left="20" w:right="320" w:firstLine="6"/>
        <w:spacing w:after="0"/>
        <w:tabs>
          <w:tab w:leader="none" w:pos="218"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Link our compensation program to our long-term corporate growth strategy and key drivers of sustainable shareholder value creation</w:t>
      </w:r>
    </w:p>
    <w:p>
      <w:pPr>
        <w:spacing w:after="0" w:line="31" w:lineRule="exact"/>
        <w:rPr>
          <w:rFonts w:ascii="MS PGothic" w:cs="MS PGothic" w:eastAsia="MS PGothic" w:hAnsi="MS PGothic"/>
          <w:sz w:val="18"/>
          <w:szCs w:val="18"/>
          <w:color w:val="64870B"/>
        </w:rPr>
      </w:pPr>
    </w:p>
    <w:p>
      <w:pPr>
        <w:ind w:left="20" w:firstLine="6"/>
        <w:spacing w:after="0" w:line="225" w:lineRule="auto"/>
        <w:tabs>
          <w:tab w:leader="none" w:pos="218"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Use a mix of objective performance measures, cash- and equity-based components, and short- and long-term incentive opportunities that hold our executive officers accountable for executing on our long-term strategy</w:t>
      </w:r>
    </w:p>
    <w:p>
      <w:pPr>
        <w:spacing w:after="0" w:line="33" w:lineRule="exact"/>
        <w:rPr>
          <w:rFonts w:ascii="MS PGothic" w:cs="MS PGothic" w:eastAsia="MS PGothic" w:hAnsi="MS PGothic"/>
          <w:sz w:val="18"/>
          <w:szCs w:val="18"/>
          <w:color w:val="64870B"/>
        </w:rPr>
      </w:pPr>
    </w:p>
    <w:p>
      <w:pPr>
        <w:jc w:val="both"/>
        <w:ind w:left="20" w:right="280" w:firstLine="6"/>
        <w:spacing w:after="0" w:line="255" w:lineRule="auto"/>
        <w:tabs>
          <w:tab w:leader="none" w:pos="218" w:val="left"/>
        </w:tabs>
        <w:numPr>
          <w:ilvl w:val="0"/>
          <w:numId w:val="38"/>
        </w:numPr>
        <w:rPr>
          <w:rFonts w:ascii="MS PGothic" w:cs="MS PGothic" w:eastAsia="MS PGothic" w:hAnsi="MS PGothic"/>
          <w:sz w:val="18"/>
          <w:szCs w:val="18"/>
          <w:color w:val="548435"/>
        </w:rPr>
      </w:pPr>
      <w:r>
        <w:rPr>
          <w:rFonts w:ascii="Arial" w:cs="Arial" w:eastAsia="Arial" w:hAnsi="Arial"/>
          <w:sz w:val="18"/>
          <w:szCs w:val="18"/>
          <w:color w:val="auto"/>
        </w:rPr>
        <w:t>Engage an independent compensation consultant to evaluate and advise the Compensation Committee on our executive compensation program design and pay decisions for our executive officers</w:t>
      </w:r>
    </w:p>
    <w:p>
      <w:pPr>
        <w:spacing w:after="0" w:line="28" w:lineRule="exact"/>
        <w:rPr>
          <w:rFonts w:ascii="MS PGothic" w:cs="MS PGothic" w:eastAsia="MS PGothic" w:hAnsi="MS PGothic"/>
          <w:sz w:val="18"/>
          <w:szCs w:val="18"/>
          <w:color w:val="548435"/>
        </w:rPr>
      </w:pPr>
    </w:p>
    <w:p>
      <w:pPr>
        <w:ind w:left="220" w:hanging="194"/>
        <w:spacing w:after="0"/>
        <w:tabs>
          <w:tab w:leader="none" w:pos="220"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Cap maximum payout levels under our incentive plans</w:t>
      </w:r>
    </w:p>
    <w:p>
      <w:pPr>
        <w:spacing w:after="0" w:line="76" w:lineRule="exact"/>
        <w:rPr>
          <w:rFonts w:ascii="MS PGothic" w:cs="MS PGothic" w:eastAsia="MS PGothic" w:hAnsi="MS PGothic"/>
          <w:sz w:val="18"/>
          <w:szCs w:val="18"/>
          <w:color w:val="64870B"/>
        </w:rPr>
      </w:pPr>
    </w:p>
    <w:p>
      <w:pPr>
        <w:ind w:left="20" w:right="120" w:firstLine="6"/>
        <w:spacing w:after="0" w:line="250" w:lineRule="auto"/>
        <w:tabs>
          <w:tab w:leader="none" w:pos="218"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Maintain a compensation recoupment (“clawback”) policy that provides for recoupment of incentive compensation paid to current and former executive officers in the event of an accounting restatement due to material noncompliance</w:t>
      </w:r>
    </w:p>
    <w:p>
      <w:pPr>
        <w:spacing w:after="0" w:line="28" w:lineRule="exact"/>
        <w:rPr>
          <w:rFonts w:ascii="MS PGothic" w:cs="MS PGothic" w:eastAsia="MS PGothic" w:hAnsi="MS PGothic"/>
          <w:sz w:val="18"/>
          <w:szCs w:val="18"/>
          <w:color w:val="64870B"/>
        </w:rPr>
      </w:pPr>
    </w:p>
    <w:p>
      <w:pPr>
        <w:ind w:left="220" w:hanging="194"/>
        <w:spacing w:after="0"/>
        <w:tabs>
          <w:tab w:leader="none" w:pos="220" w:val="left"/>
        </w:tabs>
        <w:numPr>
          <w:ilvl w:val="0"/>
          <w:numId w:val="38"/>
        </w:numPr>
        <w:rPr>
          <w:rFonts w:ascii="MS PGothic" w:cs="MS PGothic" w:eastAsia="MS PGothic" w:hAnsi="MS PGothic"/>
          <w:sz w:val="18"/>
          <w:szCs w:val="18"/>
          <w:color w:val="64870B"/>
        </w:rPr>
      </w:pPr>
      <w:r>
        <w:rPr>
          <w:rFonts w:ascii="Arial" w:cs="Arial" w:eastAsia="Arial" w:hAnsi="Arial"/>
          <w:sz w:val="18"/>
          <w:szCs w:val="18"/>
          <w:color w:val="auto"/>
        </w:rPr>
        <w:t>Maintain executive stock ownership guidelines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459"/>
        <w:spacing w:after="0"/>
        <w:rPr>
          <w:sz w:val="20"/>
          <w:szCs w:val="20"/>
          <w:color w:val="auto"/>
        </w:rPr>
      </w:pPr>
      <w:r>
        <w:rPr>
          <w:rFonts w:ascii="Arial" w:cs="Arial" w:eastAsia="Arial" w:hAnsi="Arial"/>
          <w:sz w:val="22"/>
          <w:szCs w:val="22"/>
          <w:b w:val="1"/>
          <w:bCs w:val="1"/>
          <w:color w:val="C00D1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-150495</wp:posOffset>
            </wp:positionV>
            <wp:extent cx="8890" cy="2760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2760345"/>
                    </a:xfrm>
                    <a:prstGeom prst="rect">
                      <a:avLst/>
                    </a:prstGeom>
                    <a:noFill/>
                  </pic:spPr>
                </pic:pic>
              </a:graphicData>
            </a:graphic>
          </wp:anchor>
        </w:drawing>
      </w:r>
    </w:p>
    <w:p>
      <w:pPr>
        <w:spacing w:after="0" w:line="25" w:lineRule="exact"/>
        <w:rPr>
          <w:sz w:val="20"/>
          <w:szCs w:val="20"/>
          <w:color w:val="auto"/>
        </w:rPr>
      </w:pPr>
    </w:p>
    <w:p>
      <w:pPr>
        <w:ind w:left="-1" w:right="180" w:firstLine="1"/>
        <w:spacing w:after="0" w:line="266" w:lineRule="auto"/>
        <w:tabs>
          <w:tab w:leader="none" w:pos="163"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special retirement benefits other than participation in our retirement plans on the same basis as other employees</w:t>
      </w:r>
    </w:p>
    <w:p>
      <w:pPr>
        <w:spacing w:after="0" w:line="198" w:lineRule="exact"/>
        <w:rPr>
          <w:rFonts w:ascii="Wingdings" w:cs="Wingdings" w:eastAsia="Wingdings" w:hAnsi="Wingdings"/>
          <w:sz w:val="18"/>
          <w:szCs w:val="18"/>
          <w:b w:val="1"/>
          <w:bCs w:val="1"/>
          <w:color w:val="C00D1E"/>
        </w:rPr>
      </w:pPr>
    </w:p>
    <w:p>
      <w:pPr>
        <w:ind w:left="159" w:hanging="159"/>
        <w:spacing w:after="0"/>
        <w:tabs>
          <w:tab w:leader="none" w:pos="159"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tax gross-ups for Change in Control pay</w:t>
      </w:r>
    </w:p>
    <w:p>
      <w:pPr>
        <w:spacing w:after="0" w:line="238" w:lineRule="exact"/>
        <w:rPr>
          <w:rFonts w:ascii="Wingdings" w:cs="Wingdings" w:eastAsia="Wingdings" w:hAnsi="Wingdings"/>
          <w:sz w:val="18"/>
          <w:szCs w:val="18"/>
          <w:b w:val="1"/>
          <w:bCs w:val="1"/>
          <w:color w:val="C00D1E"/>
        </w:rPr>
      </w:pPr>
    </w:p>
    <w:p>
      <w:pPr>
        <w:ind w:left="-1" w:right="320" w:firstLine="1"/>
        <w:spacing w:after="0" w:line="271" w:lineRule="auto"/>
        <w:tabs>
          <w:tab w:leader="none" w:pos="163"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repricing of options or stock appreciation rights without prior shareholder approval</w:t>
      </w:r>
    </w:p>
    <w:p>
      <w:pPr>
        <w:spacing w:after="0" w:line="194" w:lineRule="exact"/>
        <w:rPr>
          <w:rFonts w:ascii="Wingdings" w:cs="Wingdings" w:eastAsia="Wingdings" w:hAnsi="Wingdings"/>
          <w:sz w:val="18"/>
          <w:szCs w:val="18"/>
          <w:b w:val="1"/>
          <w:bCs w:val="1"/>
          <w:color w:val="C00D1E"/>
        </w:rPr>
      </w:pPr>
    </w:p>
    <w:p>
      <w:pPr>
        <w:ind w:left="-1" w:right="140" w:firstLine="1"/>
        <w:spacing w:after="0" w:line="271" w:lineRule="auto"/>
        <w:tabs>
          <w:tab w:leader="none" w:pos="163"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“single-trigger” vesting for equity awards upon Change in Control</w:t>
      </w:r>
    </w:p>
    <w:p>
      <w:pPr>
        <w:spacing w:after="0" w:line="180" w:lineRule="exact"/>
        <w:rPr>
          <w:rFonts w:ascii="Wingdings" w:cs="Wingdings" w:eastAsia="Wingdings" w:hAnsi="Wingdings"/>
          <w:sz w:val="18"/>
          <w:szCs w:val="18"/>
          <w:b w:val="1"/>
          <w:bCs w:val="1"/>
          <w:color w:val="C00D1E"/>
        </w:rPr>
      </w:pPr>
    </w:p>
    <w:p>
      <w:pPr>
        <w:ind w:left="159" w:hanging="159"/>
        <w:spacing w:after="0"/>
        <w:tabs>
          <w:tab w:leader="none" w:pos="159"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pledging or hedging activities involving our stock</w:t>
      </w:r>
    </w:p>
    <w:p>
      <w:pPr>
        <w:spacing w:after="0" w:line="252" w:lineRule="exact"/>
        <w:rPr>
          <w:rFonts w:ascii="Wingdings" w:cs="Wingdings" w:eastAsia="Wingdings" w:hAnsi="Wingdings"/>
          <w:sz w:val="18"/>
          <w:szCs w:val="18"/>
          <w:b w:val="1"/>
          <w:bCs w:val="1"/>
          <w:color w:val="C00D1E"/>
        </w:rPr>
      </w:pPr>
    </w:p>
    <w:p>
      <w:pPr>
        <w:ind w:left="159" w:hanging="159"/>
        <w:spacing w:after="0"/>
        <w:tabs>
          <w:tab w:leader="none" w:pos="159" w:val="left"/>
        </w:tabs>
        <w:numPr>
          <w:ilvl w:val="0"/>
          <w:numId w:val="39"/>
        </w:numPr>
        <w:rPr>
          <w:rFonts w:ascii="Wingdings" w:cs="Wingdings" w:eastAsia="Wingdings" w:hAnsi="Wingdings"/>
          <w:sz w:val="18"/>
          <w:szCs w:val="18"/>
          <w:b w:val="1"/>
          <w:bCs w:val="1"/>
          <w:color w:val="C00D1E"/>
        </w:rPr>
      </w:pPr>
      <w:r>
        <w:rPr>
          <w:rFonts w:ascii="Arial" w:cs="Arial" w:eastAsia="Arial" w:hAnsi="Arial"/>
          <w:sz w:val="18"/>
          <w:szCs w:val="18"/>
          <w:color w:val="auto"/>
        </w:rPr>
        <w:t>No excessive perquisites</w:t>
      </w:r>
    </w:p>
    <w:p>
      <w:pPr>
        <w:spacing w:after="0" w:line="1131" w:lineRule="exact"/>
        <w:rPr>
          <w:sz w:val="20"/>
          <w:szCs w:val="20"/>
          <w:color w:val="auto"/>
        </w:rPr>
      </w:pPr>
    </w:p>
    <w:p>
      <w:pPr>
        <w:sectPr>
          <w:pgSz w:w="11900" w:h="16838" w:orient="portrait"/>
          <w:cols w:equalWidth="0" w:num="2">
            <w:col w:w="5800" w:space="341"/>
            <w:col w:w="5099"/>
          </w:cols>
          <w:pgMar w:left="320" w:top="125"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Pay-for-Performance Philosophy</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large portion of each executive officer’s target total direct compensation is “at risk” and linked to the accomplishment of specific financial and operational performance goals that we expect will lead to increased long-term value creation for our shareholders. The table below summarizes the key elements of the compensation that applied to our Named Executive Officers in fiscal 2022 relative to our pay-for-performance philosophy.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Highlights of Our Pay-for-Performance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220" w:right="360" w:hanging="194"/>
        <w:spacing w:after="0" w:line="266"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substantial majority of the compensation available for executives is performance-based and delivered in the form of equity awards in order to more closely align management and shareholder interests.</w:t>
      </w:r>
    </w:p>
    <w:p>
      <w:pPr>
        <w:ind w:left="220" w:right="100" w:hanging="19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Data forms the basis of our compensation targets, with differentiation based on individual factors such as nature of the individual’s role, proficiency in the role, sustained performance over time, and importance to our leadership succession plans.</w:t>
      </w:r>
    </w:p>
    <w:p>
      <w:pPr>
        <w:spacing w:after="0" w:line="4" w:lineRule="exact"/>
        <w:rPr>
          <w:rFonts w:ascii="Arial" w:cs="Arial" w:eastAsia="Arial" w:hAnsi="Arial"/>
          <w:sz w:val="18"/>
          <w:szCs w:val="18"/>
          <w:color w:val="auto"/>
        </w:rPr>
      </w:pPr>
    </w:p>
    <w:p>
      <w:pPr>
        <w:ind w:left="220" w:right="140" w:hanging="19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Incentive awards require achievement of critical financial and operational goals and are primarily measured against objective metrics that we believe result in the creation of sustainable value for our shareholders.</w:t>
      </w:r>
    </w:p>
    <w:p>
      <w:pPr>
        <w:spacing w:after="0" w:line="4" w:lineRule="exact"/>
        <w:rPr>
          <w:rFonts w:ascii="Arial" w:cs="Arial" w:eastAsia="Arial" w:hAnsi="Arial"/>
          <w:sz w:val="18"/>
          <w:szCs w:val="18"/>
          <w:color w:val="auto"/>
        </w:rPr>
      </w:pPr>
    </w:p>
    <w:p>
      <w:pPr>
        <w:ind w:left="220" w:hanging="19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realized compensation is designed to fluctuate and be commensurate with changes in shareholder value over time.</w:t>
      </w:r>
    </w:p>
    <w:p>
      <w:pPr>
        <w:spacing w:after="0" w:line="31" w:lineRule="exact"/>
        <w:rPr>
          <w:rFonts w:ascii="Arial" w:cs="Arial" w:eastAsia="Arial" w:hAnsi="Arial"/>
          <w:sz w:val="18"/>
          <w:szCs w:val="18"/>
          <w:color w:val="auto"/>
        </w:rPr>
      </w:pPr>
    </w:p>
    <w:p>
      <w:pPr>
        <w:ind w:left="220" w:right="160" w:hanging="194"/>
        <w:spacing w:after="0" w:line="234"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Performance-based equity awards, measured by internal and external metrics ultimately aimed at driving shareholder value, comprises a significant portion of our long-term incentive compensation opportunities.</w:t>
      </w:r>
    </w:p>
    <w:p>
      <w:pPr>
        <w:spacing w:after="0" w:line="5" w:lineRule="exact"/>
        <w:rPr>
          <w:rFonts w:ascii="Arial" w:cs="Arial" w:eastAsia="Arial" w:hAnsi="Arial"/>
          <w:sz w:val="18"/>
          <w:szCs w:val="18"/>
          <w:color w:val="auto"/>
        </w:rPr>
      </w:pPr>
    </w:p>
    <w:p>
      <w:pPr>
        <w:ind w:left="220" w:right="520" w:hanging="194"/>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reviews our pay-for-performance compensation arrangements annually, with input from our CEO and advice from the Compensation Committee’s independent compensation consultant.</w:t>
      </w:r>
    </w:p>
    <w:p>
      <w:pPr>
        <w:spacing w:after="0" w:line="4" w:lineRule="exact"/>
        <w:rPr>
          <w:rFonts w:ascii="Arial" w:cs="Arial" w:eastAsia="Arial" w:hAnsi="Arial"/>
          <w:sz w:val="18"/>
          <w:szCs w:val="18"/>
          <w:color w:val="auto"/>
        </w:rPr>
      </w:pPr>
    </w:p>
    <w:p>
      <w:pPr>
        <w:ind w:left="220" w:right="120" w:hanging="194"/>
        <w:spacing w:after="0" w:line="233"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Individual performance assessment is based on numerous factors, including among others: contribution to business results and company performance; completion of objectives; behavior consistent with the highest standard of integrity, ethics, and company values; and commitment to sustainability and DEI programs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31</w:t>
      </w:r>
    </w:p>
    <w:p>
      <w:pPr>
        <w:sectPr>
          <w:pgSz w:w="11900" w:h="16838" w:orient="portrait"/>
          <w:cols w:equalWidth="0" w:num="1">
            <w:col w:w="11240"/>
          </w:cols>
          <w:pgMar w:left="320" w:top="12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Targeting “Reasonable” and “Competitive” Pay</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believe that offering a compensation package that is “reasonable” and “competitive” with what our executives could otherwise obtain in the market, and especially from companies within our Compensation Peer Group, enables us to attract, motivate, reward, and retain qualified individuals and to meet our overall objective of increasing shareholder value. Our Compensation Peer Group consists of companies that we believe are especially likely to be our competitors for executive talent and is discussed further in </w:t>
      </w:r>
      <w:r>
        <w:rPr>
          <w:rFonts w:ascii="Arial" w:cs="Arial" w:eastAsia="Arial" w:hAnsi="Arial"/>
          <w:sz w:val="18"/>
          <w:szCs w:val="18"/>
          <w:i w:val="1"/>
          <w:iCs w:val="1"/>
          <w:color w:val="auto"/>
        </w:rPr>
        <w:t>“Market Data Defined”</w:t>
      </w:r>
      <w:r>
        <w:rPr>
          <w:rFonts w:ascii="Arial" w:cs="Arial" w:eastAsia="Arial" w:hAnsi="Arial"/>
          <w:sz w:val="18"/>
          <w:szCs w:val="18"/>
          <w:color w:val="auto"/>
        </w:rPr>
        <w:t xml:space="preserve"> below. The Compensation Committee determines what would be “reasonable” and “competitive” compensation based upon an analysis of the Market Data, the recommendations of its compensation consultant, and our historical experience.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w:t>
      </w:r>
    </w:p>
    <w:p>
      <w:pPr>
        <w:spacing w:after="0" w:line="25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Compensation Committee generally considers the Market Data median to be “reasonable,” but could also base individual executive compensation on additional factors, such as:</w:t>
      </w:r>
    </w:p>
    <w:p>
      <w:pPr>
        <w:spacing w:after="0" w:line="180" w:lineRule="exact"/>
        <w:rPr>
          <w:sz w:val="20"/>
          <w:szCs w:val="20"/>
          <w:color w:val="auto"/>
        </w:rPr>
      </w:pPr>
    </w:p>
    <w:p>
      <w:pPr>
        <w:ind w:left="660" w:right="52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52"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similarly situated officers within the Compensation Peer Group.</w:t>
      </w:r>
    </w:p>
    <w:p>
      <w:pPr>
        <w:spacing w:after="0" w:line="18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semiconductor industry is highly volatile. Market Data, which is a compilation of data from many companies provided by the compensation consultant as further described below, may change dramatically from year to year and can evolve as compensation practices change, executives retire or are replaced with less experienced and lower-paid executives, goals are achieved or not achieved resulting in varying payouts, participants in proprietary compensation surveys change, and the completeness or accuracy of compensation data improves or deteriorates. Accordingly, what may have been the median or within a “reasonable” range of competitiveness in one year, may be higher or lower for the next. For this reason and the factors noted above, even though the Compensation Committee generally uses the Market Data median as its starting point and guiding principle, officer compensation may vary, above or below the median, or a range from the median, year over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w:t>
      </w:r>
    </w:p>
    <w:p>
      <w:pPr>
        <w:spacing w:after="0" w:line="250"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The Compensation Committee believes, including based on advice from its compensation consultant, that a competitive compensation package will address and measure compensation practices for executive positions with respect to three primary elements of compensation:</w:t>
      </w:r>
    </w:p>
    <w:p>
      <w:pPr>
        <w:spacing w:after="0" w:line="1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long-term incentive compensation (time-based restricted stock and performance-based restricted stock units).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do not require that a particular element comprises a set portion of the target total direct compensation mix. We do believe, however, that a significant portion of the compensation should be variable (such as performance-based incentives and incentives tied to the performance of the Company and its Common Stock) as compared to fixed (such as base salary), and that such variable compensation aligns executives’ interests with those of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total direct compensation. The Compensation Committee’s philosophy is to use incentive pay opportunities rather than base salary as a way to ensure we are able to attract and retain top talent.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Compensation-Setting Process and the Determination of Compensation Levels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its compensation consultant. The Compensation Committee also works with our CEO to establish performance goals that further our strategic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Compensation Consultant</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Compensation Committee annually engages a compensation consultant to provide a comprehensive review of executive compensation matters and meets with the compensation consultant at least quarterly. This compensation consultant provided the Compensation Committee with information for our executive officers on cash and non-cash compensation elements and historical and trend payment data.</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Compensation Committee has established procedures intended to keep its compensation consultant’s advice objective and free of influence from our management. These procedures include: a direct reporting relationship to the Compensation Committee; a provision in the Compensation Committee’s engagement letter with the compensation consultant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2022, the specific activities undertaken by the compensation consultant for the Compensation Committee included:</w:t>
      </w:r>
    </w:p>
    <w:p>
      <w:pPr>
        <w:spacing w:after="0" w:line="209" w:lineRule="exact"/>
        <w:rPr>
          <w:sz w:val="20"/>
          <w:szCs w:val="20"/>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Compensation Peer Group (as defined in this Compensation Discussion and Analysis) and recommend any changes to its members;</w:t>
      </w:r>
    </w:p>
    <w:p>
      <w:pPr>
        <w:spacing w:after="0" w:line="179"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target total direct compensation and its components (base salary, target short-term incentives, and target long-term incentives) of our executive officers using several data sources;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compensation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proposed equity awards to be granted to our executive officers, along with vesting recommendations;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policies and practices;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section of our definitive proxy statement;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Compensia, Inc. (“Compensia") was the Compensation Committee’s compensation consultant in fiscal 2022. We paid Compensia a total of $145,019 in fiscal 2022 for services provided. Compensia provided services related exclusively to the executive and non-employee director compensation consulting work performed for the Compensation Committee and for the Governance and Sustainability Committee.</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Compensation Committee considered Compensia’s independence in light of SEC rules and Nasdaq Listing Rules. The Compensation Committee received a letter from Compensia addressing its independence, including</w:t>
      </w:r>
    </w:p>
    <w:p>
      <w:pPr>
        <w:spacing w:after="0" w:line="200" w:lineRule="exact"/>
        <w:rPr>
          <w:sz w:val="20"/>
          <w:szCs w:val="20"/>
          <w:color w:val="auto"/>
        </w:rPr>
      </w:pPr>
    </w:p>
    <w:p>
      <w:pPr>
        <w:spacing w:after="0" w:line="35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factors: (i) other services provided to us by them; (ii) fees paid by us as a percentage of their total annual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Compensia.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 Defined</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year, our Compensation Committee, with assistance from the management team (including our CEO) and Compensia, identifies a group of peer companies to use as comparators when setting target pay levels (our “Compensation Peer Group”). With input and advice from its compensation consultant, the Compensation Committee reviews our Compensation Peer Group annually to ensure that it reflects industry or economic changes, such as changes in business strategies, operations, product lines, revenues, or availability of key talent. Historically, the Compensation Committee’s peer selection process focused primarily on the semiconductor industry and revenue size.</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Compensation Peer Group for fiscal 2022 was comprised of the following 16 companies, which we believe are companies with which we are likely to compete for executive talent. In consultation with Compensia, the Compensation Committee did not make any changes to the Compensation Peer Group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Adobe Inc.</w:t>
            </w:r>
          </w:p>
        </w:tc>
        <w:tc>
          <w:tcPr>
            <w:tcW w:w="7320" w:type="dxa"/>
            <w:vAlign w:val="bottom"/>
            <w:shd w:val="clear" w:color="auto" w:fill="D1D2D4"/>
          </w:tcPr>
          <w:p>
            <w:pPr>
              <w:ind w:left="1720"/>
              <w:spacing w:after="0"/>
              <w:rPr>
                <w:sz w:val="20"/>
                <w:szCs w:val="20"/>
                <w:color w:val="auto"/>
              </w:rPr>
            </w:pPr>
            <w:r>
              <w:rPr>
                <w:rFonts w:ascii="Arial" w:cs="Arial" w:eastAsia="Arial" w:hAnsi="Arial"/>
                <w:sz w:val="18"/>
                <w:szCs w:val="18"/>
                <w:color w:val="auto"/>
              </w:rPr>
              <w:t>Advanced Micro Devices, Inc.</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7320" w:type="dxa"/>
            <w:vAlign w:val="bottom"/>
          </w:tcPr>
          <w:p>
            <w:pPr>
              <w:ind w:left="1720"/>
              <w:spacing w:after="0"/>
              <w:rPr>
                <w:sz w:val="20"/>
                <w:szCs w:val="20"/>
                <w:color w:val="auto"/>
              </w:rPr>
            </w:pPr>
            <w:r>
              <w:rPr>
                <w:rFonts w:ascii="Arial" w:cs="Arial" w:eastAsia="Arial" w:hAnsi="Arial"/>
                <w:sz w:val="18"/>
                <w:szCs w:val="18"/>
                <w:color w:val="auto"/>
              </w:rPr>
              <w:t>Broadcom Inc.</w:t>
            </w:r>
          </w:p>
        </w:tc>
      </w:tr>
      <w:tr>
        <w:trPr>
          <w:trHeight w:val="229"/>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Cisco Systems, Inc.</w:t>
            </w:r>
          </w:p>
        </w:tc>
        <w:tc>
          <w:tcPr>
            <w:tcW w:w="7320" w:type="dxa"/>
            <w:vAlign w:val="bottom"/>
            <w:shd w:val="clear" w:color="auto" w:fill="D1D2D4"/>
          </w:tcPr>
          <w:p>
            <w:pPr>
              <w:ind w:left="1720"/>
              <w:spacing w:after="0"/>
              <w:rPr>
                <w:sz w:val="20"/>
                <w:szCs w:val="20"/>
                <w:color w:val="auto"/>
              </w:rPr>
            </w:pPr>
            <w:r>
              <w:rPr>
                <w:rFonts w:ascii="Arial" w:cs="Arial" w:eastAsia="Arial" w:hAnsi="Arial"/>
                <w:sz w:val="18"/>
                <w:szCs w:val="18"/>
                <w:color w:val="auto"/>
              </w:rPr>
              <w:t>Hewlett Packard Enterprise Company</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IBM</w:t>
            </w:r>
          </w:p>
        </w:tc>
        <w:tc>
          <w:tcPr>
            <w:tcW w:w="7320" w:type="dxa"/>
            <w:vAlign w:val="bottom"/>
          </w:tcPr>
          <w:p>
            <w:pPr>
              <w:ind w:left="1720"/>
              <w:spacing w:after="0"/>
              <w:rPr>
                <w:sz w:val="20"/>
                <w:szCs w:val="20"/>
                <w:color w:val="auto"/>
              </w:rPr>
            </w:pPr>
            <w:r>
              <w:rPr>
                <w:rFonts w:ascii="Arial" w:cs="Arial" w:eastAsia="Arial" w:hAnsi="Arial"/>
                <w:sz w:val="18"/>
                <w:szCs w:val="18"/>
                <w:color w:val="auto"/>
              </w:rPr>
              <w:t>Intel Corporation</w:t>
            </w:r>
          </w:p>
        </w:tc>
      </w:tr>
      <w:tr>
        <w:trPr>
          <w:trHeight w:val="230"/>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Lam Research Corporation</w:t>
            </w:r>
          </w:p>
        </w:tc>
        <w:tc>
          <w:tcPr>
            <w:tcW w:w="7320" w:type="dxa"/>
            <w:vAlign w:val="bottom"/>
            <w:shd w:val="clear" w:color="auto" w:fill="D1D2D4"/>
          </w:tcPr>
          <w:p>
            <w:pPr>
              <w:ind w:left="1720"/>
              <w:spacing w:after="0"/>
              <w:rPr>
                <w:sz w:val="20"/>
                <w:szCs w:val="20"/>
                <w:color w:val="auto"/>
              </w:rPr>
            </w:pPr>
            <w:r>
              <w:rPr>
                <w:rFonts w:ascii="Arial" w:cs="Arial" w:eastAsia="Arial" w:hAnsi="Arial"/>
                <w:sz w:val="18"/>
                <w:szCs w:val="18"/>
                <w:color w:val="auto"/>
              </w:rPr>
              <w:t>NVIDIA Corporation</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QUALCOMM Corporation</w:t>
            </w:r>
          </w:p>
        </w:tc>
        <w:tc>
          <w:tcPr>
            <w:tcW w:w="7320" w:type="dxa"/>
            <w:vAlign w:val="bottom"/>
          </w:tcPr>
          <w:p>
            <w:pPr>
              <w:ind w:left="1720"/>
              <w:spacing w:after="0"/>
              <w:rPr>
                <w:sz w:val="20"/>
                <w:szCs w:val="20"/>
                <w:color w:val="auto"/>
              </w:rPr>
            </w:pPr>
            <w:r>
              <w:rPr>
                <w:rFonts w:ascii="Arial" w:cs="Arial" w:eastAsia="Arial" w:hAnsi="Arial"/>
                <w:sz w:val="18"/>
                <w:szCs w:val="18"/>
                <w:color w:val="auto"/>
              </w:rPr>
              <w:t>Salesforce.com, Inc.</w:t>
            </w:r>
          </w:p>
        </w:tc>
      </w:tr>
      <w:tr>
        <w:trPr>
          <w:trHeight w:val="230"/>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Seagate Technology</w:t>
            </w:r>
          </w:p>
        </w:tc>
        <w:tc>
          <w:tcPr>
            <w:tcW w:w="7320" w:type="dxa"/>
            <w:vAlign w:val="bottom"/>
            <w:shd w:val="clear" w:color="auto" w:fill="D1D2D4"/>
          </w:tcPr>
          <w:p>
            <w:pPr>
              <w:ind w:left="1720"/>
              <w:spacing w:after="0"/>
              <w:rPr>
                <w:sz w:val="20"/>
                <w:szCs w:val="20"/>
                <w:color w:val="auto"/>
              </w:rPr>
            </w:pPr>
            <w:r>
              <w:rPr>
                <w:rFonts w:ascii="Arial" w:cs="Arial" w:eastAsia="Arial" w:hAnsi="Arial"/>
                <w:sz w:val="18"/>
                <w:szCs w:val="18"/>
                <w:color w:val="auto"/>
              </w:rPr>
              <w:t>Texas Instruments Incorporated</w:t>
            </w:r>
          </w:p>
        </w:tc>
      </w:tr>
      <w:tr>
        <w:trPr>
          <w:trHeight w:val="239"/>
        </w:trPr>
        <w:tc>
          <w:tcPr>
            <w:tcW w:w="3920" w:type="dxa"/>
            <w:vAlign w:val="bottom"/>
          </w:tcPr>
          <w:p>
            <w:pPr>
              <w:ind w:left="20"/>
              <w:spacing w:after="0"/>
              <w:rPr>
                <w:sz w:val="20"/>
                <w:szCs w:val="20"/>
                <w:color w:val="auto"/>
              </w:rPr>
            </w:pPr>
            <w:r>
              <w:rPr>
                <w:rFonts w:ascii="Arial" w:cs="Arial" w:eastAsia="Arial" w:hAnsi="Arial"/>
                <w:sz w:val="18"/>
                <w:szCs w:val="18"/>
                <w:color w:val="auto"/>
              </w:rPr>
              <w:t>VMware, Inc.</w:t>
            </w:r>
          </w:p>
        </w:tc>
        <w:tc>
          <w:tcPr>
            <w:tcW w:w="7320" w:type="dxa"/>
            <w:vAlign w:val="bottom"/>
          </w:tcPr>
          <w:p>
            <w:pPr>
              <w:ind w:left="1720"/>
              <w:spacing w:after="0"/>
              <w:rPr>
                <w:sz w:val="20"/>
                <w:szCs w:val="20"/>
                <w:color w:val="auto"/>
              </w:rPr>
            </w:pPr>
            <w:r>
              <w:rPr>
                <w:rFonts w:ascii="Arial" w:cs="Arial" w:eastAsia="Arial" w:hAnsi="Arial"/>
                <w:sz w:val="18"/>
                <w:szCs w:val="18"/>
                <w:color w:val="auto"/>
              </w:rPr>
              <w:t>Western Digital Corporation</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 Data</w:t>
      </w:r>
    </w:p>
    <w:p>
      <w:pPr>
        <w:spacing w:after="0" w:line="250"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Compensia gathers data from the proxy statements publicly filed by our Compensation Peer Group and from published compensation surveys. The relevant survey and Compensation Peer Group data for fiscal 2022, each as discussed below, were weighted equally by the Compensation Committee and are collectively referred to throughout this Compensation Discussion and Analysis as the “Market Data.”</w:t>
      </w:r>
    </w:p>
    <w:p>
      <w:pPr>
        <w:spacing w:after="0" w:line="18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Compensation Committee to match positions held by our executives with those of our Compensation Peer Group and, as described more fully below, deviate from the Market Data based on the factors described earlier. If the Compensation Committee is not able to match positions to a reasonable number of companies within the Compensation Peer Group, it looks to the rank of the person involved and matches ranks, e.g., our third-highest paid executive officer could be compared to the third-highest paid executive officer at each company within the Compensation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Survey Data</w:t>
      </w:r>
    </w:p>
    <w:p>
      <w:pPr>
        <w:spacing w:after="0" w:line="2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Compensation survey data may vary from year to year. For fiscal 2022, the compensation consultant used the Radford Global Technology Survey and information obtained from public filings by the Compensation Peer Group. We believe this survey is particularly relevant for technology companies given the high level of participation by such companies in the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Compensia reviews the most recent available data and identifies the Market Data values for the 25th, 50th (i.e., median), and 75th percentile with respect to each position or rank, then compares our compensation data, both as to elements and amounts to be paid or potential value to be delivered, with that of the Market Data and reports its findings to the CEO and the Compensation Committee. The CEO works with Compensia by providing our financial data with respect to the most-recently completed fiscal year. The CEO also reviews projected financial results for the current fiscal year and our strategic business plan. For all Named Executive Officers other than himself, the CEO makes suggestions as to base salary, recommends a potential set of company-wide and/or business unit metrics and targets for the current fiscal year with respect to short-term incentives, and offers suggestions as to long-term incentive compensation. He makes no recommendations as to his own level of compensation. The Compensation Committee reviews the Market Data, discusses the Market Data with the CEO and with Compensia, discusses individual executive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these deliberations,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fiscal year.</w:t>
      </w:r>
    </w:p>
    <w:p>
      <w:pPr>
        <w:spacing w:after="0" w:line="200" w:lineRule="exact"/>
        <w:rPr>
          <w:sz w:val="20"/>
          <w:szCs w:val="20"/>
          <w:color w:val="auto"/>
        </w:rPr>
      </w:pPr>
    </w:p>
    <w:p>
      <w:pPr>
        <w:spacing w:after="0" w:line="36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Fiscal 2022 Executive Compensation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Base Salaries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Compensation Committee decided to increase the base salary for fiscal 2022 for Mr. Mehrotra to reflect our performance at that time and to achieve retention objectives and for each of our other Named Executive Officers to be more competitive with the base salaries offered to similarly-situated executives in the competitive market, as reflected by our Compensation Peer Group and the relevant survey data.</w:t>
      </w: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Base Salary %</w:t>
            </w:r>
          </w:p>
        </w:tc>
        <w:tc>
          <w:tcPr>
            <w:tcW w:w="0" w:type="dxa"/>
            <w:vAlign w:val="bottom"/>
          </w:tcPr>
          <w:p>
            <w:pPr>
              <w:spacing w:after="0"/>
              <w:rPr>
                <w:sz w:val="1"/>
                <w:szCs w:val="1"/>
                <w:color w:val="auto"/>
              </w:rPr>
            </w:pPr>
          </w:p>
        </w:tc>
      </w:tr>
      <w:tr>
        <w:trPr>
          <w:trHeight w:val="189"/>
        </w:trPr>
        <w:tc>
          <w:tcPr>
            <w:tcW w:w="4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3380" w:type="dxa"/>
            <w:vAlign w:val="bottom"/>
          </w:tcPr>
          <w:p>
            <w:pPr>
              <w:spacing w:after="0"/>
              <w:rPr>
                <w:sz w:val="16"/>
                <w:szCs w:val="16"/>
                <w:color w:val="auto"/>
              </w:rPr>
            </w:pPr>
          </w:p>
        </w:tc>
        <w:tc>
          <w:tcPr>
            <w:tcW w:w="30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Fiscal 2022   Change From Fiscal</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0090DA"/>
            </w:tcBorders>
            <w:vMerge w:val="continue"/>
          </w:tcPr>
          <w:p>
            <w:pPr>
              <w:spacing w:after="0"/>
              <w:rPr>
                <w:sz w:val="19"/>
                <w:szCs w:val="19"/>
                <w:color w:val="auto"/>
              </w:rPr>
            </w:pPr>
          </w:p>
        </w:tc>
        <w:tc>
          <w:tcPr>
            <w:tcW w:w="338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w w:val="99"/>
              </w:rPr>
              <w:t>Base Salary</w:t>
            </w:r>
          </w:p>
        </w:tc>
        <w:tc>
          <w:tcPr>
            <w:tcW w:w="1700" w:type="dxa"/>
            <w:vAlign w:val="bottom"/>
            <w:tcBorders>
              <w:bottom w:val="single" w:sz="8" w:color="0090DA"/>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4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3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1,418,000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Mark J. Murphy(1)</w:t>
            </w:r>
          </w:p>
        </w:tc>
        <w:tc>
          <w:tcPr>
            <w:tcW w:w="3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700,000</w:t>
            </w:r>
          </w:p>
        </w:tc>
        <w:tc>
          <w:tcPr>
            <w:tcW w:w="1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3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729,750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3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551,200</w:t>
            </w:r>
          </w:p>
        </w:tc>
        <w:tc>
          <w:tcPr>
            <w:tcW w:w="170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3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624,750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3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782,250</w:t>
            </w:r>
          </w:p>
        </w:tc>
        <w:tc>
          <w:tcPr>
            <w:tcW w:w="170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4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David A. Zinsner(1)</w:t>
            </w:r>
          </w:p>
        </w:tc>
        <w:tc>
          <w:tcPr>
            <w:tcW w:w="3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714,960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40" w:hanging="332"/>
        <w:spacing w:after="0" w:line="287" w:lineRule="auto"/>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Murphy was appointed as our Executive Vice President and Chief Financial Officer, effective as of April 18, 2022, and Mr. Zinsner resigned as our Executive Vice President and Chief Financial Officer, effective as of January 10,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Short-Term Incentive Awards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provided annual short-term incentive cash awards to our executive officers pursuant to the EIP. The EIP was last approved by our shareholders in January 2018. The purpose of the EIP is to attract, retain, and reward qualified executives who are important to our success, by providing performance-based, incentive cash awards for outstanding performance at the individual and/or Company-wide level. In fiscal 2022, the Compensation Committee set the short-term incentive compensation “opportunity” (“Target Award”) for each Named Executive Officer in terms of a specified percentage of such officer’s base salary.</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Target Awards payable under the EIP for achievement of the fiscal 2022 goals are shown in the columns “Estimated Future Payouts under Non-Equity Incentive Plan Awards” of the “Grants of Plan-Based Awards in Fiscal 2022” table. All goals were established with threshold (50%), target (100%), exceptional (150%), and maximum (200%) payout levels, with intermediate payout levels for certain goals. All payout levels require significant execution and effort, and there is no assurance of goal achievement.</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Target Awards established for fiscal 2022 for our Named Executive Officers, as a percentage of base salary, were measured against the Market Data median, as part of the Compensation Committee’s efforts to make such opportunities “Reasonable” as described above. Though the Market Data median is instructive, the Compensation Committee also considers the other factors described under the section entitled “Reasonable” above when determining Target Awards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For fiscal 2022, the following Target Awards were established, which represented an increase from fiscal 2021 for Messrs. Mehrotra, Bhatia, Sadana, and Zinsner: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55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 of Base Salary</w:t>
            </w:r>
          </w:p>
        </w:tc>
      </w:tr>
      <w:tr>
        <w:trPr>
          <w:trHeight w:val="34"/>
        </w:trPr>
        <w:tc>
          <w:tcPr>
            <w:tcW w:w="568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29"/>
        </w:trPr>
        <w:tc>
          <w:tcPr>
            <w:tcW w:w="5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5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Mark J. Murphy(1)</w:t>
            </w:r>
          </w:p>
        </w:tc>
        <w:tc>
          <w:tcPr>
            <w:tcW w:w="55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5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5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556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5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5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556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29"/>
        </w:trPr>
        <w:tc>
          <w:tcPr>
            <w:tcW w:w="5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David A. Zinsner(1)</w:t>
            </w:r>
          </w:p>
        </w:tc>
        <w:tc>
          <w:tcPr>
            <w:tcW w:w="5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110 %</w:t>
            </w:r>
          </w:p>
        </w:tc>
      </w:tr>
    </w:tbl>
    <w:p>
      <w:pPr>
        <w:spacing w:after="0" w:line="292" w:lineRule="exact"/>
        <w:rPr>
          <w:sz w:val="20"/>
          <w:szCs w:val="20"/>
          <w:color w:val="auto"/>
        </w:rPr>
      </w:pPr>
    </w:p>
    <w:p>
      <w:pPr>
        <w:ind w:left="340" w:right="340" w:hanging="332"/>
        <w:spacing w:after="0" w:line="287"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Murphy was appointed as our Executive Vice President and Chief Financial Officer, effective as of April 18, 2022, and Mr. Zinsner resigned as our Executive Vice President and Chief Financial Officer, effective as of January 10, 2022.</w:t>
      </w:r>
    </w:p>
    <w:p>
      <w:pPr>
        <w:spacing w:after="0" w:line="15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Compensation Committee established a profitability goal and five operational metrics for evaluating performance in fiscal 2022, which includes performance on ESG issues including labor practices, greenhouse gas (“GHG”) emissions, and water and waste management:</w:t>
      </w:r>
    </w:p>
    <w:p>
      <w:pPr>
        <w:spacing w:after="0" w:line="18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profitability (50% weighting);</w:t>
      </w:r>
    </w:p>
    <w:p>
      <w:pPr>
        <w:spacing w:after="0" w:line="27"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achievement of certain product milestones including sales of certain NAND and DRAM products as a percentage of total sales, growth of certain channel sales, and revenue from emerging technologies (10% weighting);</w:t>
      </w:r>
    </w:p>
    <w:p>
      <w:pPr>
        <w:ind w:left="660" w:right="74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execution to, and acceleration of, our technology roadmap objective criteria/milestones related to NAND and DRAM, with an additional stretch goal for exceptional performance (10% weighting, plus potential stretch goal);</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increases in our cost competitiveness (10% weighting);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achievement of certain delivery, customer satisfaction, and customer quality metrics (10% weighting);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achievement of certain milestones focusing on ESG issues (10% weighting),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environmental sustainability (reduce GHG emissions; increase water reuse and recycling; and reduce waste to landfill); and</w:t>
      </w:r>
    </w:p>
    <w:p>
      <w:pPr>
        <w:spacing w:after="0" w:line="9" w:lineRule="exact"/>
        <w:rPr>
          <w:rFonts w:ascii="Arial" w:cs="Arial" w:eastAsia="Arial" w:hAnsi="Arial"/>
          <w:sz w:val="18"/>
          <w:szCs w:val="18"/>
          <w:color w:val="auto"/>
        </w:rPr>
      </w:pPr>
    </w:p>
    <w:p>
      <w:pPr>
        <w:ind w:left="1300" w:right="180" w:hanging="320"/>
        <w:spacing w:after="0" w:line="266"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DEI (increase underrepresented groups at the new hire and senior leader levels; maintaining pay equity; increase retention of underrepresented groups; and increase supplier diversity).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these metrics and their linkage to our business and results of operations because they believe:</w:t>
      </w:r>
    </w:p>
    <w:p>
      <w:pPr>
        <w:spacing w:after="0" w:line="252" w:lineRule="exact"/>
        <w:rPr>
          <w:sz w:val="20"/>
          <w:szCs w:val="20"/>
          <w:color w:val="auto"/>
        </w:rPr>
      </w:pPr>
    </w:p>
    <w:p>
      <w:pPr>
        <w:ind w:left="660" w:right="140" w:hanging="328"/>
        <w:spacing w:after="0" w:line="26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against these metrics enhances shareholder value and rewards operational excellence that positions the Company for better long-term performance;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focus on sustainability benefits our team members, communities, and other stakeholders;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balanced weighting limits the likelihood of rewarding executives for taking excessive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including a profitability target encourages the pursuit of profitable revenue and strong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using different measures avoids paying for the same performance twice.</w:t>
      </w:r>
    </w:p>
    <w:p>
      <w:pPr>
        <w:spacing w:after="0" w:line="23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Shortly after the fiscal year concluded, the Compensation Committee reviewed and determined the Company’s performance against these corporate metrics, applied the percentage of achievement to plan and weighted the results according to the weightings established at the beginning of the year. After applying this formula, the Compensation Committee considered each Named Executive Officer’s performance over fiscal 2022 and established a final EIP payout for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80" w:type="dxa"/>
            <w:vAlign w:val="bottom"/>
          </w:tcPr>
          <w:p>
            <w:pPr>
              <w:spacing w:after="0"/>
              <w:rPr>
                <w:sz w:val="20"/>
                <w:szCs w:val="20"/>
                <w:color w:val="auto"/>
              </w:rPr>
            </w:pPr>
            <w:r>
              <w:rPr>
                <w:rFonts w:ascii="Arial" w:cs="Arial" w:eastAsia="Arial" w:hAnsi="Arial"/>
                <w:sz w:val="18"/>
                <w:szCs w:val="18"/>
                <w:color w:val="auto"/>
              </w:rPr>
              <w:t>Our Named Executive Officers received EIP bonuses in the following amounts for fiscal 2022:</w:t>
            </w: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6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13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Bonus Paid</w:t>
            </w:r>
          </w:p>
        </w:tc>
      </w:tr>
      <w:tr>
        <w:trPr>
          <w:trHeight w:val="34"/>
        </w:trPr>
        <w:tc>
          <w:tcPr>
            <w:tcW w:w="8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3,435,275</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Mark J. Murphy(1)</w:t>
            </w:r>
          </w:p>
        </w:tc>
        <w:tc>
          <w:tcPr>
            <w:tcW w:w="1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326,555</w:t>
            </w:r>
          </w:p>
        </w:tc>
      </w:tr>
      <w:tr>
        <w:trPr>
          <w:trHeight w:val="230"/>
        </w:trPr>
        <w:tc>
          <w:tcPr>
            <w:tcW w:w="8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3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904,511</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558,983</w:t>
            </w:r>
          </w:p>
        </w:tc>
      </w:tr>
      <w:tr>
        <w:trPr>
          <w:trHeight w:val="229"/>
        </w:trPr>
        <w:tc>
          <w:tcPr>
            <w:tcW w:w="8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13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703,968</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1,057,727</w:t>
            </w:r>
          </w:p>
        </w:tc>
      </w:tr>
      <w:tr>
        <w:trPr>
          <w:trHeight w:val="229"/>
        </w:trPr>
        <w:tc>
          <w:tcPr>
            <w:tcW w:w="8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David A. Zinsner(2)</w:t>
            </w:r>
          </w:p>
        </w:tc>
        <w:tc>
          <w:tcPr>
            <w:tcW w:w="13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r>
    </w:tbl>
    <w:p>
      <w:pPr>
        <w:spacing w:after="0" w:line="31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bonus for Mr. Murphy was prorated to reflect his length of service in fiscal 2022.</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Zinsner did not receive a bonus due to his resignation from the Company effective as of January 10,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2022 Long-Term Equity Incentives</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long-term incentive compensation should be tied to our success and promote increases in shareholder value. Accordingly, performance-based restricted stock unit awards are a significant component of our executive compensation program. We believe these awards are especially aligned with shareholders’ interests as their value is dependent upon the achievement of key operational milestones or stock price performance. To help retain executives, we also grant time-based restricted stock awards. The Compensation Committee reviews peer data related to the mix and types of long-term incentive compensation awards and works with its independent compensation consultant to determine the allocation and type of performance- and time-based awards to grant each fiscal year.</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2022, the Compensation Committee set the long-term incentive mix at 50% performance-based restricted stock units (“PRSUs”) and 50% time-based restricted stock awards. The Compensation Committee believes that a high percentage of PRSUs emphasizes Micron’s strong “pay-for-performance” philosophy underlying our executive compensation program.</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determining the amount of the long-term equity incentive awards for our Named Executive Officers, the Compensation Committee reviewed Market Data and information provided by Mr. Mehrotra related to the other officers’ performance and his recommendation as to the amount of their awards. Though the Market Data is instructive, the Compensation Committee also considered the other factors described under the section entitled “Reasonable” above when determining long-term equity incentive awards for our Named Executive Officers. For information on Mr. Mehrotra’s long-term equity incentive award, please see the discussion below on CEO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value of our Named Executive Officers’ fiscal 2022 long-term equity incentive awards: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56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Fiscal 2022 Long-Term</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0090DA"/>
            </w:tcBorders>
            <w:vMerge w:val="continue"/>
          </w:tcPr>
          <w:p>
            <w:pPr>
              <w:spacing w:after="0"/>
              <w:rPr>
                <w:sz w:val="21"/>
                <w:szCs w:val="21"/>
                <w:color w:val="auto"/>
              </w:rPr>
            </w:pPr>
          </w:p>
        </w:tc>
        <w:tc>
          <w:tcPr>
            <w:tcW w:w="3640" w:type="dxa"/>
            <w:vAlign w:val="bottom"/>
            <w:tcBorders>
              <w:bottom w:val="single" w:sz="8" w:color="0090DA"/>
            </w:tcBorders>
          </w:tcPr>
          <w:p>
            <w:pPr>
              <w:spacing w:after="0"/>
              <w:rPr>
                <w:sz w:val="21"/>
                <w:szCs w:val="21"/>
                <w:color w:val="auto"/>
              </w:rPr>
            </w:pPr>
          </w:p>
        </w:tc>
        <w:tc>
          <w:tcPr>
            <w:tcW w:w="19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Equity Incentives(1)</w:t>
            </w: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3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23,500,000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Mark J. Murphy(2)</w:t>
            </w:r>
          </w:p>
        </w:tc>
        <w:tc>
          <w:tcPr>
            <w:tcW w:w="36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2,632,000</w:t>
            </w:r>
          </w:p>
        </w:tc>
        <w:tc>
          <w:tcPr>
            <w:tcW w:w="0" w:type="dxa"/>
            <w:vAlign w:val="bottom"/>
          </w:tcPr>
          <w:p>
            <w:pPr>
              <w:spacing w:after="0"/>
              <w:rPr>
                <w:sz w:val="1"/>
                <w:szCs w:val="1"/>
                <w:color w:val="auto"/>
              </w:rPr>
            </w:pPr>
          </w:p>
        </w:tc>
      </w:tr>
      <w:tr>
        <w:trPr>
          <w:trHeight w:val="230"/>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3640" w:type="dxa"/>
            <w:vAlign w:val="bottom"/>
            <w:shd w:val="clear" w:color="auto" w:fill="D1D2D4"/>
          </w:tcPr>
          <w:p>
            <w:pPr>
              <w:spacing w:after="0"/>
              <w:rPr>
                <w:sz w:val="19"/>
                <w:szCs w:val="19"/>
                <w:color w:val="auto"/>
              </w:rPr>
            </w:pPr>
          </w:p>
        </w:tc>
        <w:tc>
          <w:tcPr>
            <w:tcW w:w="1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36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3640" w:type="dxa"/>
            <w:vAlign w:val="bottom"/>
            <w:shd w:val="clear" w:color="auto" w:fill="D1D2D4"/>
          </w:tcPr>
          <w:p>
            <w:pPr>
              <w:spacing w:after="0"/>
              <w:rPr>
                <w:sz w:val="19"/>
                <w:szCs w:val="19"/>
                <w:color w:val="auto"/>
              </w:rPr>
            </w:pPr>
          </w:p>
        </w:tc>
        <w:tc>
          <w:tcPr>
            <w:tcW w:w="1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36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8,250,000</w:t>
            </w:r>
          </w:p>
        </w:tc>
        <w:tc>
          <w:tcPr>
            <w:tcW w:w="0" w:type="dxa"/>
            <w:vAlign w:val="bottom"/>
          </w:tcPr>
          <w:p>
            <w:pPr>
              <w:spacing w:after="0"/>
              <w:rPr>
                <w:sz w:val="1"/>
                <w:szCs w:val="1"/>
                <w:color w:val="auto"/>
              </w:rPr>
            </w:pPr>
          </w:p>
        </w:tc>
      </w:tr>
      <w:tr>
        <w:trPr>
          <w:trHeight w:val="230"/>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David A. Zinsner(3)</w:t>
            </w:r>
          </w:p>
        </w:tc>
        <w:tc>
          <w:tcPr>
            <w:tcW w:w="3640" w:type="dxa"/>
            <w:vAlign w:val="bottom"/>
            <w:shd w:val="clear" w:color="auto" w:fill="D1D2D4"/>
          </w:tcPr>
          <w:p>
            <w:pPr>
              <w:spacing w:after="0"/>
              <w:rPr>
                <w:sz w:val="19"/>
                <w:szCs w:val="19"/>
                <w:color w:val="auto"/>
              </w:rPr>
            </w:pPr>
          </w:p>
        </w:tc>
        <w:tc>
          <w:tcPr>
            <w:tcW w:w="1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 Reflects target grant-date fair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right="100" w:hanging="332"/>
        <w:spacing w:after="0" w:line="268"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Murphy’s target long-term equity incentive for fiscal 2022 was $7,000,000, which was prorated to reflect his length of service in fiscal 2022. Mr. Murphy also received a new hire award with a grant-date fair value of $9,999,999 in connection with his appointment as Executive Vice President and Chief Financial Officer effective as of April 18, 2022.</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Zinsner’s award was forfeited due to his resignation from the Company effective as of January 10, 2022.</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and do not plan to time the grant of long-term incentive awards (or the award or payment of any other compensation) with the release of material, non-public information. Historically, long-term incentive awards have been made in the first quarter of the fiscal year with the exact grant date corresponding with the date of the approval of the Compensation Committee. The Compensation Committee generally approves long-term incentive awards granted to the Named Executive Officers on the same day as the grants to other executive officers. For purposes of our equity plans, fair market value is defined as the closing price of our Common Stock as quoted on Nasdaq for the last market-trading day prior to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Granted in Fiscal 2022</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PRSUs support the Compensation Committee’s desire to link realized value to the Company’s long-term success and help align executive compensation with shareholder interests. For fiscal 2022, the Compensation Committee awarded PRSUs subject to performance metrics that measure the percentage of NAND bits shipped as part of certain high-value solutions (the “2022 High-Value Solutions PRSU Award”), the percentage of NAND bits shipped for a certain market segment (the “2022 Market Segment PRSU Award” and, together with the 2022 High-Value Solutions PRSU Award, the “2022 NAND PRSU Awards”), and relative TSR growth (the “2022 TSR PRSU Award”). The achievement of the pre-determined goals for these awards requires a significant level of execution and effort and there is no assurance of goal achievement.</w:t>
      </w:r>
    </w:p>
    <w:p>
      <w:pPr>
        <w:spacing w:after="0" w:line="2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PRSU awards are eligible to be earned (or “banked”) during the second and third years of the three-year period covering fiscal 2022, 2023, and 2024 (the “Performance Period”) based upon results against performance metrics set at the beginning of the Performance Period. The actual number of PRSUs that will be banked and become eligible to vest under the 2022 High-Value Solutions PRSU Awards, the 2022 Market Segment PRSU Awards, and the 2022 TSR PRSU Awards (together the “2022 PRSU Awards”) is determined by reference to each Named Executive Officer’s target number of PRSUs and the payout factor that results from actual performance versus pre-established performance metrics (the “Payout Factor”), and is subject to the caps discussed below.</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number of PRSUs that each Named Executive Officer may earn under all 2022 PRSU Awards (taken together) during the Performance Period will not exceed two times the aggregate target number of PRSUs covered by all of a Named Executive Officers’ 2022 PRSU Awards (the “2x Limit”). As a result, our Named Executive Officers’ ability to earn and vest in any PRSUs is capped at the 2x Limit. Additionally, the maximum award of PRSUs may not exceed 5,000,000 shares of our Common Stock in any one calendar year to any one participant, as provided in the applicable equity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NAND PRSU Awards</w:t>
      </w:r>
    </w:p>
    <w:p>
      <w:pPr>
        <w:spacing w:after="0" w:line="2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2022 NAND PRSU Awards are comprised of the 2022 High-Value Solutions PRSU Awards and the 2022 Market Segment PRSU Awards. The 2022 High-Value Solutions PRSU Awards tie 25% of each Named Executive Officer’s target performance-based long-term incentive compensation opportunity to the achievement of certain percentages of NAND bits shipped as part of certain high-value solutions. The 2022 Market Segment PRSU Awards tie 25% of each Named Executive Officer’s target performance-based long-term incentive compensation opportunity to the achievement of certain percentages of NAND bits shipped for a certain market segment. The 2022 NAND PRSU Awards also have two additional earnings opportunities for stretch goals based on product development milestones.</w:t>
      </w:r>
    </w:p>
    <w:p>
      <w:pPr>
        <w:spacing w:after="0" w:line="20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Performance is measured by exceeding a threshold, then meeting certain prescribed targets, subject to a maximum payout. The maximum payout for achieving such targets is 200% of the target number of PRSUs under each award, subject to any increases for achieving the stretch milestones described below but capped by the 2x Limit described further above. 2022 NAND PRSU Awards do not bank unless performance meets or exceeds the</w:t>
      </w:r>
    </w:p>
    <w:p>
      <w:pPr>
        <w:spacing w:after="0" w:line="200" w:lineRule="exact"/>
        <w:rPr>
          <w:sz w:val="20"/>
          <w:szCs w:val="20"/>
          <w:color w:val="auto"/>
        </w:rPr>
      </w:pPr>
    </w:p>
    <w:p>
      <w:pPr>
        <w:spacing w:after="0" w:line="37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established thresholds. When performance results in achievement above the threshold and between performance levels, the applicable Payout Factor will be determined based on interpolation between performance levels.</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the 2022 Payout Factors with respect to the 2022 NAND PRSU Awards may be increased upon achievement of two stretch milestones relating to development of next-generation products that the Compensation Committee believes represent significant progress that will enhance long-term shareholder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2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Achievement levels with respect to the Payout Factor applicable to the 2022 NAND PRSU Awards are measured at the end of the second and third fiscal years of the Performance Period. No later than 60 days after the end of the second and third fiscal years in the Performance Period (each, a “Certification Date”), the Compensation Committee determines and certifies the resulting Payout Factors for the applicable fiscal year as set forth above. PRSUs that have achieved the requisite performance become banked.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PRSUs do not vest under the 2022 NAND PRSU Awards until the Certification Date that immediately follows the end of fiscal 2023, when 50% of the then-unvested banked PRSUs (for the avoidance of doubt, inclusive of any PRSUs becoming banked PRSUs as of such Certification Date) will vest. Remaining banked PRSUs and/or incremental PRSUs that become banked PRSUs will vest as of the Certification Date that immediately follows the end of fiscal 2024. If a Named Executive Officer terminates employment with the Company for any reason other than a termination by the Company for cause, any banked shares will continue to vest on the vesting schedule described above. No further PRSUs under the 2022 NAND PRSU Awards will vest following a Named Executive Officer’s termination for cause. For purposes of the 2022 NAND PRSU Awards, “cause” is as defined in the agreement between a Named Executive Officer and the Company governing the terms of such Named Executive Officer’s employment or termination thereof, or if not so defined, as defined in the equity incentive plan under which the award was granted.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TSR PRSU Awards</w:t>
      </w:r>
    </w:p>
    <w:p>
      <w:pPr>
        <w:spacing w:after="0" w:line="2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2022 TSR PRSU Awards tie 50% of each Named Executive Officer’s target performance-based long-term incentive compensation opportunity to the Company’s share price growth as compared to the median TSR of the companies in the PHLX Semiconductor Sector Index (SOX) over the three-year Performance Period. For fiscal 2022, the Compensation Committee set the target goal at the median of the SOX index, which is composed of companies primarily involved in the design, distribution, manufacture, and sale of semiconductors, calculated based on the difference between the Company’s and the median SOX index company’s 60-day average three-year TSR compounded annual growth rate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Payout Factor</w:t>
      </w:r>
    </w:p>
    <w:p>
      <w:pPr>
        <w:spacing w:after="0" w:line="2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Payout Factor for the 2022 TSR PRSU Awards is based on the average of the Company’s three-year TSR for each of the 60 days trailing the applicable measurement date (inclusive of the measurement date), expressed as a compounded annual growth rate (the “TSR CAGR”), relative to the TSR CAGR of the median company in the PHLX Semiconductor Sector Index (SOX) (the “Median SOX Company”). The relative TSR (“rTSR”) CAGRs of the Company versus the Median SOX Company (the “rTSR CAGR”) will be measured on each day starting on the first day of fiscal 2023 through the last day of the Performance Period (each, a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40"/>
        <w:spacing w:after="0" w:line="273" w:lineRule="auto"/>
        <w:rPr>
          <w:sz w:val="20"/>
          <w:szCs w:val="20"/>
          <w:color w:val="auto"/>
        </w:rPr>
      </w:pPr>
      <w:r>
        <w:rPr>
          <w:rFonts w:ascii="Arial" w:cs="Arial" w:eastAsia="Arial" w:hAnsi="Arial"/>
          <w:sz w:val="18"/>
          <w:szCs w:val="18"/>
          <w:color w:val="auto"/>
        </w:rPr>
        <w:t>The following table sets forth the levels of rTSR CAGR required to be achieved under a 2022 TSR PRSU Award to result in the Payout Factors specified below:</w:t>
      </w:r>
    </w:p>
    <w:tbl>
      <w:tblPr>
        <w:tblLayout w:type="fixed"/>
        <w:tblInd w:w="0" w:type="dxa"/>
        <w:tblCellMar>
          <w:top w:w="0" w:type="dxa"/>
          <w:left w:w="0" w:type="dxa"/>
          <w:bottom w:w="0" w:type="dxa"/>
          <w:right w:w="0" w:type="dxa"/>
        </w:tblCellMar>
      </w:tblPr>
      <w:tr>
        <w:trPr>
          <w:trHeight w:val="182"/>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rTSR CAGR Achieved on a Measurement Date</w:t>
            </w:r>
          </w:p>
        </w:tc>
        <w:tc>
          <w:tcPr>
            <w:tcW w:w="4580" w:type="dxa"/>
            <w:vAlign w:val="bottom"/>
          </w:tcPr>
          <w:p>
            <w:pPr>
              <w:ind w:left="2700"/>
              <w:spacing w:after="0" w:line="182" w:lineRule="exact"/>
              <w:rPr>
                <w:sz w:val="20"/>
                <w:szCs w:val="20"/>
                <w:color w:val="auto"/>
              </w:rPr>
            </w:pPr>
            <w:r>
              <w:rPr>
                <w:rFonts w:ascii="Arial" w:cs="Arial" w:eastAsia="Arial" w:hAnsi="Arial"/>
                <w:sz w:val="18"/>
                <w:szCs w:val="18"/>
                <w:b w:val="1"/>
                <w:bCs w:val="1"/>
                <w:color w:val="auto"/>
              </w:rPr>
              <w:t>Payout Factor for the</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0090DA"/>
            </w:tcBorders>
            <w:vMerge w:val="continue"/>
          </w:tcPr>
          <w:p>
            <w:pPr>
              <w:spacing w:after="0"/>
              <w:rPr>
                <w:sz w:val="21"/>
                <w:szCs w:val="21"/>
                <w:color w:val="auto"/>
              </w:rPr>
            </w:pPr>
          </w:p>
        </w:tc>
        <w:tc>
          <w:tcPr>
            <w:tcW w:w="4580" w:type="dxa"/>
            <w:vAlign w:val="bottom"/>
            <w:tcBorders>
              <w:bottom w:val="single" w:sz="8" w:color="0090DA"/>
            </w:tcBorders>
          </w:tcPr>
          <w:p>
            <w:pPr>
              <w:ind w:left="3100"/>
              <w:spacing w:after="0"/>
              <w:rPr>
                <w:sz w:val="20"/>
                <w:szCs w:val="20"/>
                <w:color w:val="auto"/>
              </w:rPr>
            </w:pPr>
            <w:r>
              <w:rPr>
                <w:rFonts w:ascii="Arial" w:cs="Arial" w:eastAsia="Arial" w:hAnsi="Arial"/>
                <w:sz w:val="18"/>
                <w:szCs w:val="18"/>
                <w:b w:val="1"/>
                <w:bCs w:val="1"/>
                <w:color w:val="auto"/>
              </w:rPr>
              <w:t>rTSR CAGR</w:t>
            </w:r>
          </w:p>
        </w:tc>
        <w:tc>
          <w:tcPr>
            <w:tcW w:w="0" w:type="dxa"/>
            <w:vAlign w:val="bottom"/>
          </w:tcPr>
          <w:p>
            <w:pPr>
              <w:spacing w:after="0"/>
              <w:rPr>
                <w:sz w:val="1"/>
                <w:szCs w:val="1"/>
                <w:color w:val="auto"/>
              </w:rPr>
            </w:pPr>
          </w:p>
        </w:tc>
      </w:tr>
      <w:tr>
        <w:trPr>
          <w:trHeight w:val="34"/>
        </w:trPr>
        <w:tc>
          <w:tcPr>
            <w:tcW w:w="6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than -50 percentage points (“pp”)</w:t>
            </w:r>
          </w:p>
        </w:tc>
        <w:tc>
          <w:tcPr>
            <w:tcW w:w="4580" w:type="dxa"/>
            <w:vAlign w:val="bottom"/>
            <w:shd w:val="clear" w:color="auto" w:fill="D1D2D4"/>
          </w:tcPr>
          <w:p>
            <w:pPr>
              <w:ind w:left="4220"/>
              <w:spacing w:after="0"/>
              <w:rPr>
                <w:sz w:val="20"/>
                <w:szCs w:val="20"/>
                <w:color w:val="auto"/>
              </w:rPr>
            </w:pPr>
            <w:r>
              <w:rPr>
                <w:rFonts w:ascii="Arial" w:cs="Arial" w:eastAsia="Arial" w:hAnsi="Arial"/>
                <w:sz w:val="18"/>
                <w:szCs w:val="18"/>
                <w:color w:val="auto"/>
                <w:w w:val="99"/>
              </w:rPr>
              <w:t>0.0x</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-50pp (“rTSR Threshold”)</w:t>
            </w:r>
          </w:p>
        </w:tc>
        <w:tc>
          <w:tcPr>
            <w:tcW w:w="4580" w:type="dxa"/>
            <w:vAlign w:val="bottom"/>
          </w:tcPr>
          <w:p>
            <w:pPr>
              <w:ind w:left="4220"/>
              <w:spacing w:after="0"/>
              <w:rPr>
                <w:sz w:val="20"/>
                <w:szCs w:val="20"/>
                <w:color w:val="auto"/>
              </w:rPr>
            </w:pPr>
            <w:r>
              <w:rPr>
                <w:rFonts w:ascii="Arial" w:cs="Arial" w:eastAsia="Arial" w:hAnsi="Arial"/>
                <w:sz w:val="18"/>
                <w:szCs w:val="18"/>
                <w:color w:val="auto"/>
                <w:w w:val="99"/>
              </w:rPr>
              <w:t>0.5x</w:t>
            </w:r>
          </w:p>
        </w:tc>
        <w:tc>
          <w:tcPr>
            <w:tcW w:w="0" w:type="dxa"/>
            <w:vAlign w:val="bottom"/>
          </w:tcPr>
          <w:p>
            <w:pPr>
              <w:spacing w:after="0"/>
              <w:rPr>
                <w:sz w:val="1"/>
                <w:szCs w:val="1"/>
                <w:color w:val="auto"/>
              </w:rPr>
            </w:pPr>
          </w:p>
        </w:tc>
      </w:tr>
      <w:tr>
        <w:trPr>
          <w:trHeight w:val="230"/>
        </w:trPr>
        <w:tc>
          <w:tcPr>
            <w:tcW w:w="6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0pp (“rTSR Target”)</w:t>
            </w:r>
          </w:p>
        </w:tc>
        <w:tc>
          <w:tcPr>
            <w:tcW w:w="4580" w:type="dxa"/>
            <w:vAlign w:val="bottom"/>
            <w:shd w:val="clear" w:color="auto" w:fill="D1D2D4"/>
          </w:tcPr>
          <w:p>
            <w:pPr>
              <w:ind w:left="4220"/>
              <w:spacing w:after="0"/>
              <w:rPr>
                <w:sz w:val="20"/>
                <w:szCs w:val="20"/>
                <w:color w:val="auto"/>
              </w:rPr>
            </w:pPr>
            <w:r>
              <w:rPr>
                <w:rFonts w:ascii="Arial" w:cs="Arial" w:eastAsia="Arial" w:hAnsi="Arial"/>
                <w:sz w:val="18"/>
                <w:szCs w:val="18"/>
                <w:color w:val="auto"/>
                <w:w w:val="99"/>
              </w:rPr>
              <w:t>1.0x</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+25pp (“rTSR Maximum”)</w:t>
            </w:r>
          </w:p>
        </w:tc>
        <w:tc>
          <w:tcPr>
            <w:tcW w:w="4580" w:type="dxa"/>
            <w:vAlign w:val="bottom"/>
          </w:tcPr>
          <w:p>
            <w:pPr>
              <w:ind w:left="4220"/>
              <w:spacing w:after="0"/>
              <w:rPr>
                <w:sz w:val="20"/>
                <w:szCs w:val="20"/>
                <w:color w:val="auto"/>
              </w:rPr>
            </w:pPr>
            <w:r>
              <w:rPr>
                <w:rFonts w:ascii="Arial" w:cs="Arial" w:eastAsia="Arial" w:hAnsi="Arial"/>
                <w:sz w:val="18"/>
                <w:szCs w:val="18"/>
                <w:color w:val="auto"/>
                <w:w w:val="99"/>
              </w:rPr>
              <w:t>1.5x</w:t>
            </w:r>
          </w:p>
        </w:tc>
        <w:tc>
          <w:tcPr>
            <w:tcW w:w="0" w:type="dxa"/>
            <w:vAlign w:val="bottom"/>
          </w:tcPr>
          <w:p>
            <w:pPr>
              <w:spacing w:after="0"/>
              <w:rPr>
                <w:sz w:val="1"/>
                <w:szCs w:val="1"/>
                <w:color w:val="auto"/>
              </w:rPr>
            </w:pPr>
          </w:p>
        </w:tc>
      </w:tr>
      <w:tr>
        <w:trPr>
          <w:trHeight w:val="230"/>
        </w:trPr>
        <w:tc>
          <w:tcPr>
            <w:tcW w:w="6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Greater than +25pp</w:t>
            </w:r>
          </w:p>
        </w:tc>
        <w:tc>
          <w:tcPr>
            <w:tcW w:w="4580" w:type="dxa"/>
            <w:vAlign w:val="bottom"/>
            <w:shd w:val="clear" w:color="auto" w:fill="D1D2D4"/>
          </w:tcPr>
          <w:p>
            <w:pPr>
              <w:ind w:left="4220"/>
              <w:spacing w:after="0"/>
              <w:rPr>
                <w:sz w:val="20"/>
                <w:szCs w:val="20"/>
                <w:color w:val="auto"/>
              </w:rPr>
            </w:pPr>
            <w:r>
              <w:rPr>
                <w:rFonts w:ascii="Arial" w:cs="Arial" w:eastAsia="Arial" w:hAnsi="Arial"/>
                <w:sz w:val="18"/>
                <w:szCs w:val="18"/>
                <w:color w:val="auto"/>
                <w:w w:val="99"/>
              </w:rPr>
              <w:t>1.5x</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If the rTSR CAGR achieved is between the rTSR Threshold and rTSR Target levels or the rTSR Target and rTSR Maximum levels, the Payout Factor will be determined using interpolation between the applicable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 on PRSU Earning and Vesting</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maximum number of PRSUs that may vest is equal to 150% of the target number of PRSUs granted under the 2022 TSR PRSU Award (subject to the total 2x Limit cap discussed under “Performance-based RSUs Granted in Fiscal 2022”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any measurement date, the number of PRSUs under a 2022 TSR PRSU Award that are considered banked through such date will equal the product of the Payout Factor determined based on the greatest rTSR CAGR achieved during the Performance Period through such date, and the target number of PRSUs subject to the 2022 TSR PRSU Award. Accordingly, once PRSUs under a 2022 TSR PRSU Award become banked on a measurement date (due to achievement of a particular rTSR CAGR level), additional PRSUs can become banked only if a greater rTSR CAGR level is achieved on a later measurement date. Such additional PRSUs banked, if any, will be equal to the excess of the Payout Factor determined using the new, greater rTSR CAGR achieved, over the Payout Factor determined using the next greatest rTSR CAGR previously achieved, multiplied by the target PRSUs subject to the 2022 TSR PRSU Award. Following completion of each of fiscal 2023 and 2024, the Compensation Committee will certify the extent of achievement of the Payout Factors as set forth above during fiscal 2023 and 2024, respectively (an “rTSR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the date of the first rTSR Certification (following fiscal 2023), 50% of any PRSUs that have been certified as banked through the date of such rTSR Certification will vest. On the date of the second rTSR Certification (following fiscal 2024), the remaining 50% of PRSUs that were certified as banked upon the first rTSR Certification, and 100% of any additional PRSUs that are certified as banked for achievement of a greater Payout Factor during the remainder of the Performance Period after the first rTSR Certification, will vest. If a Named Executive Officer terminates employment with the Company for any reason other than a termination by the Company for cause, any banked shares also will continue to vest on the vesting schedule described above. No further PRSUs under the 2022 TSR PRSU Award will vest following a Named Executive Officer’s termination for cause. For purposes of the 2022 TSR PRSU Award, cause is as defined in the agreement between a Named Executive Officer and the Company governing the terms of such Named Executive Officer’s employment or termination thereof, or if not so defined, as defined in the equity incentive plan under which the award was granted.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 PRSUs Achievement</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measurement periods for the 2022 NAND PRSU Awards and the 2022 TSR PRSU Award do not begin until fiscal 2023. Accordingly, no shares were banked during fiscal 2022 under the 2022 PRSU Awards.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PRSUs Achievement</w:t>
      </w:r>
    </w:p>
    <w:p>
      <w:pPr>
        <w:spacing w:after="0" w:line="2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fiscal 2021, the Compensation Committee awarded PRSUs under performance metrics that measure relative TSR growth (the “2021 TSR PRSU Award”) and the percentage of bits shipped as part of certain high value solutions (the “2021 High-Value Solutions PRSU Award” and, together with the 2021 TSR PRSU Award, the “2021 PRSU Awards”), with the 2021 TSR PRSU Award and the 2021 High-Value Solutions PRSU Award each representing 50% of the total target PRSU opportunity for each Named Executive Officer. Mr. Murphy joined the Company in April 2022 and, as a result, did not receive any 2021 PRSU Awards. In October 2022, the Compensation Committee reviewed the Company’s performance relative to the 2021 PRSU Award metrics, applied the applicable 2021 Payout Factors, and certified that the following shares had been banked by our Named Executive Officers (other than Mr. Murphy) under the 2021 PRSU Awards:</w:t>
      </w: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676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Total Shares Banked for Fiscal 2022</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0090DA"/>
            </w:tcBorders>
          </w:tcPr>
          <w:p>
            <w:pPr>
              <w:spacing w:after="0"/>
              <w:rPr>
                <w:sz w:val="20"/>
                <w:szCs w:val="20"/>
                <w:color w:val="auto"/>
              </w:rPr>
            </w:pPr>
          </w:p>
        </w:tc>
        <w:tc>
          <w:tcPr>
            <w:tcW w:w="6760" w:type="dxa"/>
            <w:vAlign w:val="bottom"/>
            <w:tcBorders>
              <w:bottom w:val="single" w:sz="8" w:color="0090DA"/>
            </w:tcBorders>
            <w:gridSpan w:val="2"/>
          </w:tcPr>
          <w:p>
            <w:pPr>
              <w:jc w:val="right"/>
              <w:ind w:right="50"/>
              <w:spacing w:after="0"/>
              <w:rPr>
                <w:sz w:val="20"/>
                <w:szCs w:val="20"/>
                <w:color w:val="auto"/>
              </w:rPr>
            </w:pPr>
            <w:r>
              <w:rPr>
                <w:rFonts w:ascii="Arial" w:cs="Arial" w:eastAsia="Arial" w:hAnsi="Arial"/>
                <w:sz w:val="18"/>
                <w:szCs w:val="18"/>
                <w:b w:val="1"/>
                <w:bCs w:val="1"/>
                <w:color w:val="auto"/>
              </w:rPr>
              <w:t>Performance under 2021 TSR PRSU Award</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 TSR PRSU Award</w:t>
            </w:r>
          </w:p>
        </w:tc>
        <w:tc>
          <w:tcPr>
            <w:tcW w:w="4580" w:type="dxa"/>
            <w:vAlign w:val="bottom"/>
            <w:shd w:val="clear" w:color="auto" w:fill="D1D2D4"/>
          </w:tcPr>
          <w:p>
            <w:pPr>
              <w:spacing w:after="0"/>
              <w:rPr>
                <w:sz w:val="19"/>
                <w:szCs w:val="19"/>
                <w:color w:val="auto"/>
              </w:rPr>
            </w:pP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164,674</w:t>
            </w:r>
          </w:p>
        </w:tc>
        <w:tc>
          <w:tcPr>
            <w:tcW w:w="0" w:type="dxa"/>
            <w:vAlign w:val="bottom"/>
          </w:tcPr>
          <w:p>
            <w:pPr>
              <w:spacing w:after="0"/>
              <w:rPr>
                <w:sz w:val="1"/>
                <w:szCs w:val="1"/>
                <w:color w:val="auto"/>
              </w:rPr>
            </w:pPr>
          </w:p>
        </w:tc>
      </w:tr>
      <w:tr>
        <w:trPr>
          <w:trHeight w:val="540"/>
        </w:trPr>
        <w:tc>
          <w:tcPr>
            <w:tcW w:w="4480" w:type="dxa"/>
            <w:vAlign w:val="bottom"/>
          </w:tcPr>
          <w:p>
            <w:pPr>
              <w:spacing w:after="0"/>
              <w:rPr>
                <w:sz w:val="24"/>
                <w:szCs w:val="24"/>
                <w:color w:val="auto"/>
              </w:rPr>
            </w:pPr>
          </w:p>
        </w:tc>
        <w:tc>
          <w:tcPr>
            <w:tcW w:w="4580" w:type="dxa"/>
            <w:vAlign w:val="bottom"/>
          </w:tcPr>
          <w:p>
            <w:pPr>
              <w:jc w:val="center"/>
              <w:ind w:left="2170"/>
              <w:spacing w:after="0"/>
              <w:rPr>
                <w:sz w:val="20"/>
                <w:szCs w:val="20"/>
                <w:color w:val="auto"/>
              </w:rPr>
            </w:pPr>
            <w:r>
              <w:rPr>
                <w:rFonts w:ascii="Arial" w:cs="Arial" w:eastAsia="Arial" w:hAnsi="Arial"/>
                <w:sz w:val="18"/>
                <w:szCs w:val="18"/>
                <w:b w:val="1"/>
                <w:bCs w:val="1"/>
                <w:color w:val="auto"/>
              </w:rPr>
              <w:t>Shares Banked for Fiscal</w:t>
            </w:r>
          </w:p>
        </w:tc>
        <w:tc>
          <w:tcPr>
            <w:tcW w:w="2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Shares Vested under</w:t>
            </w:r>
          </w:p>
        </w:tc>
        <w:tc>
          <w:tcPr>
            <w:tcW w:w="0" w:type="dxa"/>
            <w:vAlign w:val="bottom"/>
          </w:tcPr>
          <w:p>
            <w:pPr>
              <w:spacing w:after="0"/>
              <w:rPr>
                <w:sz w:val="1"/>
                <w:szCs w:val="1"/>
                <w:color w:val="auto"/>
              </w:rPr>
            </w:pPr>
          </w:p>
        </w:tc>
      </w:tr>
      <w:tr>
        <w:trPr>
          <w:trHeight w:val="176"/>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580" w:type="dxa"/>
            <w:vAlign w:val="bottom"/>
          </w:tcPr>
          <w:p>
            <w:pPr>
              <w:jc w:val="center"/>
              <w:ind w:left="2150"/>
              <w:spacing w:after="0" w:line="176" w:lineRule="exact"/>
              <w:rPr>
                <w:sz w:val="20"/>
                <w:szCs w:val="20"/>
                <w:color w:val="auto"/>
              </w:rPr>
            </w:pPr>
            <w:r>
              <w:rPr>
                <w:rFonts w:ascii="Arial" w:cs="Arial" w:eastAsia="Arial" w:hAnsi="Arial"/>
                <w:sz w:val="18"/>
                <w:szCs w:val="18"/>
                <w:b w:val="1"/>
                <w:bCs w:val="1"/>
                <w:color w:val="auto"/>
                <w:w w:val="99"/>
              </w:rPr>
              <w:t>2022 Performance under</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0090DA"/>
            </w:tcBorders>
            <w:vMerge w:val="continue"/>
          </w:tcPr>
          <w:p>
            <w:pPr>
              <w:spacing w:after="0"/>
              <w:rPr>
                <w:sz w:val="21"/>
                <w:szCs w:val="21"/>
                <w:color w:val="auto"/>
              </w:rPr>
            </w:pPr>
          </w:p>
        </w:tc>
        <w:tc>
          <w:tcPr>
            <w:tcW w:w="4580" w:type="dxa"/>
            <w:vAlign w:val="bottom"/>
            <w:tcBorders>
              <w:bottom w:val="single" w:sz="8" w:color="0090DA"/>
            </w:tcBorders>
          </w:tcPr>
          <w:p>
            <w:pPr>
              <w:jc w:val="center"/>
              <w:ind w:left="2170"/>
              <w:spacing w:after="0"/>
              <w:rPr>
                <w:sz w:val="20"/>
                <w:szCs w:val="20"/>
                <w:color w:val="auto"/>
              </w:rPr>
            </w:pPr>
            <w:r>
              <w:rPr>
                <w:rFonts w:ascii="Arial" w:cs="Arial" w:eastAsia="Arial" w:hAnsi="Arial"/>
                <w:sz w:val="18"/>
                <w:szCs w:val="18"/>
                <w:b w:val="1"/>
                <w:bCs w:val="1"/>
                <w:color w:val="auto"/>
                <w:w w:val="99"/>
              </w:rPr>
              <w:t>2021 TSR PRSU Award</w:t>
            </w:r>
          </w:p>
        </w:tc>
        <w:tc>
          <w:tcPr>
            <w:tcW w:w="218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2021 TSR PRSU Award</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5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69,221</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22,450</w:t>
            </w:r>
          </w:p>
        </w:tc>
        <w:tc>
          <w:tcPr>
            <w:tcW w:w="218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3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Michael W. Bokan</w:t>
            </w:r>
          </w:p>
        </w:tc>
        <w:tc>
          <w:tcPr>
            <w:tcW w:w="45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13,096</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18,708</w:t>
            </w:r>
          </w:p>
        </w:tc>
        <w:tc>
          <w:tcPr>
            <w:tcW w:w="2180" w:type="dxa"/>
            <w:vAlign w:val="bottom"/>
          </w:tcPr>
          <w:p>
            <w:pPr>
              <w:jc w:val="right"/>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29"/>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45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24,321</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David A. Zinsner(1)</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16,878</w:t>
            </w:r>
          </w:p>
        </w:tc>
        <w:tc>
          <w:tcPr>
            <w:tcW w:w="2180" w:type="dxa"/>
            <w:vAlign w:val="bottom"/>
          </w:tcPr>
          <w:p>
            <w:pPr>
              <w:jc w:val="right"/>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40" w:right="300" w:hanging="332"/>
        <w:spacing w:after="0" w:line="271" w:lineRule="auto"/>
        <w:tabs>
          <w:tab w:leader="none" w:pos="3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Zinsner’s banked shares under the 2021 TSR PRSU Award for fiscal 2022 performance prior to his resignation from the Company effective as of January 10,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64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Total Shares Banked for Fiscal 2022</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6480" w:type="dxa"/>
            <w:vAlign w:val="bottom"/>
            <w:gridSpan w:val="2"/>
          </w:tcPr>
          <w:p>
            <w:pPr>
              <w:jc w:val="center"/>
              <w:ind w:left="2470"/>
              <w:spacing w:after="0" w:line="181" w:lineRule="exact"/>
              <w:rPr>
                <w:sz w:val="20"/>
                <w:szCs w:val="20"/>
                <w:color w:val="auto"/>
              </w:rPr>
            </w:pPr>
            <w:r>
              <w:rPr>
                <w:rFonts w:ascii="Arial" w:cs="Arial" w:eastAsia="Arial" w:hAnsi="Arial"/>
                <w:sz w:val="18"/>
                <w:szCs w:val="18"/>
                <w:b w:val="1"/>
                <w:bCs w:val="1"/>
                <w:color w:val="auto"/>
                <w:w w:val="99"/>
              </w:rPr>
              <w:t>Performance under 2021 High-Value</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90DA"/>
            </w:tcBorders>
          </w:tcPr>
          <w:p>
            <w:pPr>
              <w:spacing w:after="0"/>
              <w:rPr>
                <w:sz w:val="19"/>
                <w:szCs w:val="19"/>
                <w:color w:val="auto"/>
              </w:rPr>
            </w:pPr>
          </w:p>
        </w:tc>
        <w:tc>
          <w:tcPr>
            <w:tcW w:w="6480" w:type="dxa"/>
            <w:vAlign w:val="bottom"/>
            <w:tcBorders>
              <w:bottom w:val="single" w:sz="8" w:color="0090DA"/>
            </w:tcBorders>
            <w:gridSpan w:val="2"/>
          </w:tcPr>
          <w:p>
            <w:pPr>
              <w:jc w:val="center"/>
              <w:ind w:left="2450"/>
              <w:spacing w:after="0"/>
              <w:rPr>
                <w:sz w:val="20"/>
                <w:szCs w:val="20"/>
                <w:color w:val="auto"/>
              </w:rPr>
            </w:pPr>
            <w:r>
              <w:rPr>
                <w:rFonts w:ascii="Arial" w:cs="Arial" w:eastAsia="Arial" w:hAnsi="Arial"/>
                <w:sz w:val="18"/>
                <w:szCs w:val="18"/>
                <w:b w:val="1"/>
                <w:bCs w:val="1"/>
                <w:color w:val="auto"/>
                <w:w w:val="99"/>
              </w:rPr>
              <w:t>Solutions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2021 High-Value Solutions Award</w:t>
            </w:r>
          </w:p>
        </w:tc>
        <w:tc>
          <w:tcPr>
            <w:tcW w:w="4300" w:type="dxa"/>
            <w:vAlign w:val="bottom"/>
            <w:shd w:val="clear" w:color="auto" w:fill="D1D2D4"/>
          </w:tcPr>
          <w:p>
            <w:pPr>
              <w:spacing w:after="0"/>
              <w:rPr>
                <w:sz w:val="19"/>
                <w:szCs w:val="19"/>
                <w:color w:val="auto"/>
              </w:rPr>
            </w:pP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380,244</w:t>
            </w:r>
          </w:p>
        </w:tc>
        <w:tc>
          <w:tcPr>
            <w:tcW w:w="0" w:type="dxa"/>
            <w:vAlign w:val="bottom"/>
          </w:tcPr>
          <w:p>
            <w:pPr>
              <w:spacing w:after="0"/>
              <w:rPr>
                <w:sz w:val="1"/>
                <w:szCs w:val="1"/>
                <w:color w:val="auto"/>
              </w:rPr>
            </w:pPr>
          </w:p>
        </w:tc>
      </w:tr>
      <w:tr>
        <w:trPr>
          <w:trHeight w:val="783"/>
        </w:trPr>
        <w:tc>
          <w:tcPr>
            <w:tcW w:w="4760" w:type="dxa"/>
            <w:vAlign w:val="bottom"/>
          </w:tcPr>
          <w:p>
            <w:pPr>
              <w:spacing w:after="0"/>
              <w:rPr>
                <w:sz w:val="24"/>
                <w:szCs w:val="24"/>
                <w:color w:val="auto"/>
              </w:rPr>
            </w:pPr>
          </w:p>
        </w:tc>
        <w:tc>
          <w:tcPr>
            <w:tcW w:w="4300" w:type="dxa"/>
            <w:vAlign w:val="bottom"/>
          </w:tcPr>
          <w:p>
            <w:pPr>
              <w:jc w:val="center"/>
              <w:ind w:left="1890"/>
              <w:spacing w:after="0"/>
              <w:rPr>
                <w:sz w:val="20"/>
                <w:szCs w:val="20"/>
                <w:color w:val="auto"/>
              </w:rPr>
            </w:pPr>
            <w:r>
              <w:rPr>
                <w:rFonts w:ascii="Arial" w:cs="Arial" w:eastAsia="Arial" w:hAnsi="Arial"/>
                <w:sz w:val="18"/>
                <w:szCs w:val="18"/>
                <w:b w:val="1"/>
                <w:bCs w:val="1"/>
                <w:color w:val="auto"/>
              </w:rPr>
              <w:t>Shares Banked for Fiscal</w:t>
            </w: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Shares Vested under</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4300" w:type="dxa"/>
            <w:vAlign w:val="bottom"/>
          </w:tcPr>
          <w:p>
            <w:pPr>
              <w:jc w:val="center"/>
              <w:ind w:left="1870"/>
              <w:spacing w:after="0" w:line="176" w:lineRule="exact"/>
              <w:rPr>
                <w:sz w:val="20"/>
                <w:szCs w:val="20"/>
                <w:color w:val="auto"/>
              </w:rPr>
            </w:pPr>
            <w:r>
              <w:rPr>
                <w:rFonts w:ascii="Arial" w:cs="Arial" w:eastAsia="Arial" w:hAnsi="Arial"/>
                <w:sz w:val="18"/>
                <w:szCs w:val="18"/>
                <w:b w:val="1"/>
                <w:bCs w:val="1"/>
                <w:color w:val="auto"/>
                <w:w w:val="99"/>
              </w:rPr>
              <w:t>2022 Performance under</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300" w:type="dxa"/>
            <w:vAlign w:val="bottom"/>
          </w:tcPr>
          <w:p>
            <w:pPr>
              <w:jc w:val="center"/>
              <w:ind w:left="1870"/>
              <w:spacing w:after="0" w:line="189" w:lineRule="exact"/>
              <w:rPr>
                <w:sz w:val="20"/>
                <w:szCs w:val="20"/>
                <w:color w:val="auto"/>
              </w:rPr>
            </w:pPr>
            <w:r>
              <w:rPr>
                <w:rFonts w:ascii="Arial" w:cs="Arial" w:eastAsia="Arial" w:hAnsi="Arial"/>
                <w:sz w:val="18"/>
                <w:szCs w:val="18"/>
                <w:b w:val="1"/>
                <w:bCs w:val="1"/>
                <w:color w:val="auto"/>
                <w:w w:val="99"/>
              </w:rPr>
              <w:t>2021 High-Value</w:t>
            </w:r>
          </w:p>
        </w:tc>
        <w:tc>
          <w:tcPr>
            <w:tcW w:w="21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2021 High-Value</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90DA"/>
            </w:tcBorders>
            <w:vMerge w:val="continue"/>
          </w:tcPr>
          <w:p>
            <w:pPr>
              <w:spacing w:after="0"/>
              <w:rPr>
                <w:sz w:val="19"/>
                <w:szCs w:val="19"/>
                <w:color w:val="auto"/>
              </w:rPr>
            </w:pPr>
          </w:p>
        </w:tc>
        <w:tc>
          <w:tcPr>
            <w:tcW w:w="4300" w:type="dxa"/>
            <w:vAlign w:val="bottom"/>
            <w:tcBorders>
              <w:bottom w:val="single" w:sz="8" w:color="0090DA"/>
            </w:tcBorders>
          </w:tcPr>
          <w:p>
            <w:pPr>
              <w:jc w:val="center"/>
              <w:ind w:left="1890"/>
              <w:spacing w:after="0"/>
              <w:rPr>
                <w:sz w:val="20"/>
                <w:szCs w:val="20"/>
                <w:color w:val="auto"/>
              </w:rPr>
            </w:pPr>
            <w:r>
              <w:rPr>
                <w:rFonts w:ascii="Arial" w:cs="Arial" w:eastAsia="Arial" w:hAnsi="Arial"/>
                <w:sz w:val="18"/>
                <w:szCs w:val="18"/>
                <w:b w:val="1"/>
                <w:bCs w:val="1"/>
                <w:color w:val="auto"/>
                <w:w w:val="99"/>
              </w:rPr>
              <w:t>Solutions PRSU Award</w:t>
            </w:r>
          </w:p>
        </w:tc>
        <w:tc>
          <w:tcPr>
            <w:tcW w:w="218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Solutions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178,090</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89,045</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4300" w:type="dxa"/>
            <w:vAlign w:val="bottom"/>
          </w:tcPr>
          <w:p>
            <w:pPr>
              <w:jc w:val="right"/>
              <w:ind w:right="30"/>
              <w:spacing w:after="0"/>
              <w:rPr>
                <w:sz w:val="20"/>
                <w:szCs w:val="20"/>
                <w:color w:val="auto"/>
              </w:rPr>
            </w:pPr>
            <w:r>
              <w:rPr>
                <w:rFonts w:ascii="Arial" w:cs="Arial" w:eastAsia="Arial" w:hAnsi="Arial"/>
                <w:sz w:val="18"/>
                <w:szCs w:val="18"/>
                <w:color w:val="auto"/>
              </w:rPr>
              <w:t>57,758</w:t>
            </w:r>
          </w:p>
        </w:tc>
        <w:tc>
          <w:tcPr>
            <w:tcW w:w="2180" w:type="dxa"/>
            <w:vAlign w:val="bottom"/>
          </w:tcPr>
          <w:p>
            <w:pPr>
              <w:jc w:val="right"/>
              <w:spacing w:after="0"/>
              <w:rPr>
                <w:sz w:val="20"/>
                <w:szCs w:val="20"/>
                <w:color w:val="auto"/>
              </w:rPr>
            </w:pPr>
            <w:r>
              <w:rPr>
                <w:rFonts w:ascii="Arial" w:cs="Arial" w:eastAsia="Arial" w:hAnsi="Arial"/>
                <w:sz w:val="18"/>
                <w:szCs w:val="18"/>
                <w:color w:val="auto"/>
              </w:rPr>
              <w:t>28,879</w:t>
            </w:r>
          </w:p>
        </w:tc>
        <w:tc>
          <w:tcPr>
            <w:tcW w:w="0" w:type="dxa"/>
            <w:vAlign w:val="bottom"/>
          </w:tcPr>
          <w:p>
            <w:pPr>
              <w:spacing w:after="0"/>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Michael W. Bokan</w:t>
            </w:r>
          </w:p>
        </w:tc>
        <w:tc>
          <w:tcPr>
            <w:tcW w:w="4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33,692</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16,846</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300" w:type="dxa"/>
            <w:vAlign w:val="bottom"/>
          </w:tcPr>
          <w:p>
            <w:pPr>
              <w:jc w:val="right"/>
              <w:ind w:right="30"/>
              <w:spacing w:after="0"/>
              <w:rPr>
                <w:sz w:val="20"/>
                <w:szCs w:val="20"/>
                <w:color w:val="auto"/>
              </w:rPr>
            </w:pPr>
            <w:r>
              <w:rPr>
                <w:rFonts w:ascii="Arial" w:cs="Arial" w:eastAsia="Arial" w:hAnsi="Arial"/>
                <w:sz w:val="18"/>
                <w:szCs w:val="18"/>
                <w:color w:val="auto"/>
              </w:rPr>
              <w:t>48,132</w:t>
            </w:r>
          </w:p>
        </w:tc>
        <w:tc>
          <w:tcPr>
            <w:tcW w:w="2180" w:type="dxa"/>
            <w:vAlign w:val="bottom"/>
          </w:tcPr>
          <w:p>
            <w:pPr>
              <w:jc w:val="right"/>
              <w:spacing w:after="0"/>
              <w:rPr>
                <w:sz w:val="20"/>
                <w:szCs w:val="20"/>
                <w:color w:val="auto"/>
              </w:rPr>
            </w:pPr>
            <w:r>
              <w:rPr>
                <w:rFonts w:ascii="Arial" w:cs="Arial" w:eastAsia="Arial" w:hAnsi="Arial"/>
                <w:sz w:val="18"/>
                <w:szCs w:val="18"/>
                <w:color w:val="auto"/>
              </w:rPr>
              <w:t>24,066</w:t>
            </w:r>
          </w:p>
        </w:tc>
        <w:tc>
          <w:tcPr>
            <w:tcW w:w="0" w:type="dxa"/>
            <w:vAlign w:val="bottom"/>
          </w:tcPr>
          <w:p>
            <w:pPr>
              <w:spacing w:after="0"/>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43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62,572</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31,286</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Arial" w:cs="Arial" w:eastAsia="Arial" w:hAnsi="Arial"/>
                <w:sz w:val="18"/>
                <w:szCs w:val="18"/>
                <w:color w:val="auto"/>
              </w:rPr>
              <w:t>David A. Zinsner(1)</w:t>
            </w:r>
          </w:p>
        </w:tc>
        <w:tc>
          <w:tcPr>
            <w:tcW w:w="4300" w:type="dxa"/>
            <w:vAlign w:val="bottom"/>
          </w:tcPr>
          <w:p>
            <w:pPr>
              <w:jc w:val="right"/>
              <w:spacing w:after="0"/>
              <w:rPr>
                <w:sz w:val="20"/>
                <w:szCs w:val="20"/>
                <w:color w:val="auto"/>
              </w:rPr>
            </w:pPr>
            <w:r>
              <w:rPr>
                <w:rFonts w:ascii="Arial" w:cs="Arial" w:eastAsia="Arial" w:hAnsi="Arial"/>
                <w:sz w:val="18"/>
                <w:szCs w:val="18"/>
                <w:color w:val="auto"/>
              </w:rPr>
              <w:t>N/A</w:t>
            </w:r>
          </w:p>
        </w:tc>
        <w:tc>
          <w:tcPr>
            <w:tcW w:w="21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 Mr. Zinsner’s award was forfeited due to his resignation from the Company effective as of January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PRSUs Achievement</w:t>
      </w:r>
    </w:p>
    <w:p>
      <w:pPr>
        <w:spacing w:after="0" w:line="2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fiscal 2020, the Compensation Committee awarded PRSUs under performance metrics that measure relative TSR growth (the “2020 TSR PRSU Award”) and the percentage of bits shipped as part of certain high value solutions (the “2020 High-Value Solutions PRSU Award” and, together with the 2020 TSR PRSU Award, the “2020 PRSU Awards”), with the 2020 TSR PRSU Award and the 2020 High-Value Solutions PRSU Award each representing 50% of the total target PRSU opportunity for each Named Executive Officer. Mr. Murphy joined the Company in April 2022 and, as a result, did not receive any 2020 PRSU Awards. In October 2022, the Compensation Committee reviewed the Company’s performance relative to the 2020 PRSU Award metrics, applied the applicable 2020 Payout Factors, and certified that the following shares had been banked by our Named Executive Officers (other than Mr. Murphy) under the 2020 PRSU Awards: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64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Total Shares Banked for Fiscal 2022</w:t>
            </w:r>
          </w:p>
        </w:tc>
        <w:tc>
          <w:tcPr>
            <w:tcW w:w="0" w:type="dxa"/>
            <w:vAlign w:val="bottom"/>
          </w:tcPr>
          <w:p>
            <w:pPr>
              <w:spacing w:after="0"/>
              <w:rPr>
                <w:sz w:val="1"/>
                <w:szCs w:val="1"/>
                <w:color w:val="auto"/>
              </w:rPr>
            </w:pPr>
          </w:p>
        </w:tc>
      </w:tr>
      <w:tr>
        <w:trPr>
          <w:trHeight w:val="235"/>
        </w:trPr>
        <w:tc>
          <w:tcPr>
            <w:tcW w:w="4760" w:type="dxa"/>
            <w:vAlign w:val="bottom"/>
            <w:tcBorders>
              <w:bottom w:val="single" w:sz="8" w:color="0090DA"/>
            </w:tcBorders>
          </w:tcPr>
          <w:p>
            <w:pPr>
              <w:spacing w:after="0"/>
              <w:rPr>
                <w:sz w:val="20"/>
                <w:szCs w:val="20"/>
                <w:color w:val="auto"/>
              </w:rPr>
            </w:pPr>
          </w:p>
        </w:tc>
        <w:tc>
          <w:tcPr>
            <w:tcW w:w="6480" w:type="dxa"/>
            <w:vAlign w:val="bottom"/>
            <w:tcBorders>
              <w:bottom w:val="single" w:sz="8" w:color="0090DA"/>
            </w:tcBorders>
            <w:gridSpan w:val="2"/>
          </w:tcPr>
          <w:p>
            <w:pPr>
              <w:jc w:val="center"/>
              <w:ind w:left="2450"/>
              <w:spacing w:after="0"/>
              <w:rPr>
                <w:sz w:val="20"/>
                <w:szCs w:val="20"/>
                <w:color w:val="auto"/>
              </w:rPr>
            </w:pPr>
            <w:r>
              <w:rPr>
                <w:rFonts w:ascii="Arial" w:cs="Arial" w:eastAsia="Arial" w:hAnsi="Arial"/>
                <w:sz w:val="18"/>
                <w:szCs w:val="18"/>
                <w:b w:val="1"/>
                <w:bCs w:val="1"/>
                <w:color w:val="auto"/>
                <w:w w:val="99"/>
              </w:rPr>
              <w:t>Performance under 2020 TSR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2020 TSR PRSU Award</w:t>
            </w:r>
          </w:p>
        </w:tc>
        <w:tc>
          <w:tcPr>
            <w:tcW w:w="4300" w:type="dxa"/>
            <w:vAlign w:val="bottom"/>
            <w:shd w:val="clear" w:color="auto" w:fill="D1D2D4"/>
          </w:tcPr>
          <w:p>
            <w:pPr>
              <w:spacing w:after="0"/>
              <w:rPr>
                <w:sz w:val="19"/>
                <w:szCs w:val="19"/>
                <w:color w:val="auto"/>
              </w:rPr>
            </w:pP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4760" w:type="dxa"/>
            <w:vAlign w:val="bottom"/>
          </w:tcPr>
          <w:p>
            <w:pPr>
              <w:spacing w:after="0"/>
              <w:rPr>
                <w:sz w:val="24"/>
                <w:szCs w:val="24"/>
                <w:color w:val="auto"/>
              </w:rPr>
            </w:pPr>
          </w:p>
        </w:tc>
        <w:tc>
          <w:tcPr>
            <w:tcW w:w="4300" w:type="dxa"/>
            <w:vAlign w:val="bottom"/>
          </w:tcPr>
          <w:p>
            <w:pPr>
              <w:jc w:val="center"/>
              <w:ind w:left="1890"/>
              <w:spacing w:after="0"/>
              <w:rPr>
                <w:sz w:val="20"/>
                <w:szCs w:val="20"/>
                <w:color w:val="auto"/>
              </w:rPr>
            </w:pPr>
            <w:r>
              <w:rPr>
                <w:rFonts w:ascii="Arial" w:cs="Arial" w:eastAsia="Arial" w:hAnsi="Arial"/>
                <w:sz w:val="18"/>
                <w:szCs w:val="18"/>
                <w:b w:val="1"/>
                <w:bCs w:val="1"/>
                <w:color w:val="auto"/>
              </w:rPr>
              <w:t>Shares Banked for Fiscal</w:t>
            </w: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Shares Vested under</w:t>
            </w:r>
          </w:p>
        </w:tc>
        <w:tc>
          <w:tcPr>
            <w:tcW w:w="0" w:type="dxa"/>
            <w:vAlign w:val="bottom"/>
          </w:tcPr>
          <w:p>
            <w:pPr>
              <w:spacing w:after="0"/>
              <w:rPr>
                <w:sz w:val="1"/>
                <w:szCs w:val="1"/>
                <w:color w:val="auto"/>
              </w:rPr>
            </w:pPr>
          </w:p>
        </w:tc>
      </w:tr>
      <w:tr>
        <w:trPr>
          <w:trHeight w:val="17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300" w:type="dxa"/>
            <w:vAlign w:val="bottom"/>
          </w:tcPr>
          <w:p>
            <w:pPr>
              <w:jc w:val="center"/>
              <w:ind w:left="1870"/>
              <w:spacing w:after="0" w:line="176" w:lineRule="exact"/>
              <w:rPr>
                <w:sz w:val="20"/>
                <w:szCs w:val="20"/>
                <w:color w:val="auto"/>
              </w:rPr>
            </w:pPr>
            <w:r>
              <w:rPr>
                <w:rFonts w:ascii="Arial" w:cs="Arial" w:eastAsia="Arial" w:hAnsi="Arial"/>
                <w:sz w:val="18"/>
                <w:szCs w:val="18"/>
                <w:b w:val="1"/>
                <w:bCs w:val="1"/>
                <w:color w:val="auto"/>
                <w:w w:val="99"/>
              </w:rPr>
              <w:t>2022 Performance under</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0090DA"/>
            </w:tcBorders>
            <w:vMerge w:val="continue"/>
          </w:tcPr>
          <w:p>
            <w:pPr>
              <w:spacing w:after="0"/>
              <w:rPr>
                <w:sz w:val="21"/>
                <w:szCs w:val="21"/>
                <w:color w:val="auto"/>
              </w:rPr>
            </w:pPr>
          </w:p>
        </w:tc>
        <w:tc>
          <w:tcPr>
            <w:tcW w:w="4300" w:type="dxa"/>
            <w:vAlign w:val="bottom"/>
            <w:tcBorders>
              <w:bottom w:val="single" w:sz="8" w:color="0090DA"/>
            </w:tcBorders>
          </w:tcPr>
          <w:p>
            <w:pPr>
              <w:jc w:val="center"/>
              <w:ind w:left="1890"/>
              <w:spacing w:after="0"/>
              <w:rPr>
                <w:sz w:val="20"/>
                <w:szCs w:val="20"/>
                <w:color w:val="auto"/>
              </w:rPr>
            </w:pPr>
            <w:r>
              <w:rPr>
                <w:rFonts w:ascii="Arial" w:cs="Arial" w:eastAsia="Arial" w:hAnsi="Arial"/>
                <w:sz w:val="18"/>
                <w:szCs w:val="18"/>
                <w:b w:val="1"/>
                <w:bCs w:val="1"/>
                <w:color w:val="auto"/>
                <w:w w:val="99"/>
              </w:rPr>
              <w:t>2020 TSR PRSU Award</w:t>
            </w:r>
          </w:p>
        </w:tc>
        <w:tc>
          <w:tcPr>
            <w:tcW w:w="218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 TSR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29"/>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Michael W. Bokan</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774"/>
        </w:trPr>
        <w:tc>
          <w:tcPr>
            <w:tcW w:w="4760" w:type="dxa"/>
            <w:vAlign w:val="bottom"/>
          </w:tcPr>
          <w:p>
            <w:pPr>
              <w:spacing w:after="0"/>
              <w:rPr>
                <w:sz w:val="24"/>
                <w:szCs w:val="24"/>
                <w:color w:val="auto"/>
              </w:rPr>
            </w:pPr>
          </w:p>
        </w:tc>
        <w:tc>
          <w:tcPr>
            <w:tcW w:w="648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Total Shares Banked for Fiscal 2022</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6480" w:type="dxa"/>
            <w:vAlign w:val="bottom"/>
            <w:gridSpan w:val="2"/>
          </w:tcPr>
          <w:p>
            <w:pPr>
              <w:jc w:val="center"/>
              <w:ind w:left="2470"/>
              <w:spacing w:after="0" w:line="176" w:lineRule="exact"/>
              <w:rPr>
                <w:sz w:val="20"/>
                <w:szCs w:val="20"/>
                <w:color w:val="auto"/>
              </w:rPr>
            </w:pPr>
            <w:r>
              <w:rPr>
                <w:rFonts w:ascii="Arial" w:cs="Arial" w:eastAsia="Arial" w:hAnsi="Arial"/>
                <w:sz w:val="18"/>
                <w:szCs w:val="18"/>
                <w:b w:val="1"/>
                <w:bCs w:val="1"/>
                <w:color w:val="auto"/>
                <w:w w:val="99"/>
              </w:rPr>
              <w:t>Performance under 2020 High-Value</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0090DA"/>
            </w:tcBorders>
          </w:tcPr>
          <w:p>
            <w:pPr>
              <w:spacing w:after="0"/>
              <w:rPr>
                <w:sz w:val="21"/>
                <w:szCs w:val="21"/>
                <w:color w:val="auto"/>
              </w:rPr>
            </w:pPr>
          </w:p>
        </w:tc>
        <w:tc>
          <w:tcPr>
            <w:tcW w:w="6480" w:type="dxa"/>
            <w:vAlign w:val="bottom"/>
            <w:tcBorders>
              <w:bottom w:val="single" w:sz="8" w:color="0090DA"/>
            </w:tcBorders>
            <w:gridSpan w:val="2"/>
          </w:tcPr>
          <w:p>
            <w:pPr>
              <w:jc w:val="center"/>
              <w:ind w:left="2450"/>
              <w:spacing w:after="0"/>
              <w:rPr>
                <w:sz w:val="20"/>
                <w:szCs w:val="20"/>
                <w:color w:val="auto"/>
              </w:rPr>
            </w:pPr>
            <w:r>
              <w:rPr>
                <w:rFonts w:ascii="Arial" w:cs="Arial" w:eastAsia="Arial" w:hAnsi="Arial"/>
                <w:sz w:val="18"/>
                <w:szCs w:val="18"/>
                <w:b w:val="1"/>
                <w:bCs w:val="1"/>
                <w:color w:val="auto"/>
                <w:w w:val="99"/>
              </w:rPr>
              <w:t>Solutions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2020 High-Value Solutions Award</w:t>
            </w:r>
          </w:p>
        </w:tc>
        <w:tc>
          <w:tcPr>
            <w:tcW w:w="4300" w:type="dxa"/>
            <w:vAlign w:val="bottom"/>
            <w:shd w:val="clear" w:color="auto" w:fill="D1D2D4"/>
          </w:tcPr>
          <w:p>
            <w:pPr>
              <w:spacing w:after="0"/>
              <w:rPr>
                <w:sz w:val="19"/>
                <w:szCs w:val="19"/>
                <w:color w:val="auto"/>
              </w:rPr>
            </w:pP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8"/>
        </w:trPr>
        <w:tc>
          <w:tcPr>
            <w:tcW w:w="4760" w:type="dxa"/>
            <w:vAlign w:val="bottom"/>
          </w:tcPr>
          <w:p>
            <w:pPr>
              <w:spacing w:after="0"/>
              <w:rPr>
                <w:sz w:val="24"/>
                <w:szCs w:val="24"/>
                <w:color w:val="auto"/>
              </w:rPr>
            </w:pPr>
          </w:p>
        </w:tc>
        <w:tc>
          <w:tcPr>
            <w:tcW w:w="4300" w:type="dxa"/>
            <w:vAlign w:val="bottom"/>
          </w:tcPr>
          <w:p>
            <w:pPr>
              <w:jc w:val="center"/>
              <w:ind w:left="1890"/>
              <w:spacing w:after="0"/>
              <w:rPr>
                <w:sz w:val="20"/>
                <w:szCs w:val="20"/>
                <w:color w:val="auto"/>
              </w:rPr>
            </w:pPr>
            <w:r>
              <w:rPr>
                <w:rFonts w:ascii="Arial" w:cs="Arial" w:eastAsia="Arial" w:hAnsi="Arial"/>
                <w:sz w:val="18"/>
                <w:szCs w:val="18"/>
                <w:b w:val="1"/>
                <w:bCs w:val="1"/>
                <w:color w:val="auto"/>
              </w:rPr>
              <w:t>Shares Banked for Fiscal</w:t>
            </w: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Shares Vested under</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4300" w:type="dxa"/>
            <w:vAlign w:val="bottom"/>
          </w:tcPr>
          <w:p>
            <w:pPr>
              <w:jc w:val="center"/>
              <w:ind w:left="1870"/>
              <w:spacing w:after="0" w:line="181" w:lineRule="exact"/>
              <w:rPr>
                <w:sz w:val="20"/>
                <w:szCs w:val="20"/>
                <w:color w:val="auto"/>
              </w:rPr>
            </w:pPr>
            <w:r>
              <w:rPr>
                <w:rFonts w:ascii="Arial" w:cs="Arial" w:eastAsia="Arial" w:hAnsi="Arial"/>
                <w:sz w:val="18"/>
                <w:szCs w:val="18"/>
                <w:b w:val="1"/>
                <w:bCs w:val="1"/>
                <w:color w:val="auto"/>
                <w:w w:val="99"/>
              </w:rPr>
              <w:t>2022 Performance under</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4300" w:type="dxa"/>
            <w:vAlign w:val="bottom"/>
          </w:tcPr>
          <w:p>
            <w:pPr>
              <w:jc w:val="center"/>
              <w:ind w:left="1870"/>
              <w:spacing w:after="0" w:line="176" w:lineRule="exact"/>
              <w:rPr>
                <w:sz w:val="20"/>
                <w:szCs w:val="20"/>
                <w:color w:val="auto"/>
              </w:rPr>
            </w:pPr>
            <w:r>
              <w:rPr>
                <w:rFonts w:ascii="Arial" w:cs="Arial" w:eastAsia="Arial" w:hAnsi="Arial"/>
                <w:sz w:val="18"/>
                <w:szCs w:val="18"/>
                <w:b w:val="1"/>
                <w:bCs w:val="1"/>
                <w:color w:val="auto"/>
                <w:w w:val="99"/>
              </w:rPr>
              <w:t>2020 High-Value</w:t>
            </w: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2020 High-Value</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0090DA"/>
            </w:tcBorders>
            <w:vMerge w:val="continue"/>
          </w:tcPr>
          <w:p>
            <w:pPr>
              <w:spacing w:after="0"/>
              <w:rPr>
                <w:sz w:val="19"/>
                <w:szCs w:val="19"/>
                <w:color w:val="auto"/>
              </w:rPr>
            </w:pPr>
          </w:p>
        </w:tc>
        <w:tc>
          <w:tcPr>
            <w:tcW w:w="4300" w:type="dxa"/>
            <w:vAlign w:val="bottom"/>
            <w:tcBorders>
              <w:bottom w:val="single" w:sz="8" w:color="0090DA"/>
            </w:tcBorders>
          </w:tcPr>
          <w:p>
            <w:pPr>
              <w:jc w:val="center"/>
              <w:ind w:left="1890"/>
              <w:spacing w:after="0"/>
              <w:rPr>
                <w:sz w:val="20"/>
                <w:szCs w:val="20"/>
                <w:color w:val="auto"/>
              </w:rPr>
            </w:pPr>
            <w:r>
              <w:rPr>
                <w:rFonts w:ascii="Arial" w:cs="Arial" w:eastAsia="Arial" w:hAnsi="Arial"/>
                <w:sz w:val="18"/>
                <w:szCs w:val="18"/>
                <w:b w:val="1"/>
                <w:bCs w:val="1"/>
                <w:color w:val="auto"/>
                <w:w w:val="99"/>
              </w:rPr>
              <w:t>Solutions PRSU Award</w:t>
            </w:r>
          </w:p>
        </w:tc>
        <w:tc>
          <w:tcPr>
            <w:tcW w:w="218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Solutions PRSU Award</w:t>
            </w:r>
          </w:p>
        </w:tc>
        <w:tc>
          <w:tcPr>
            <w:tcW w:w="0" w:type="dxa"/>
            <w:vAlign w:val="bottom"/>
          </w:tcPr>
          <w:p>
            <w:pPr>
              <w:spacing w:after="0"/>
              <w:rPr>
                <w:sz w:val="1"/>
                <w:szCs w:val="1"/>
                <w:color w:val="auto"/>
              </w:rPr>
            </w:pPr>
          </w:p>
        </w:tc>
      </w:tr>
      <w:tr>
        <w:trPr>
          <w:trHeight w:val="34"/>
        </w:trPr>
        <w:tc>
          <w:tcPr>
            <w:tcW w:w="4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141,252</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47,084</w:t>
            </w:r>
          </w:p>
        </w:tc>
        <w:tc>
          <w:tcPr>
            <w:tcW w:w="0" w:type="dxa"/>
            <w:vAlign w:val="bottom"/>
          </w:tcPr>
          <w:p>
            <w:pPr>
              <w:spacing w:after="0"/>
              <w:rPr>
                <w:sz w:val="1"/>
                <w:szCs w:val="1"/>
                <w:color w:val="auto"/>
              </w:rPr>
            </w:pPr>
          </w:p>
        </w:tc>
      </w:tr>
      <w:tr>
        <w:trPr>
          <w:trHeight w:val="230"/>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Michael W. Bokan</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35,314</w:t>
            </w:r>
          </w:p>
        </w:tc>
        <w:tc>
          <w:tcPr>
            <w:tcW w:w="0" w:type="dxa"/>
            <w:vAlign w:val="bottom"/>
          </w:tcPr>
          <w:p>
            <w:pPr>
              <w:spacing w:after="0"/>
              <w:rPr>
                <w:sz w:val="1"/>
                <w:szCs w:val="1"/>
                <w:color w:val="auto"/>
              </w:rPr>
            </w:pPr>
          </w:p>
        </w:tc>
      </w:tr>
      <w:tr>
        <w:trPr>
          <w:trHeight w:val="229"/>
        </w:trPr>
        <w:tc>
          <w:tcPr>
            <w:tcW w:w="47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4300" w:type="dxa"/>
            <w:vAlign w:val="bottom"/>
            <w:shd w:val="clear" w:color="auto" w:fill="D1D2D4"/>
          </w:tcPr>
          <w:p>
            <w:pPr>
              <w:ind w:left="40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51,792</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4300" w:type="dxa"/>
            <w:vAlign w:val="bottom"/>
          </w:tcPr>
          <w:p>
            <w:pPr>
              <w:ind w:left="40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37,667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RSAs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Time-based restricted stock awards (“RSAs”) support retention and are linked to shareholder value and ownership. Annual RSAs granted in fiscal 2022 vest ratably over three years from the date of grant, subject to continued employment. In fiscal 2022, RSAs comprised 50% of the target value of the long-term incentive awards granted.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Fiscal 2022 Employee Benefits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participate in the same plans as our other employees. Executive perquisites are not considered to be material elements of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CEO Compensation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Compensation Committee considered peer compensation data presented to it in October 2021 and Market Data in setting Mr. Mehrotra’s target total direct compensation (i.e., the sum of base salary, target short-term incentive compensation, and target long-term incentive compensation) for fiscal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Mr. Mehrotra’s compensation is comprised of the following elements: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Mr. Mehrotra’s annual base salary for fiscal 2022 was $1,418,000.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Mr. Mehrotra’s short-term incentive target was 215% of his base salary for fiscal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w:t>
      </w:r>
    </w:p>
    <w:p>
      <w:pPr>
        <w:spacing w:after="0" w:line="25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Mr. Mehrotra’s long-term equity incentive compensation opportunity for fiscal 2022 was $23,500,000. Mr. Mehrotra’s equity awards were comprised of 50% time-based restricted stock and 50% performance-based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elements and amounts of Mr. Mehrotra’s long-term incentive awards: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2022 Awards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0090DA"/>
            </w:tcBorders>
            <w:vMerge w:val="continue"/>
          </w:tcPr>
          <w:p>
            <w:pPr>
              <w:spacing w:after="0"/>
              <w:rPr>
                <w:sz w:val="21"/>
                <w:szCs w:val="21"/>
                <w:color w:val="auto"/>
              </w:rPr>
            </w:pPr>
          </w:p>
        </w:tc>
        <w:tc>
          <w:tcPr>
            <w:tcW w:w="164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 Units(1)</w:t>
            </w:r>
          </w:p>
        </w:tc>
        <w:tc>
          <w:tcPr>
            <w:tcW w:w="180" w:type="dxa"/>
            <w:vAlign w:val="bottom"/>
            <w:tcBorders>
              <w:bottom w:val="single" w:sz="8" w:color="0090DA"/>
            </w:tcBorders>
          </w:tcPr>
          <w:p>
            <w:pPr>
              <w:spacing w:after="0"/>
              <w:rPr>
                <w:sz w:val="21"/>
                <w:szCs w:val="21"/>
                <w:color w:val="auto"/>
              </w:rPr>
            </w:pPr>
          </w:p>
        </w:tc>
        <w:tc>
          <w:tcPr>
            <w:tcW w:w="15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Value(1)</w:t>
            </w:r>
          </w:p>
        </w:tc>
        <w:tc>
          <w:tcPr>
            <w:tcW w:w="0" w:type="dxa"/>
            <w:vAlign w:val="bottom"/>
          </w:tcPr>
          <w:p>
            <w:pPr>
              <w:spacing w:after="0"/>
              <w:rPr>
                <w:sz w:val="1"/>
                <w:szCs w:val="1"/>
                <w:color w:val="auto"/>
              </w:rPr>
            </w:pPr>
          </w:p>
        </w:tc>
      </w:tr>
      <w:tr>
        <w:trPr>
          <w:trHeight w:val="34"/>
        </w:trPr>
        <w:tc>
          <w:tcPr>
            <w:tcW w:w="7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Time-based Restricted Stock</w:t>
            </w:r>
          </w:p>
        </w:tc>
        <w:tc>
          <w:tcPr>
            <w:tcW w:w="1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176,109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11,749,992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11,749,973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D1D2D4"/>
            </w:tcBorders>
            <w:shd w:val="clear" w:color="auto" w:fill="D1D2D4"/>
          </w:tcPr>
          <w:p>
            <w:pPr>
              <w:spacing w:after="0"/>
              <w:rPr>
                <w:sz w:val="21"/>
                <w:szCs w:val="21"/>
                <w:color w:val="auto"/>
              </w:rPr>
            </w:pPr>
          </w:p>
        </w:tc>
        <w:tc>
          <w:tcPr>
            <w:tcW w:w="1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338,109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23,499,965</w:t>
            </w:r>
          </w:p>
        </w:tc>
        <w:tc>
          <w:tcPr>
            <w:tcW w:w="0" w:type="dxa"/>
            <w:vAlign w:val="bottom"/>
          </w:tcPr>
          <w:p>
            <w:pPr>
              <w:spacing w:after="0"/>
              <w:rPr>
                <w:sz w:val="1"/>
                <w:szCs w:val="1"/>
                <w:color w:val="auto"/>
              </w:rPr>
            </w:pPr>
          </w:p>
        </w:tc>
      </w:tr>
      <w:tr>
        <w:trPr>
          <w:trHeight w:val="20"/>
        </w:trPr>
        <w:tc>
          <w:tcPr>
            <w:tcW w:w="7840" w:type="dxa"/>
            <w:vAlign w:val="bottom"/>
            <w:tcBorders>
              <w:top w:val="single" w:sz="8" w:color="D1D2D4"/>
            </w:tcBorders>
          </w:tcPr>
          <w:p>
            <w:pPr>
              <w:spacing w:after="0" w:line="20" w:lineRule="exact"/>
              <w:rPr>
                <w:sz w:val="1"/>
                <w:szCs w:val="1"/>
                <w:color w:val="auto"/>
              </w:rPr>
            </w:pPr>
          </w:p>
        </w:tc>
        <w:tc>
          <w:tcPr>
            <w:tcW w:w="16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5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right="100" w:hanging="332"/>
        <w:spacing w:after="0" w:line="262"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related to Mr. Mehrotra’s long-term incentive award is also included in the “Grants of Plan-Based Awards in Fiscal 2022” table. The time-based share amounts are listed in the column “All Other Stock Awards: Number of Shares of Stock or Units,” and the performance-based share amounts are listed in the column “Estimated Future Payouts under Equity Incentive Plan Awards.” The values included in those tables reflect the grant-date fair value under U.S. 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5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Compensation Committee agreed to reimburse Mr. Mehrotra for commuting expenses, and federal, state, and other income taxes resulting from imputed income related to his commuting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addition, we also pay for personal security arrangements for Mr. Mehrotra. We do not consider personal security measures to be a personal benefit to Mr. Mehrotra, but instead appropriate expenses for the benefit of the Company that arise out of his employment responsibilities and that are necessary to his job performance and to ensure the safety of Mr. Mehrotra and his family.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interests of safety, security, and efficiency and in light of the global COVID-19 pandemic and resurgence in many locations, the Compensation Committee has authorized Mr. Mehrotra to use the Company's aircraft for personal travel. The Compensation Committee also has established a policy to review costs for use of Company aircraft for personal travel on a quarterly basis. Mr. Mehrotra reimbursed the Company for the cost per flight hour of the aircraft in respect of all of his usage of the Company’s aircraft for personal travel during fiscal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See footnote 7 to the Fiscal 2022 Summary Compensation Table for additional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Severance and Change in Control Arrangements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and Chief Executive Officer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6" w:lineRule="exact"/>
        <w:rPr>
          <w:sz w:val="20"/>
          <w:szCs w:val="20"/>
          <w:color w:val="auto"/>
        </w:rPr>
      </w:pPr>
    </w:p>
    <w:p>
      <w:pPr>
        <w:ind w:left="660" w:right="6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9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pro-rated annual bonus under the EIP for the year of termination, subject to achievement of applicable performance criteria, paid in accordance with the terms of the EIP;</w:t>
      </w:r>
    </w:p>
    <w:p>
      <w:pPr>
        <w:spacing w:after="0" w:line="179"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additional bonus of two times Mr. Mehrotra’s target annual bonus under the EIP for the year of termination paid on the one-year anniversary of Mr. Mehrotra’s termination;</w:t>
      </w:r>
    </w:p>
    <w:p>
      <w:pPr>
        <w:spacing w:after="0" w:line="179" w:lineRule="exact"/>
        <w:rPr>
          <w:rFonts w:ascii="Arial" w:cs="Arial" w:eastAsia="Arial" w:hAnsi="Arial"/>
          <w:sz w:val="18"/>
          <w:szCs w:val="18"/>
          <w:color w:val="auto"/>
        </w:rPr>
      </w:pPr>
    </w:p>
    <w:p>
      <w:pPr>
        <w:jc w:val="both"/>
        <w:ind w:left="660" w:right="12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spacing w:after="0" w:line="19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cash payment equal to the medical benefits and employer qualified plan matching contributions Mr. Mehrotra would have received had Mr. Mehrotra remained employed for an additional two years, paid in a lump sum following termination.</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Mr. Mehrotra’s severance benefits become payable on account of his “good reason” resignation prior to a “Change in Control” and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Internal Revenue Code of 1986, as amended from time to time (the “Code”), if such reduction will result in a higher net after-tax benefit to Mr. Mehrotra. The Executive Agreement does not provide a tax gross-up for any such tax.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ectPr>
          <w:pgSz w:w="11900" w:h="16838" w:orient="portrait"/>
          <w:cols w:equalWidth="0" w:num="1">
            <w:col w:w="11240"/>
          </w:cols>
          <w:pgMar w:left="320" w:top="125" w:right="3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Named Executive Officers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of our other Named Executive Officers have severance agreements (together, the “NEO Severance Agreements”). The NEO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if termination occurs within 12 months of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Provided a Named Executive Officer complies with post-employment obligations and restrictions described below and all other terms of the NEO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executive bonus, and in certain cases, continued vesting of outstanding stock options and restricted equity awards. With respect to cash and equity awards that are performance-based, the Named Executive Officer is entitled to receive such awards only if the goals are achieved before or during the 12- or 18-month period following termination of employment. Terminated Named Executive Officers are not entitled to receive any new awards under our equity plans or the EIP or to the payment of any compensation that would be deferred past the 12- or 18-month period following termination of employment due to payment criteria of an incentive program, as those criteria exist as of the date of termination. Notwithstanding the discussion above, the NEO Severance Agreements for Messrs. DeBoer and Bokan do not provide for enhanced benefits upon separation in connection with a Change in Control and provide for immediate vesting of their outstanding equity awards at the time of termination of their employment, subject to proration for time-based and performance-based awards, with no credit for service beyond the time of termination of employment. Mr. Murphy’s NEO Severance Agreement also provides that in connection with certain terminations of employment any unvested shares granted as part of his new hire equity award will continue to vest at the same time and in the same amounts as if he had remained an employee through the applicable vesting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52"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Upon receipt of all benefits under the NEO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Severance Payments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“Potential Payments Upon Termination or Change in Control” on page 58 for a description of the estimated severance amounts as of the end of fiscal 2022 for Messrs. Mehrotra, Murphy, Bhatia, Bokan, DeBoer, and Sadana. Mr. Zinsner resigned from the Company effective as of January 10, 2022 and did not receive any payments or other benefits under his NEO Severance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have separate Change in Control agreements for our Named Executive Officers and directors. The Executive Agreement and the NEO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In the case of Messrs. DeBoer and Bokan, their NEO Severance Agreements provide for immediate vesting of their unvested equity awards upon termination of employment, subject to proration as described above. The compensation that Named Executive Officers could receive if a Change in Control occurs is intended to enable them to objectively evaluate whether a potential Change in Control is in the best interest of us and our shareholders. The estimated value that the Named Executive Officers could receive from our Change in Control provisions can be found in “Potential Payments Upon Termination or Change in Control” on page 58.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Consideration of Tax Consequences when Making Compensation Decisions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Code Section 162(m) generally disallows a tax deduction to public companies such as Micron for annual compensation over $1,000,000 per person paid to our Named Executive Officers and certain other current or former executive officers. Although the Compensation Committee considers the deductibility of compensation under Section 162(m), it reserves the right to grant or approve compensation or awards that may be non-deductible when it believes such compensation or awards are in our and our shareholders’ best interests.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our executive officers will more effectively manage the Company in the best interests of the shareholders if they are also shareholders. The minimum ownership guideline for our CEO is to hold shares with a value equal to five times his base salary. Messrs. Murphy, Bhatia, Bokan, DeBoer, and Sadana are required to hold shares with a value equal to three times their base salary. Executive officers are given five years to meet the ownership guidelines. The Governance and Sustainability Committee reviews the stock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tcPr>
          <w:p>
            <w:pPr>
              <w:spacing w:after="0"/>
              <w:rPr>
                <w:sz w:val="20"/>
                <w:szCs w:val="20"/>
                <w:color w:val="auto"/>
              </w:rPr>
            </w:pPr>
            <w:r>
              <w:rPr>
                <w:rFonts w:ascii="Arial" w:cs="Arial" w:eastAsia="Arial" w:hAnsi="Arial"/>
                <w:sz w:val="18"/>
                <w:szCs w:val="18"/>
                <w:color w:val="auto"/>
              </w:rPr>
              <w:t>The following table shows compliance with the guidelines as of the Record Date:</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1500" w:type="dxa"/>
            <w:vAlign w:val="bottom"/>
          </w:tcPr>
          <w:p>
            <w:pPr>
              <w:jc w:val="center"/>
              <w:ind w:left="310"/>
              <w:spacing w:after="0" w:line="199" w:lineRule="exact"/>
              <w:rPr>
                <w:sz w:val="20"/>
                <w:szCs w:val="20"/>
                <w:color w:val="auto"/>
              </w:rPr>
            </w:pPr>
            <w:r>
              <w:rPr>
                <w:rFonts w:ascii="Arial" w:cs="Arial" w:eastAsia="Arial" w:hAnsi="Arial"/>
                <w:sz w:val="18"/>
                <w:szCs w:val="18"/>
                <w:b w:val="1"/>
                <w:bCs w:val="1"/>
                <w:color w:val="auto"/>
                <w:w w:val="99"/>
              </w:rPr>
              <w:t>Guideline</w:t>
            </w:r>
          </w:p>
        </w:tc>
        <w:tc>
          <w:tcPr>
            <w:tcW w:w="280" w:type="dxa"/>
            <w:vAlign w:val="bottom"/>
          </w:tcPr>
          <w:p>
            <w:pPr>
              <w:spacing w:after="0"/>
              <w:rPr>
                <w:sz w:val="17"/>
                <w:szCs w:val="17"/>
                <w:color w:val="auto"/>
              </w:rPr>
            </w:pPr>
          </w:p>
        </w:tc>
        <w:tc>
          <w:tcPr>
            <w:tcW w:w="1180" w:type="dxa"/>
            <w:vAlign w:val="bottom"/>
          </w:tcPr>
          <w:p>
            <w:pPr>
              <w:jc w:val="right"/>
              <w:ind w:right="170"/>
              <w:spacing w:after="0" w:line="199" w:lineRule="exact"/>
              <w:rPr>
                <w:sz w:val="20"/>
                <w:szCs w:val="20"/>
                <w:color w:val="auto"/>
              </w:rPr>
            </w:pPr>
            <w:r>
              <w:rPr>
                <w:rFonts w:ascii="Arial" w:cs="Arial" w:eastAsia="Arial" w:hAnsi="Arial"/>
                <w:sz w:val="18"/>
                <w:szCs w:val="18"/>
                <w:b w:val="1"/>
                <w:bCs w:val="1"/>
                <w:color w:val="auto"/>
              </w:rPr>
              <w:t>Guideline</w:t>
            </w:r>
          </w:p>
        </w:tc>
        <w:tc>
          <w:tcPr>
            <w:tcW w:w="134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0090DA"/>
            </w:tcBorders>
            <w:vMerge w:val="continue"/>
          </w:tcPr>
          <w:p>
            <w:pPr>
              <w:spacing w:after="0"/>
              <w:rPr>
                <w:sz w:val="21"/>
                <w:szCs w:val="21"/>
                <w:color w:val="auto"/>
              </w:rPr>
            </w:pPr>
          </w:p>
        </w:tc>
        <w:tc>
          <w:tcPr>
            <w:tcW w:w="1500" w:type="dxa"/>
            <w:vAlign w:val="bottom"/>
            <w:tcBorders>
              <w:bottom w:val="single" w:sz="8" w:color="0090DA"/>
            </w:tcBorders>
          </w:tcPr>
          <w:p>
            <w:pPr>
              <w:jc w:val="center"/>
              <w:ind w:left="290"/>
              <w:spacing w:after="0"/>
              <w:rPr>
                <w:sz w:val="20"/>
                <w:szCs w:val="20"/>
                <w:color w:val="auto"/>
              </w:rPr>
            </w:pPr>
            <w:r>
              <w:rPr>
                <w:rFonts w:ascii="Arial" w:cs="Arial" w:eastAsia="Arial" w:hAnsi="Arial"/>
                <w:sz w:val="18"/>
                <w:szCs w:val="18"/>
                <w:b w:val="1"/>
                <w:bCs w:val="1"/>
                <w:color w:val="auto"/>
                <w:w w:val="99"/>
              </w:rPr>
              <w:t>Multiplier</w:t>
            </w:r>
          </w:p>
        </w:tc>
        <w:tc>
          <w:tcPr>
            <w:tcW w:w="2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Amount(1)</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with Guideline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50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7,090,000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Mark J. Murphy</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2,100,000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500" w:type="dxa"/>
            <w:vAlign w:val="bottom"/>
            <w:shd w:val="clear" w:color="auto" w:fill="D1D2D4"/>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2,189,250</w:t>
            </w:r>
          </w:p>
        </w:tc>
        <w:tc>
          <w:tcPr>
            <w:tcW w:w="13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1,653,600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Scott J. DeBoer</w:t>
            </w:r>
          </w:p>
        </w:tc>
        <w:tc>
          <w:tcPr>
            <w:tcW w:w="1500" w:type="dxa"/>
            <w:vAlign w:val="bottom"/>
            <w:shd w:val="clear" w:color="auto" w:fill="DBDBDB"/>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1,874,250</w:t>
            </w:r>
          </w:p>
        </w:tc>
        <w:tc>
          <w:tcPr>
            <w:tcW w:w="1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2,346,750</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(1) Based on base salary amounts as of the Record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23 for information on stock ownership guidelines for our directors.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Recoupment (Clawback) Policy</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established a compensation recoupment (clawback) policy. In the event that the Company is required to prepare an accounting restatement due to its material noncompliance with any financial reporting requirement under U.S. securities law, the Company will, to the extent permitted by applicable law, recoup compensation from each current or former executive officer who, during the three-year period preceding the date on which a restatement is required, received compensation from incentive awards based on the erroneous financial data, provided that the executive officer engaged in misconduct or otherwise caused or contributed to the requirement for the restatement. The Compensation Committee has sole discretion to determination when and how to seek any recovery and may forgo recovery if it determines that the cost of recovery would exceed the amount sought to be recovered.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COMMITTEE REPORT</w:t>
      </w:r>
    </w:p>
    <w:p>
      <w:pPr>
        <w:spacing w:after="0" w:line="25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that the Compensation Discussion and Analysis be included in this Proxy Statement.</w:t>
      </w:r>
    </w:p>
    <w:p>
      <w:pPr>
        <w:ind w:left="5360"/>
        <w:spacing w:after="0" w:line="224" w:lineRule="auto"/>
        <w:rPr>
          <w:sz w:val="20"/>
          <w:szCs w:val="20"/>
          <w:color w:val="auto"/>
        </w:rPr>
      </w:pPr>
      <w:r>
        <w:rPr>
          <w:rFonts w:ascii="Arial" w:cs="Arial" w:eastAsia="Arial" w:hAnsi="Arial"/>
          <w:sz w:val="18"/>
          <w:szCs w:val="18"/>
          <w:color w:val="auto"/>
        </w:rPr>
        <w:t>The Compensation Committee</w:t>
      </w:r>
    </w:p>
    <w:p>
      <w:pPr>
        <w:ind w:left="5360"/>
        <w:spacing w:after="0" w:line="219" w:lineRule="auto"/>
        <w:rPr>
          <w:sz w:val="20"/>
          <w:szCs w:val="20"/>
          <w:color w:val="auto"/>
        </w:rPr>
      </w:pPr>
      <w:r>
        <w:rPr>
          <w:rFonts w:ascii="Arial" w:cs="Arial" w:eastAsia="Arial" w:hAnsi="Arial"/>
          <w:sz w:val="18"/>
          <w:szCs w:val="18"/>
          <w:color w:val="auto"/>
        </w:rPr>
        <w:t>Richard M. Beyer</w:t>
      </w:r>
    </w:p>
    <w:p>
      <w:pPr>
        <w:ind w:left="5360"/>
        <w:spacing w:after="0" w:line="204" w:lineRule="auto"/>
        <w:rPr>
          <w:sz w:val="20"/>
          <w:szCs w:val="20"/>
          <w:color w:val="auto"/>
        </w:rPr>
      </w:pPr>
      <w:r>
        <w:rPr>
          <w:rFonts w:ascii="Arial" w:cs="Arial" w:eastAsia="Arial" w:hAnsi="Arial"/>
          <w:sz w:val="18"/>
          <w:szCs w:val="18"/>
          <w:color w:val="auto"/>
        </w:rPr>
        <w:t>Robert E. Switz</w:t>
      </w:r>
    </w:p>
    <w:p>
      <w:pPr>
        <w:ind w:left="5360"/>
        <w:spacing w:after="0"/>
        <w:rPr>
          <w:sz w:val="20"/>
          <w:szCs w:val="20"/>
          <w:color w:val="auto"/>
        </w:rPr>
      </w:pPr>
      <w:r>
        <w:rPr>
          <w:rFonts w:ascii="Arial" w:cs="Arial" w:eastAsia="Arial" w:hAnsi="Arial"/>
          <w:sz w:val="18"/>
          <w:szCs w:val="18"/>
          <w:color w:val="auto"/>
        </w:rPr>
        <w:t>MaryAnn Wright</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Committee Interlocks and Insider Participation</w:t>
      </w:r>
    </w:p>
    <w:p>
      <w:pPr>
        <w:spacing w:after="0" w:line="2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2022. During fiscal 2022, none of our executive officers served on the compensation committee (or equivalent) or the board of directors of another entity whose executive officer(s) served on our Compensation Committee or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55" w:name="page56"/>
    <w:bookmarkEnd w:id="55"/>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FISCAL 2022 SUMMARY COMPENSATION TABLE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6"/>
                <w:szCs w:val="16"/>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Non-Equity</w:t>
            </w:r>
          </w:p>
        </w:tc>
        <w:tc>
          <w:tcPr>
            <w:tcW w:w="300" w:type="dxa"/>
            <w:vAlign w:val="bottom"/>
          </w:tcPr>
          <w:p>
            <w:pPr>
              <w:spacing w:after="0"/>
              <w:rPr>
                <w:sz w:val="16"/>
                <w:szCs w:val="16"/>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All Other</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7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Salary(1)(2)</w:t>
            </w:r>
          </w:p>
        </w:tc>
        <w:tc>
          <w:tcPr>
            <w:tcW w:w="180" w:type="dxa"/>
            <w:vAlign w:val="bottom"/>
          </w:tcPr>
          <w:p>
            <w:pPr>
              <w:spacing w:after="0"/>
              <w:rPr>
                <w:sz w:val="14"/>
                <w:szCs w:val="14"/>
                <w:color w:val="auto"/>
              </w:rPr>
            </w:pPr>
          </w:p>
        </w:tc>
        <w:tc>
          <w:tcPr>
            <w:tcW w:w="11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Bonus (3)</w:t>
            </w: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Incentive Plan</w:t>
            </w: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0090DA"/>
            </w:tcBorders>
            <w:vMerge w:val="continue"/>
          </w:tcPr>
          <w:p>
            <w:pPr>
              <w:spacing w:after="0"/>
              <w:rPr>
                <w:sz w:val="18"/>
                <w:szCs w:val="18"/>
                <w:color w:val="auto"/>
              </w:rPr>
            </w:pPr>
          </w:p>
        </w:tc>
        <w:tc>
          <w:tcPr>
            <w:tcW w:w="720" w:type="dxa"/>
            <w:vAlign w:val="bottom"/>
            <w:tcBorders>
              <w:bottom w:val="single" w:sz="8" w:color="0090DA"/>
            </w:tcBorders>
            <w:vMerge w:val="continue"/>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000" w:type="dxa"/>
            <w:vAlign w:val="bottom"/>
            <w:tcBorders>
              <w:bottom w:val="single" w:sz="8" w:color="0090DA"/>
            </w:tcBorders>
            <w:vMerge w:val="continue"/>
          </w:tcPr>
          <w:p>
            <w:pPr>
              <w:spacing w:after="0"/>
              <w:rPr>
                <w:sz w:val="18"/>
                <w:szCs w:val="18"/>
                <w:color w:val="auto"/>
              </w:rPr>
            </w:pPr>
          </w:p>
        </w:tc>
        <w:tc>
          <w:tcPr>
            <w:tcW w:w="180" w:type="dxa"/>
            <w:vAlign w:val="bottom"/>
            <w:tcBorders>
              <w:bottom w:val="single" w:sz="8" w:color="0090DA"/>
            </w:tcBorders>
          </w:tcPr>
          <w:p>
            <w:pPr>
              <w:spacing w:after="0"/>
              <w:rPr>
                <w:sz w:val="18"/>
                <w:szCs w:val="18"/>
                <w:color w:val="auto"/>
              </w:rPr>
            </w:pPr>
          </w:p>
        </w:tc>
        <w:tc>
          <w:tcPr>
            <w:tcW w:w="1140" w:type="dxa"/>
            <w:vAlign w:val="bottom"/>
            <w:tcBorders>
              <w:bottom w:val="single" w:sz="8" w:color="0090DA"/>
            </w:tcBorders>
            <w:vMerge w:val="continue"/>
          </w:tcPr>
          <w:p>
            <w:pPr>
              <w:spacing w:after="0"/>
              <w:rPr>
                <w:sz w:val="18"/>
                <w:szCs w:val="18"/>
                <w:color w:val="auto"/>
              </w:rPr>
            </w:pPr>
          </w:p>
        </w:tc>
        <w:tc>
          <w:tcPr>
            <w:tcW w:w="10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w w:val="99"/>
              </w:rPr>
              <w:t>Awards(4)(5)</w:t>
            </w:r>
          </w:p>
        </w:tc>
        <w:tc>
          <w:tcPr>
            <w:tcW w:w="152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Compensation(6)</w:t>
            </w:r>
          </w:p>
        </w:tc>
        <w:tc>
          <w:tcPr>
            <w:tcW w:w="154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auto"/>
              </w:rPr>
              <w:t>Compensation(7)</w:t>
            </w:r>
          </w:p>
        </w:tc>
        <w:tc>
          <w:tcPr>
            <w:tcW w:w="240" w:type="dxa"/>
            <w:vAlign w:val="bottom"/>
            <w:tcBorders>
              <w:bottom w:val="single" w:sz="8" w:color="0090DA"/>
            </w:tcBorders>
          </w:tcPr>
          <w:p>
            <w:pPr>
              <w:spacing w:after="0"/>
              <w:rPr>
                <w:sz w:val="18"/>
                <w:szCs w:val="18"/>
                <w:color w:val="auto"/>
              </w:rPr>
            </w:pPr>
          </w:p>
        </w:tc>
        <w:tc>
          <w:tcPr>
            <w:tcW w:w="98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Sanjay Mehrotra</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1,409,893</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23,499,965</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3,435,275</w:t>
            </w:r>
          </w:p>
        </w:tc>
        <w:tc>
          <w:tcPr>
            <w:tcW w:w="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495,676</w:t>
            </w: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28,840,809</w:t>
            </w:r>
          </w:p>
        </w:tc>
        <w:tc>
          <w:tcPr>
            <w:tcW w:w="0" w:type="dxa"/>
            <w:vAlign w:val="bottom"/>
          </w:tcPr>
          <w:p>
            <w:pPr>
              <w:spacing w:after="0"/>
              <w:rPr>
                <w:sz w:val="1"/>
                <w:szCs w:val="1"/>
                <w:color w:val="auto"/>
              </w:rPr>
            </w:pPr>
          </w:p>
        </w:tc>
      </w:tr>
      <w:tr>
        <w:trPr>
          <w:trHeight w:val="215"/>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President and Chief</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1,350,000</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18,499,995</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4,800,600</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666,114</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25,316,709</w:t>
            </w:r>
          </w:p>
        </w:tc>
        <w:tc>
          <w:tcPr>
            <w:tcW w:w="0" w:type="dxa"/>
            <w:vAlign w:val="bottom"/>
          </w:tcPr>
          <w:p>
            <w:pPr>
              <w:spacing w:after="0"/>
              <w:rPr>
                <w:sz w:val="1"/>
                <w:szCs w:val="1"/>
                <w:color w:val="auto"/>
              </w:rPr>
            </w:pPr>
          </w:p>
        </w:tc>
      </w:tr>
      <w:tr>
        <w:trPr>
          <w:trHeight w:val="218"/>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Executive Officer</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1,369,039</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14,999,989</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3,591,001</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35,459</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19,995,488</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Mark J. Murphy</w:t>
            </w:r>
          </w:p>
        </w:tc>
        <w:tc>
          <w:tcPr>
            <w:tcW w:w="720" w:type="dxa"/>
            <w:vAlign w:val="bottom"/>
          </w:tcPr>
          <w:p>
            <w:pPr>
              <w:ind w:left="18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266,538</w:t>
            </w:r>
          </w:p>
        </w:tc>
        <w:tc>
          <w:tcPr>
            <w:tcW w:w="1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250,000</w:t>
            </w:r>
          </w:p>
        </w:tc>
        <w:tc>
          <w:tcPr>
            <w:tcW w:w="1060" w:type="dxa"/>
            <w:vAlign w:val="bottom"/>
          </w:tcPr>
          <w:p>
            <w:pPr>
              <w:jc w:val="right"/>
              <w:spacing w:after="0"/>
              <w:rPr>
                <w:sz w:val="20"/>
                <w:szCs w:val="20"/>
                <w:color w:val="auto"/>
              </w:rPr>
            </w:pPr>
            <w:r>
              <w:rPr>
                <w:rFonts w:ascii="Arial" w:cs="Arial" w:eastAsia="Arial" w:hAnsi="Arial"/>
                <w:sz w:val="16"/>
                <w:szCs w:val="16"/>
                <w:color w:val="auto"/>
              </w:rPr>
              <w:t>12,631,963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326,555</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99,986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13,575,042</w:t>
            </w:r>
          </w:p>
        </w:tc>
        <w:tc>
          <w:tcPr>
            <w:tcW w:w="0" w:type="dxa"/>
            <w:vAlign w:val="bottom"/>
          </w:tcPr>
          <w:p>
            <w:pPr>
              <w:spacing w:after="0"/>
              <w:rPr>
                <w:sz w:val="1"/>
                <w:szCs w:val="1"/>
                <w:color w:val="auto"/>
              </w:rPr>
            </w:pPr>
          </w:p>
        </w:tc>
      </w:tr>
      <w:tr>
        <w:trPr>
          <w:trHeight w:val="215"/>
        </w:trPr>
        <w:tc>
          <w:tcPr>
            <w:tcW w:w="2740" w:type="dxa"/>
            <w:vAlign w:val="bottom"/>
          </w:tcPr>
          <w:p>
            <w:pPr>
              <w:ind w:left="100"/>
              <w:spacing w:after="0"/>
              <w:rPr>
                <w:sz w:val="20"/>
                <w:szCs w:val="20"/>
                <w:color w:val="auto"/>
              </w:rPr>
            </w:pPr>
            <w:r>
              <w:rPr>
                <w:rFonts w:ascii="Arial" w:cs="Arial" w:eastAsia="Arial" w:hAnsi="Arial"/>
                <w:sz w:val="16"/>
                <w:szCs w:val="16"/>
                <w:color w:val="auto"/>
              </w:rPr>
              <w:t>Executive Vice President and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Manish Bhatia</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725,607</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7,999,991</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904,511</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8,887,720</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18,517,829</w:t>
            </w:r>
          </w:p>
        </w:tc>
        <w:tc>
          <w:tcPr>
            <w:tcW w:w="0" w:type="dxa"/>
            <w:vAlign w:val="bottom"/>
          </w:tcPr>
          <w:p>
            <w:pPr>
              <w:spacing w:after="0"/>
              <w:rPr>
                <w:sz w:val="1"/>
                <w:szCs w:val="1"/>
                <w:color w:val="auto"/>
              </w:rPr>
            </w:pPr>
          </w:p>
        </w:tc>
      </w:tr>
      <w:tr>
        <w:trPr>
          <w:trHeight w:val="215"/>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695,000</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5,999,969</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1,235,710</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622,194</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8,552,873</w:t>
            </w:r>
          </w:p>
        </w:tc>
        <w:tc>
          <w:tcPr>
            <w:tcW w:w="0" w:type="dxa"/>
            <w:vAlign w:val="bottom"/>
          </w:tcPr>
          <w:p>
            <w:pPr>
              <w:spacing w:after="0"/>
              <w:rPr>
                <w:sz w:val="1"/>
                <w:szCs w:val="1"/>
                <w:color w:val="auto"/>
              </w:rPr>
            </w:pPr>
          </w:p>
        </w:tc>
      </w:tr>
      <w:tr>
        <w:trPr>
          <w:trHeight w:val="218"/>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Global Operations</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704,211</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5,000,012</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924,351</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583,785</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7,212,359</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Michael W. Bokan</w:t>
            </w:r>
          </w:p>
        </w:tc>
        <w:tc>
          <w:tcPr>
            <w:tcW w:w="720" w:type="dxa"/>
            <w:vAlign w:val="bottom"/>
          </w:tcPr>
          <w:p>
            <w:pPr>
              <w:ind w:left="18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547,480</w:t>
            </w:r>
          </w:p>
        </w:tc>
        <w:tc>
          <w:tcPr>
            <w:tcW w:w="1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4,500,043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558,983</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18,088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5,624,594</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Senior Vice President,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20"/>
              <w:spacing w:after="0"/>
              <w:rPr>
                <w:sz w:val="20"/>
                <w:szCs w:val="20"/>
                <w:color w:val="auto"/>
              </w:rPr>
            </w:pPr>
            <w:r>
              <w:rPr>
                <w:rFonts w:ascii="Arial" w:cs="Arial" w:eastAsia="Arial" w:hAnsi="Arial"/>
                <w:sz w:val="16"/>
                <w:szCs w:val="16"/>
                <w:color w:val="auto"/>
              </w:rPr>
              <w:t>Worldwide Sales(8)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Scott J. DeBoer</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621,203</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6,249,944</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703,968</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17,450</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7,592,565</w:t>
            </w:r>
          </w:p>
        </w:tc>
        <w:tc>
          <w:tcPr>
            <w:tcW w:w="0" w:type="dxa"/>
            <w:vAlign w:val="bottom"/>
          </w:tcPr>
          <w:p>
            <w:pPr>
              <w:spacing w:after="0"/>
              <w:rPr>
                <w:sz w:val="1"/>
                <w:szCs w:val="1"/>
                <w:color w:val="auto"/>
              </w:rPr>
            </w:pPr>
          </w:p>
        </w:tc>
      </w:tr>
      <w:tr>
        <w:trPr>
          <w:trHeight w:val="215"/>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595,000</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4,999,957</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1,057,910</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15,700</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6,668,567</w:t>
            </w:r>
          </w:p>
        </w:tc>
        <w:tc>
          <w:tcPr>
            <w:tcW w:w="0" w:type="dxa"/>
            <w:vAlign w:val="bottom"/>
          </w:tcPr>
          <w:p>
            <w:pPr>
              <w:spacing w:after="0"/>
              <w:rPr>
                <w:sz w:val="1"/>
                <w:szCs w:val="1"/>
                <w:color w:val="auto"/>
              </w:rPr>
            </w:pPr>
          </w:p>
        </w:tc>
      </w:tr>
      <w:tr>
        <w:trPr>
          <w:trHeight w:val="218"/>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Technology and Products</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601,596</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3,750,026</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791,351</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16,887</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5,159,860</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Sumit Sadana</w:t>
            </w:r>
          </w:p>
        </w:tc>
        <w:tc>
          <w:tcPr>
            <w:tcW w:w="720" w:type="dxa"/>
            <w:vAlign w:val="bottom"/>
          </w:tcPr>
          <w:p>
            <w:pPr>
              <w:ind w:left="18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777,809</w:t>
            </w:r>
          </w:p>
        </w:tc>
        <w:tc>
          <w:tcPr>
            <w:tcW w:w="1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8,250,001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1,057,727</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15,893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10,101,430</w:t>
            </w:r>
          </w:p>
        </w:tc>
        <w:tc>
          <w:tcPr>
            <w:tcW w:w="0" w:type="dxa"/>
            <w:vAlign w:val="bottom"/>
          </w:tcPr>
          <w:p>
            <w:pPr>
              <w:spacing w:after="0"/>
              <w:rPr>
                <w:sz w:val="1"/>
                <w:szCs w:val="1"/>
                <w:color w:val="auto"/>
              </w:rPr>
            </w:pPr>
          </w:p>
        </w:tc>
      </w:tr>
      <w:tr>
        <w:trPr>
          <w:trHeight w:val="215"/>
        </w:trPr>
        <w:tc>
          <w:tcPr>
            <w:tcW w:w="2740" w:type="dxa"/>
            <w:vAlign w:val="bottom"/>
          </w:tcPr>
          <w:p>
            <w:pPr>
              <w:ind w:left="100"/>
              <w:spacing w:after="0"/>
              <w:rPr>
                <w:sz w:val="20"/>
                <w:szCs w:val="20"/>
                <w:color w:val="auto"/>
              </w:rPr>
            </w:pPr>
            <w:r>
              <w:rPr>
                <w:rFonts w:ascii="Arial" w:cs="Arial" w:eastAsia="Arial" w:hAnsi="Arial"/>
                <w:sz w:val="16"/>
                <w:szCs w:val="16"/>
                <w:color w:val="auto"/>
              </w:rPr>
              <w:t>Executive Vice President</w:t>
            </w:r>
          </w:p>
        </w:tc>
        <w:tc>
          <w:tcPr>
            <w:tcW w:w="720" w:type="dxa"/>
            <w:vAlign w:val="bottom"/>
          </w:tcPr>
          <w:p>
            <w:pPr>
              <w:ind w:left="18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745,000</w:t>
            </w:r>
          </w:p>
        </w:tc>
        <w:tc>
          <w:tcPr>
            <w:tcW w:w="1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6,500,005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1,457,071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8,716,576</w:t>
            </w:r>
          </w:p>
        </w:tc>
        <w:tc>
          <w:tcPr>
            <w:tcW w:w="0" w:type="dxa"/>
            <w:vAlign w:val="bottom"/>
          </w:tcPr>
          <w:p>
            <w:pPr>
              <w:spacing w:after="0"/>
              <w:rPr>
                <w:sz w:val="1"/>
                <w:szCs w:val="1"/>
                <w:color w:val="auto"/>
              </w:rPr>
            </w:pPr>
          </w:p>
        </w:tc>
      </w:tr>
      <w:tr>
        <w:trPr>
          <w:trHeight w:val="217"/>
        </w:trPr>
        <w:tc>
          <w:tcPr>
            <w:tcW w:w="2740" w:type="dxa"/>
            <w:vAlign w:val="bottom"/>
          </w:tcPr>
          <w:p>
            <w:pPr>
              <w:ind w:left="100"/>
              <w:spacing w:after="0"/>
              <w:rPr>
                <w:sz w:val="20"/>
                <w:szCs w:val="20"/>
                <w:color w:val="auto"/>
              </w:rPr>
            </w:pPr>
            <w:r>
              <w:rPr>
                <w:rFonts w:ascii="Arial" w:cs="Arial" w:eastAsia="Arial" w:hAnsi="Arial"/>
                <w:sz w:val="16"/>
                <w:szCs w:val="16"/>
                <w:color w:val="auto"/>
              </w:rPr>
              <w:t>and Chief Business Officer(9)</w:t>
            </w:r>
          </w:p>
        </w:tc>
        <w:tc>
          <w:tcPr>
            <w:tcW w:w="720" w:type="dxa"/>
            <w:vAlign w:val="bottom"/>
          </w:tcPr>
          <w:p>
            <w:pPr>
              <w:ind w:left="18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755,173</w:t>
            </w:r>
          </w:p>
        </w:tc>
        <w:tc>
          <w:tcPr>
            <w:tcW w:w="18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5,500,013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1,089,936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14,250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7,359,372</w:t>
            </w:r>
          </w:p>
        </w:tc>
        <w:tc>
          <w:tcPr>
            <w:tcW w:w="0" w:type="dxa"/>
            <w:vAlign w:val="bottom"/>
          </w:tcPr>
          <w:p>
            <w:pPr>
              <w:spacing w:after="0"/>
              <w:rPr>
                <w:sz w:val="1"/>
                <w:szCs w:val="1"/>
                <w:color w:val="auto"/>
              </w:rPr>
            </w:pPr>
          </w:p>
        </w:tc>
      </w:tr>
      <w:tr>
        <w:trPr>
          <w:trHeight w:val="216"/>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David A. Zinsner</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257,671</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7,000,029</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9,480</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7,267,180</w:t>
            </w:r>
          </w:p>
        </w:tc>
        <w:tc>
          <w:tcPr>
            <w:tcW w:w="0" w:type="dxa"/>
            <w:vAlign w:val="bottom"/>
          </w:tcPr>
          <w:p>
            <w:pPr>
              <w:spacing w:after="0"/>
              <w:rPr>
                <w:sz w:val="1"/>
                <w:szCs w:val="1"/>
                <w:color w:val="auto"/>
              </w:rPr>
            </w:pPr>
          </w:p>
        </w:tc>
      </w:tr>
      <w:tr>
        <w:trPr>
          <w:trHeight w:val="215"/>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Former Executive Vice President &amp;</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662,000</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4,999,957</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1,177,036</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14,500</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6,853,493</w:t>
            </w:r>
          </w:p>
        </w:tc>
        <w:tc>
          <w:tcPr>
            <w:tcW w:w="0" w:type="dxa"/>
            <w:vAlign w:val="bottom"/>
          </w:tcPr>
          <w:p>
            <w:pPr>
              <w:spacing w:after="0"/>
              <w:rPr>
                <w:sz w:val="1"/>
                <w:szCs w:val="1"/>
                <w:color w:val="auto"/>
              </w:rPr>
            </w:pPr>
          </w:p>
        </w:tc>
      </w:tr>
      <w:tr>
        <w:trPr>
          <w:trHeight w:val="218"/>
        </w:trPr>
        <w:tc>
          <w:tcPr>
            <w:tcW w:w="27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670,992</w:t>
            </w:r>
          </w:p>
        </w:tc>
        <w:tc>
          <w:tcPr>
            <w:tcW w:w="18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4,000,021</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880,461</w:t>
            </w:r>
          </w:p>
        </w:tc>
        <w:tc>
          <w:tcPr>
            <w:tcW w:w="3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17,531</w:t>
            </w:r>
          </w:p>
        </w:tc>
        <w:tc>
          <w:tcPr>
            <w:tcW w:w="2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5,569,005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60" w:hanging="332"/>
        <w:spacing w:after="0" w:line="268"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Murphy was appointed as our Executive Vice President and Chief Financial Officer, effective as of April 18, 2022, and his annual base salary for fiscal 2022 was $700,000. Fiscal 2022 amount for Mr. Zinsner represents salary earned up to his resignation from the Company effective as of January 10, 2022.</w:t>
      </w:r>
    </w:p>
    <w:p>
      <w:pPr>
        <w:spacing w:after="0" w:line="197" w:lineRule="exact"/>
        <w:rPr>
          <w:rFonts w:ascii="Arial" w:cs="Arial" w:eastAsia="Arial" w:hAnsi="Arial"/>
          <w:sz w:val="18"/>
          <w:szCs w:val="18"/>
          <w:color w:val="auto"/>
        </w:rPr>
      </w:pPr>
    </w:p>
    <w:p>
      <w:pPr>
        <w:ind w:left="340" w:right="20" w:hanging="332"/>
        <w:spacing w:after="0" w:line="268"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fiscal year is the 52 or 53-week period ending on the Thursday closest to August 31. Fiscal 2022 and 2021 each contained 52 weeks and fiscal 2020 contained 53 weeks. The amounts shown for salary for 2020 include an additional week as compared to 2022 and 2021 in accordance with our fiscal calendar.</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Murphy received a cash signing bonus upon joining the Company.</w:t>
      </w:r>
    </w:p>
    <w:p>
      <w:pPr>
        <w:spacing w:after="0" w:line="252" w:lineRule="exact"/>
        <w:rPr>
          <w:rFonts w:ascii="Arial" w:cs="Arial" w:eastAsia="Arial" w:hAnsi="Arial"/>
          <w:sz w:val="18"/>
          <w:szCs w:val="18"/>
          <w:color w:val="auto"/>
        </w:rPr>
      </w:pPr>
    </w:p>
    <w:p>
      <w:pPr>
        <w:ind w:left="340" w:right="120" w:hanging="332"/>
        <w:spacing w:after="0" w:line="255" w:lineRule="auto"/>
        <w:tabs>
          <w:tab w:leader="none" w:pos="3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grant date fair values for the stock awards are based on the closing price on the last market trading day prior to the date of grant. The grant date fair value of the performance-based awards granted in fiscal 2022, 2021, and 2020 was computed by multiplying (i) the target number of restricted shares or units awarded to each Named Executive Officer, which was the assumed probable outcome as of the grant date, by (ii) either (a) the closing price of our Common Stock on the last market trading day prior to the date of grant; or (b) the fair value per share as calculated by the use of a Monte Carlo simulation, which represents the most likely value if the award had a market condition performance goal. Although the assumed probable outcome as of the grant date was achievement at the target level, the terms of the awards for performance-based restricted stock unit awards granted in fiscal 2022, 2021, and 2020 also provide for achievement of up to 200% of the target amount (“maximum”).</w:t>
      </w:r>
    </w:p>
    <w:p>
      <w:pPr>
        <w:spacing w:after="0" w:line="200" w:lineRule="exact"/>
        <w:rPr>
          <w:sz w:val="20"/>
          <w:szCs w:val="20"/>
          <w:color w:val="auto"/>
        </w:rPr>
      </w:pPr>
    </w:p>
    <w:p>
      <w:pPr>
        <w:spacing w:after="0" w:line="36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260"/>
        <w:spacing w:after="0" w:line="268" w:lineRule="auto"/>
        <w:rPr>
          <w:sz w:val="20"/>
          <w:szCs w:val="20"/>
          <w:color w:val="auto"/>
        </w:rPr>
      </w:pPr>
      <w:r>
        <w:rPr>
          <w:rFonts w:ascii="Arial" w:cs="Arial" w:eastAsia="Arial" w:hAnsi="Arial"/>
          <w:sz w:val="18"/>
          <w:szCs w:val="18"/>
          <w:color w:val="auto"/>
        </w:rPr>
        <w:t>The table below presents the aggregate grant 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1500" w:type="dxa"/>
            <w:vAlign w:val="bottom"/>
          </w:tcPr>
          <w:p>
            <w:pPr>
              <w:spacing w:after="0"/>
              <w:rPr>
                <w:sz w:val="17"/>
                <w:szCs w:val="17"/>
                <w:color w:val="auto"/>
              </w:rPr>
            </w:pPr>
          </w:p>
        </w:tc>
        <w:tc>
          <w:tcPr>
            <w:tcW w:w="940" w:type="dxa"/>
            <w:vAlign w:val="bottom"/>
            <w:tcBorders>
              <w:bottom w:val="single" w:sz="8" w:color="0090DA"/>
            </w:tcBorders>
          </w:tcPr>
          <w:p>
            <w:pPr>
              <w:spacing w:after="0"/>
              <w:rPr>
                <w:sz w:val="17"/>
                <w:szCs w:val="17"/>
                <w:color w:val="auto"/>
              </w:rPr>
            </w:pPr>
          </w:p>
        </w:tc>
        <w:tc>
          <w:tcPr>
            <w:tcW w:w="10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0090DA"/>
            </w:tcBorders>
          </w:tcPr>
          <w:p>
            <w:pPr>
              <w:spacing w:after="0"/>
              <w:rPr>
                <w:sz w:val="17"/>
                <w:szCs w:val="17"/>
                <w:color w:val="auto"/>
              </w:rPr>
            </w:pPr>
          </w:p>
        </w:tc>
        <w:tc>
          <w:tcPr>
            <w:tcW w:w="860" w:type="dxa"/>
            <w:vAlign w:val="bottom"/>
            <w:tcBorders>
              <w:bottom w:val="single" w:sz="8" w:color="0090DA"/>
            </w:tcBorders>
          </w:tcPr>
          <w:p>
            <w:pPr>
              <w:spacing w:after="0"/>
              <w:rPr>
                <w:sz w:val="17"/>
                <w:szCs w:val="17"/>
                <w:color w:val="auto"/>
              </w:rPr>
            </w:pPr>
          </w:p>
        </w:tc>
        <w:tc>
          <w:tcPr>
            <w:tcW w:w="960" w:type="dxa"/>
            <w:vAlign w:val="bottom"/>
            <w:tcBorders>
              <w:bottom w:val="single" w:sz="8" w:color="0090DA"/>
            </w:tcBorders>
          </w:tcPr>
          <w:p>
            <w:pPr>
              <w:spacing w:after="0"/>
              <w:rPr>
                <w:sz w:val="17"/>
                <w:szCs w:val="17"/>
                <w:color w:val="auto"/>
              </w:rPr>
            </w:pPr>
          </w:p>
        </w:tc>
        <w:tc>
          <w:tcPr>
            <w:tcW w:w="10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0090DA"/>
            </w:tcBorders>
          </w:tcPr>
          <w:p>
            <w:pPr>
              <w:spacing w:after="0"/>
              <w:rPr>
                <w:sz w:val="17"/>
                <w:szCs w:val="17"/>
                <w:color w:val="auto"/>
              </w:rPr>
            </w:pPr>
          </w:p>
        </w:tc>
        <w:tc>
          <w:tcPr>
            <w:tcW w:w="940" w:type="dxa"/>
            <w:vAlign w:val="bottom"/>
            <w:tcBorders>
              <w:bottom w:val="single" w:sz="8" w:color="0090DA"/>
            </w:tcBorders>
          </w:tcPr>
          <w:p>
            <w:pPr>
              <w:spacing w:after="0"/>
              <w:rPr>
                <w:sz w:val="17"/>
                <w:szCs w:val="17"/>
                <w:color w:val="auto"/>
              </w:rPr>
            </w:pPr>
          </w:p>
        </w:tc>
        <w:tc>
          <w:tcPr>
            <w:tcW w:w="10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0090DA"/>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Performance-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based Stock</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based Stock</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Time-based</w:t>
            </w: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1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Stock</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Award at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Stock</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94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Maximum</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00" w:type="dxa"/>
            <w:vAlign w:val="bottom"/>
            <w:tcBorders>
              <w:bottom w:val="single" w:sz="8" w:color="0090DA"/>
            </w:tcBorders>
            <w:vMerge w:val="continue"/>
          </w:tcPr>
          <w:p>
            <w:pPr>
              <w:spacing w:after="0"/>
              <w:rPr>
                <w:sz w:val="16"/>
                <w:szCs w:val="16"/>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Borders>
              <w:bottom w:val="single" w:sz="8" w:color="0090DA"/>
            </w:tcBorders>
          </w:tcPr>
          <w:p>
            <w:pPr>
              <w:spacing w:after="0"/>
              <w:rPr>
                <w:sz w:val="16"/>
                <w:szCs w:val="16"/>
                <w:color w:val="auto"/>
              </w:rPr>
            </w:pPr>
          </w:p>
        </w:tc>
        <w:tc>
          <w:tcPr>
            <w:tcW w:w="860" w:type="dxa"/>
            <w:vAlign w:val="bottom"/>
            <w:tcBorders>
              <w:bottom w:val="single" w:sz="8" w:color="0090DA"/>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960" w:type="dxa"/>
            <w:vAlign w:val="bottom"/>
            <w:tcBorders>
              <w:bottom w:val="single" w:sz="8" w:color="0090DA"/>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0090DA"/>
            </w:tcBorders>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80" w:type="dxa"/>
            <w:vAlign w:val="bottom"/>
            <w:tcBorders>
              <w:bottom w:val="single" w:sz="8" w:color="0090DA"/>
            </w:tcBorders>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shd w:val="clear" w:color="auto" w:fill="D1D2D4"/>
          </w:tcPr>
          <w:p>
            <w:pPr>
              <w:ind w:left="20"/>
              <w:spacing w:after="0"/>
              <w:rPr>
                <w:sz w:val="20"/>
                <w:szCs w:val="20"/>
                <w:color w:val="auto"/>
              </w:rPr>
            </w:pPr>
            <w:r>
              <w:rPr>
                <w:rFonts w:ascii="Arial" w:cs="Arial" w:eastAsia="Arial" w:hAnsi="Arial"/>
                <w:sz w:val="14"/>
                <w:szCs w:val="14"/>
                <w:color w:val="auto"/>
              </w:rPr>
              <w:t>Sanjay Mehrotra</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$ 11,749,992</w:t>
            </w:r>
          </w:p>
        </w:tc>
        <w:tc>
          <w:tcPr>
            <w:tcW w:w="10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21,502,435</w:t>
            </w:r>
          </w:p>
        </w:tc>
        <w:tc>
          <w:tcPr>
            <w:tcW w:w="12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33,252,427</w:t>
            </w:r>
          </w:p>
        </w:tc>
        <w:tc>
          <w:tcPr>
            <w:tcW w:w="9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9,249,995</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16,927,511</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$ 26,177,506</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7,499,991</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13,561,648</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$ 21,061,639</w:t>
            </w:r>
          </w:p>
        </w:tc>
        <w:tc>
          <w:tcPr>
            <w:tcW w:w="0" w:type="dxa"/>
            <w:vAlign w:val="bottom"/>
          </w:tcPr>
          <w:p>
            <w:pPr>
              <w:spacing w:after="0"/>
              <w:rPr>
                <w:sz w:val="1"/>
                <w:szCs w:val="1"/>
                <w:color w:val="auto"/>
              </w:rPr>
            </w:pPr>
          </w:p>
        </w:tc>
      </w:tr>
      <w:tr>
        <w:trPr>
          <w:trHeight w:val="198"/>
        </w:trPr>
        <w:tc>
          <w:tcPr>
            <w:tcW w:w="1500" w:type="dxa"/>
            <w:vAlign w:val="bottom"/>
          </w:tcPr>
          <w:p>
            <w:pPr>
              <w:ind w:left="20"/>
              <w:spacing w:after="0"/>
              <w:rPr>
                <w:sz w:val="20"/>
                <w:szCs w:val="20"/>
                <w:color w:val="auto"/>
              </w:rPr>
            </w:pPr>
            <w:r>
              <w:rPr>
                <w:rFonts w:ascii="Arial" w:cs="Arial" w:eastAsia="Arial" w:hAnsi="Arial"/>
                <w:sz w:val="14"/>
                <w:szCs w:val="14"/>
                <w:color w:val="auto"/>
              </w:rPr>
              <w:t>Mark J. Murphy</w:t>
            </w:r>
          </w:p>
        </w:tc>
        <w:tc>
          <w:tcPr>
            <w:tcW w:w="940" w:type="dxa"/>
            <w:vAlign w:val="bottom"/>
          </w:tcPr>
          <w:p>
            <w:pPr>
              <w:jc w:val="right"/>
              <w:spacing w:after="0"/>
              <w:rPr>
                <w:sz w:val="20"/>
                <w:szCs w:val="20"/>
                <w:color w:val="auto"/>
              </w:rPr>
            </w:pPr>
            <w:r>
              <w:rPr>
                <w:rFonts w:ascii="Arial" w:cs="Arial" w:eastAsia="Arial" w:hAnsi="Arial"/>
                <w:sz w:val="14"/>
                <w:szCs w:val="14"/>
                <w:color w:val="auto"/>
              </w:rPr>
              <w:t>6,315,978</w:t>
            </w:r>
          </w:p>
        </w:tc>
        <w:tc>
          <w:tcPr>
            <w:tcW w:w="1060" w:type="dxa"/>
            <w:vAlign w:val="bottom"/>
          </w:tcPr>
          <w:p>
            <w:pPr>
              <w:jc w:val="right"/>
              <w:spacing w:after="0"/>
              <w:rPr>
                <w:sz w:val="20"/>
                <w:szCs w:val="20"/>
                <w:color w:val="auto"/>
              </w:rPr>
            </w:pPr>
            <w:r>
              <w:rPr>
                <w:rFonts w:ascii="Arial" w:cs="Arial" w:eastAsia="Arial" w:hAnsi="Arial"/>
                <w:sz w:val="14"/>
                <w:szCs w:val="14"/>
                <w:color w:val="auto"/>
              </w:rPr>
              <w:t>11,558,203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17,874,181</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D1D2D4"/>
          </w:tcPr>
          <w:p>
            <w:pPr>
              <w:ind w:left="20"/>
              <w:spacing w:after="0"/>
              <w:rPr>
                <w:sz w:val="20"/>
                <w:szCs w:val="20"/>
                <w:color w:val="auto"/>
              </w:rPr>
            </w:pPr>
            <w:r>
              <w:rPr>
                <w:rFonts w:ascii="Arial" w:cs="Arial" w:eastAsia="Arial" w:hAnsi="Arial"/>
                <w:sz w:val="14"/>
                <w:szCs w:val="14"/>
                <w:color w:val="auto"/>
              </w:rPr>
              <w:t>Manish Bhatia</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3,999,997</w:t>
            </w:r>
          </w:p>
        </w:tc>
        <w:tc>
          <w:tcPr>
            <w:tcW w:w="10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7,319,981</w:t>
            </w:r>
          </w:p>
        </w:tc>
        <w:tc>
          <w:tcPr>
            <w:tcW w:w="1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11,319,978</w:t>
            </w:r>
          </w:p>
        </w:tc>
        <w:tc>
          <w:tcPr>
            <w:tcW w:w="9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3,000,002</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5,489,918</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8,489,920</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2,500,013</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4,520,545</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7,020,558</w:t>
            </w:r>
          </w:p>
        </w:tc>
        <w:tc>
          <w:tcPr>
            <w:tcW w:w="0" w:type="dxa"/>
            <w:vAlign w:val="bottom"/>
          </w:tcPr>
          <w:p>
            <w:pPr>
              <w:spacing w:after="0"/>
              <w:rPr>
                <w:sz w:val="1"/>
                <w:szCs w:val="1"/>
                <w:color w:val="auto"/>
              </w:rPr>
            </w:pPr>
          </w:p>
        </w:tc>
      </w:tr>
      <w:tr>
        <w:trPr>
          <w:trHeight w:val="198"/>
        </w:trPr>
        <w:tc>
          <w:tcPr>
            <w:tcW w:w="1500" w:type="dxa"/>
            <w:vAlign w:val="bottom"/>
          </w:tcPr>
          <w:p>
            <w:pPr>
              <w:ind w:left="20"/>
              <w:spacing w:after="0"/>
              <w:rPr>
                <w:sz w:val="20"/>
                <w:szCs w:val="20"/>
                <w:color w:val="auto"/>
              </w:rPr>
            </w:pPr>
            <w:r>
              <w:rPr>
                <w:rFonts w:ascii="Arial" w:cs="Arial" w:eastAsia="Arial" w:hAnsi="Arial"/>
                <w:sz w:val="14"/>
                <w:szCs w:val="14"/>
                <w:color w:val="auto"/>
              </w:rPr>
              <w:t>Michael W. Bokan</w:t>
            </w:r>
          </w:p>
        </w:tc>
        <w:tc>
          <w:tcPr>
            <w:tcW w:w="940" w:type="dxa"/>
            <w:vAlign w:val="bottom"/>
          </w:tcPr>
          <w:p>
            <w:pPr>
              <w:jc w:val="right"/>
              <w:spacing w:after="0"/>
              <w:rPr>
                <w:sz w:val="20"/>
                <w:szCs w:val="20"/>
                <w:color w:val="auto"/>
              </w:rPr>
            </w:pPr>
            <w:r>
              <w:rPr>
                <w:rFonts w:ascii="Arial" w:cs="Arial" w:eastAsia="Arial" w:hAnsi="Arial"/>
                <w:sz w:val="14"/>
                <w:szCs w:val="14"/>
                <w:color w:val="auto"/>
              </w:rPr>
              <w:t>2,249,999</w:t>
            </w:r>
          </w:p>
        </w:tc>
        <w:tc>
          <w:tcPr>
            <w:tcW w:w="1060" w:type="dxa"/>
            <w:vAlign w:val="bottom"/>
          </w:tcPr>
          <w:p>
            <w:pPr>
              <w:jc w:val="right"/>
              <w:spacing w:after="0"/>
              <w:rPr>
                <w:sz w:val="20"/>
                <w:szCs w:val="20"/>
                <w:color w:val="auto"/>
              </w:rPr>
            </w:pPr>
            <w:r>
              <w:rPr>
                <w:rFonts w:ascii="Arial" w:cs="Arial" w:eastAsia="Arial" w:hAnsi="Arial"/>
                <w:sz w:val="14"/>
                <w:szCs w:val="14"/>
                <w:color w:val="auto"/>
              </w:rPr>
              <w:t>4,117,537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6,367,536</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D1D2D4"/>
          </w:tcPr>
          <w:p>
            <w:pPr>
              <w:ind w:left="20"/>
              <w:spacing w:after="0"/>
              <w:rPr>
                <w:sz w:val="20"/>
                <w:szCs w:val="20"/>
                <w:color w:val="auto"/>
              </w:rPr>
            </w:pPr>
            <w:r>
              <w:rPr>
                <w:rFonts w:ascii="Arial" w:cs="Arial" w:eastAsia="Arial" w:hAnsi="Arial"/>
                <w:sz w:val="14"/>
                <w:szCs w:val="14"/>
                <w:color w:val="auto"/>
              </w:rPr>
              <w:t>Scott J. DeBoer</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3,125,031</w:t>
            </w:r>
          </w:p>
        </w:tc>
        <w:tc>
          <w:tcPr>
            <w:tcW w:w="10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5,718,586</w:t>
            </w:r>
          </w:p>
        </w:tc>
        <w:tc>
          <w:tcPr>
            <w:tcW w:w="1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8,843,617</w:t>
            </w:r>
          </w:p>
        </w:tc>
        <w:tc>
          <w:tcPr>
            <w:tcW w:w="9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2,499,976</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4,574,983</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7,074,959</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1,874,986</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3,390,485</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5,265,471</w:t>
            </w:r>
          </w:p>
        </w:tc>
        <w:tc>
          <w:tcPr>
            <w:tcW w:w="0" w:type="dxa"/>
            <w:vAlign w:val="bottom"/>
          </w:tcPr>
          <w:p>
            <w:pPr>
              <w:spacing w:after="0"/>
              <w:rPr>
                <w:sz w:val="1"/>
                <w:szCs w:val="1"/>
                <w:color w:val="auto"/>
              </w:rPr>
            </w:pPr>
          </w:p>
        </w:tc>
      </w:tr>
      <w:tr>
        <w:trPr>
          <w:trHeight w:val="198"/>
        </w:trPr>
        <w:tc>
          <w:tcPr>
            <w:tcW w:w="1500" w:type="dxa"/>
            <w:vAlign w:val="bottom"/>
          </w:tcPr>
          <w:p>
            <w:pPr>
              <w:ind w:left="20"/>
              <w:spacing w:after="0"/>
              <w:rPr>
                <w:sz w:val="20"/>
                <w:szCs w:val="20"/>
                <w:color w:val="auto"/>
              </w:rPr>
            </w:pPr>
            <w:r>
              <w:rPr>
                <w:rFonts w:ascii="Arial" w:cs="Arial" w:eastAsia="Arial" w:hAnsi="Arial"/>
                <w:sz w:val="14"/>
                <w:szCs w:val="14"/>
                <w:color w:val="auto"/>
              </w:rPr>
              <w:t>Sumit Sadana</w:t>
            </w:r>
          </w:p>
        </w:tc>
        <w:tc>
          <w:tcPr>
            <w:tcW w:w="940" w:type="dxa"/>
            <w:vAlign w:val="bottom"/>
          </w:tcPr>
          <w:p>
            <w:pPr>
              <w:jc w:val="right"/>
              <w:spacing w:after="0"/>
              <w:rPr>
                <w:sz w:val="20"/>
                <w:szCs w:val="20"/>
                <w:color w:val="auto"/>
              </w:rPr>
            </w:pPr>
            <w:r>
              <w:rPr>
                <w:rFonts w:ascii="Arial" w:cs="Arial" w:eastAsia="Arial" w:hAnsi="Arial"/>
                <w:sz w:val="14"/>
                <w:szCs w:val="14"/>
                <w:color w:val="auto"/>
              </w:rPr>
              <w:t>4,125,031</w:t>
            </w:r>
          </w:p>
        </w:tc>
        <w:tc>
          <w:tcPr>
            <w:tcW w:w="1060" w:type="dxa"/>
            <w:vAlign w:val="bottom"/>
          </w:tcPr>
          <w:p>
            <w:pPr>
              <w:jc w:val="right"/>
              <w:spacing w:after="0"/>
              <w:rPr>
                <w:sz w:val="20"/>
                <w:szCs w:val="20"/>
                <w:color w:val="auto"/>
              </w:rPr>
            </w:pPr>
            <w:r>
              <w:rPr>
                <w:rFonts w:ascii="Arial" w:cs="Arial" w:eastAsia="Arial" w:hAnsi="Arial"/>
                <w:sz w:val="14"/>
                <w:szCs w:val="14"/>
                <w:color w:val="auto"/>
              </w:rPr>
              <w:t>7,548,641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11,673,672</w:t>
            </w:r>
          </w:p>
        </w:tc>
        <w:tc>
          <w:tcPr>
            <w:tcW w:w="960" w:type="dxa"/>
            <w:vAlign w:val="bottom"/>
          </w:tcPr>
          <w:p>
            <w:pPr>
              <w:jc w:val="right"/>
              <w:spacing w:after="0"/>
              <w:rPr>
                <w:sz w:val="20"/>
                <w:szCs w:val="20"/>
                <w:color w:val="auto"/>
              </w:rPr>
            </w:pPr>
            <w:r>
              <w:rPr>
                <w:rFonts w:ascii="Arial" w:cs="Arial" w:eastAsia="Arial" w:hAnsi="Arial"/>
                <w:sz w:val="14"/>
                <w:szCs w:val="14"/>
                <w:color w:val="auto"/>
              </w:rPr>
              <w:t>3,249,990</w:t>
            </w:r>
          </w:p>
        </w:tc>
        <w:tc>
          <w:tcPr>
            <w:tcW w:w="1080" w:type="dxa"/>
            <w:vAlign w:val="bottom"/>
          </w:tcPr>
          <w:p>
            <w:pPr>
              <w:jc w:val="right"/>
              <w:spacing w:after="0"/>
              <w:rPr>
                <w:sz w:val="20"/>
                <w:szCs w:val="20"/>
                <w:color w:val="auto"/>
              </w:rPr>
            </w:pPr>
            <w:r>
              <w:rPr>
                <w:rFonts w:ascii="Arial" w:cs="Arial" w:eastAsia="Arial" w:hAnsi="Arial"/>
                <w:sz w:val="14"/>
                <w:szCs w:val="14"/>
                <w:color w:val="auto"/>
              </w:rPr>
              <w:t>5,947,520</w:t>
            </w:r>
          </w:p>
        </w:tc>
        <w:tc>
          <w:tcPr>
            <w:tcW w:w="980" w:type="dxa"/>
            <w:vAlign w:val="bottom"/>
          </w:tcPr>
          <w:p>
            <w:pPr>
              <w:jc w:val="right"/>
              <w:spacing w:after="0"/>
              <w:rPr>
                <w:sz w:val="20"/>
                <w:szCs w:val="20"/>
                <w:color w:val="auto"/>
              </w:rPr>
            </w:pPr>
            <w:r>
              <w:rPr>
                <w:rFonts w:ascii="Arial" w:cs="Arial" w:eastAsia="Arial" w:hAnsi="Arial"/>
                <w:sz w:val="14"/>
                <w:szCs w:val="14"/>
                <w:color w:val="auto"/>
              </w:rPr>
              <w:t>9,197,510</w:t>
            </w:r>
          </w:p>
        </w:tc>
        <w:tc>
          <w:tcPr>
            <w:tcW w:w="940" w:type="dxa"/>
            <w:vAlign w:val="bottom"/>
          </w:tcPr>
          <w:p>
            <w:pPr>
              <w:jc w:val="right"/>
              <w:spacing w:after="0"/>
              <w:rPr>
                <w:sz w:val="20"/>
                <w:szCs w:val="20"/>
                <w:color w:val="auto"/>
              </w:rPr>
            </w:pPr>
            <w:r>
              <w:rPr>
                <w:rFonts w:ascii="Arial" w:cs="Arial" w:eastAsia="Arial" w:hAnsi="Arial"/>
                <w:sz w:val="14"/>
                <w:szCs w:val="14"/>
                <w:color w:val="auto"/>
              </w:rPr>
              <w:t>2,750,014</w:t>
            </w:r>
          </w:p>
        </w:tc>
        <w:tc>
          <w:tcPr>
            <w:tcW w:w="1080" w:type="dxa"/>
            <w:vAlign w:val="bottom"/>
          </w:tcPr>
          <w:p>
            <w:pPr>
              <w:jc w:val="right"/>
              <w:spacing w:after="0"/>
              <w:rPr>
                <w:sz w:val="20"/>
                <w:szCs w:val="20"/>
                <w:color w:val="auto"/>
              </w:rPr>
            </w:pPr>
            <w:r>
              <w:rPr>
                <w:rFonts w:ascii="Arial" w:cs="Arial" w:eastAsia="Arial" w:hAnsi="Arial"/>
                <w:sz w:val="14"/>
                <w:szCs w:val="14"/>
                <w:color w:val="auto"/>
              </w:rPr>
              <w:t>4,972,609</w:t>
            </w:r>
          </w:p>
        </w:tc>
        <w:tc>
          <w:tcPr>
            <w:tcW w:w="980" w:type="dxa"/>
            <w:vAlign w:val="bottom"/>
          </w:tcPr>
          <w:p>
            <w:pPr>
              <w:jc w:val="right"/>
              <w:spacing w:after="0"/>
              <w:rPr>
                <w:sz w:val="20"/>
                <w:szCs w:val="20"/>
                <w:color w:val="auto"/>
              </w:rPr>
            </w:pPr>
            <w:r>
              <w:rPr>
                <w:rFonts w:ascii="Arial" w:cs="Arial" w:eastAsia="Arial" w:hAnsi="Arial"/>
                <w:sz w:val="14"/>
                <w:szCs w:val="14"/>
                <w:color w:val="auto"/>
              </w:rPr>
              <w:t>7,722,623</w:t>
            </w:r>
          </w:p>
        </w:tc>
        <w:tc>
          <w:tcPr>
            <w:tcW w:w="0" w:type="dxa"/>
            <w:vAlign w:val="bottom"/>
          </w:tcPr>
          <w:p>
            <w:pPr>
              <w:spacing w:after="0"/>
              <w:rPr>
                <w:sz w:val="1"/>
                <w:szCs w:val="1"/>
                <w:color w:val="auto"/>
              </w:rPr>
            </w:pPr>
          </w:p>
        </w:tc>
      </w:tr>
      <w:tr>
        <w:trPr>
          <w:trHeight w:val="207"/>
        </w:trPr>
        <w:tc>
          <w:tcPr>
            <w:tcW w:w="1500" w:type="dxa"/>
            <w:vAlign w:val="bottom"/>
            <w:shd w:val="clear" w:color="auto" w:fill="D1D2D4"/>
          </w:tcPr>
          <w:p>
            <w:pPr>
              <w:ind w:left="20"/>
              <w:spacing w:after="0"/>
              <w:rPr>
                <w:sz w:val="20"/>
                <w:szCs w:val="20"/>
                <w:color w:val="auto"/>
              </w:rPr>
            </w:pPr>
            <w:r>
              <w:rPr>
                <w:rFonts w:ascii="Arial" w:cs="Arial" w:eastAsia="Arial" w:hAnsi="Arial"/>
                <w:sz w:val="14"/>
                <w:szCs w:val="14"/>
                <w:color w:val="auto"/>
              </w:rPr>
              <w:t>David A. Zinsner</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3,499,998</w:t>
            </w:r>
          </w:p>
        </w:tc>
        <w:tc>
          <w:tcPr>
            <w:tcW w:w="10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6,405,154</w:t>
            </w:r>
          </w:p>
        </w:tc>
        <w:tc>
          <w:tcPr>
            <w:tcW w:w="1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9,905,152</w:t>
            </w:r>
          </w:p>
        </w:tc>
        <w:tc>
          <w:tcPr>
            <w:tcW w:w="9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2,499,976</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4,574,983</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7,074,959</w:t>
            </w:r>
          </w:p>
        </w:tc>
        <w:tc>
          <w:tcPr>
            <w:tcW w:w="9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2,000,010</w:t>
            </w:r>
          </w:p>
        </w:tc>
        <w:tc>
          <w:tcPr>
            <w:tcW w:w="10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3,616,464</w:t>
            </w:r>
          </w:p>
        </w:tc>
        <w:tc>
          <w:tcPr>
            <w:tcW w:w="9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5,616,474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80" w:hanging="332"/>
        <w:spacing w:after="0" w:line="257"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shown for Mr. Murphy includes $9,999,999 in respect of his new hire equity awards, in the form of both time-based restricted stock and performance-based restricted units. Mr. Zinsner’s awards for fiscal 2022 were forfeited due to his resignation from the Company effective as of January 10, 2022.</w:t>
      </w:r>
    </w:p>
    <w:p>
      <w:pPr>
        <w:spacing w:after="0" w:line="1" w:lineRule="exact"/>
        <w:rPr>
          <w:rFonts w:ascii="Arial" w:cs="Arial" w:eastAsia="Arial" w:hAnsi="Arial"/>
          <w:sz w:val="18"/>
          <w:szCs w:val="18"/>
          <w:color w:val="auto"/>
        </w:rPr>
      </w:pPr>
    </w:p>
    <w:p>
      <w:pPr>
        <w:ind w:left="340" w:right="680" w:hanging="332"/>
        <w:spacing w:after="0" w:line="266"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shown for each of the Named Executive Officers were paid pursuant to the EIP and relate to the achievement of certain performance milestones.</w:t>
      </w:r>
    </w:p>
    <w:p>
      <w:pPr>
        <w:spacing w:after="0" w:line="198" w:lineRule="exact"/>
        <w:rPr>
          <w:rFonts w:ascii="Arial" w:cs="Arial" w:eastAsia="Arial" w:hAnsi="Arial"/>
          <w:sz w:val="18"/>
          <w:szCs w:val="18"/>
          <w:color w:val="auto"/>
        </w:rPr>
      </w:pPr>
    </w:p>
    <w:p>
      <w:pPr>
        <w:ind w:left="340" w:right="20" w:hanging="332"/>
        <w:spacing w:after="0" w:line="254"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2022, $15,250 was contributed for each of Messrs. Mehrotra, Bhatia, Bokan, DeBoer, and Sadana, $12,115 for Mr. Murphy, and $2,399 for Mr. Zinsner. Includes matching contributions paid by us for health savings accounts in fiscal 2022 for Messrs. Murphy, Bokan, and DeBoer and award points and tax gross-ups for the award points paid by us to each of the Named Executive Officers in fiscal 2022. Includes personal security arrangements paid by us for Mr. Mehrotra in the amount of $478,993. While we do not consider personal security measures to be a personal benefit, but instead appropriate expenses for the benefit of the Company that arise out of our executive’s employment responsibilities and that are necessary to his or her job performance and to ensure the safety of our executives and their family, amounts represent payments for personal security arrangements.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spacing w:after="0" w:line="20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Compensation for fiscal 2022 also includes the following for the Named Executive Officers mentioned below:</w:t>
      </w:r>
    </w:p>
    <w:p>
      <w:pPr>
        <w:spacing w:after="0" w:line="252" w:lineRule="exact"/>
        <w:rPr>
          <w:rFonts w:ascii="Arial" w:cs="Arial" w:eastAsia="Arial" w:hAnsi="Arial"/>
          <w:sz w:val="18"/>
          <w:szCs w:val="18"/>
          <w:color w:val="auto"/>
        </w:rPr>
      </w:pPr>
    </w:p>
    <w:p>
      <w:pPr>
        <w:ind w:left="660" w:right="100" w:hanging="328"/>
        <w:spacing w:after="0" w:line="287" w:lineRule="auto"/>
        <w:tabs>
          <w:tab w:leader="none" w:pos="6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Amount for Mr. Murphy includes $47,665 in relocation expense and $39,554 for a reimbursement of federal, state, and other income taxes resulting from imputed income.</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Amount for Mr. Bhatia include estimated tax equalization payments of $8,388,304 related to his overseas assignment in Singapore.</w:t>
      </w:r>
    </w:p>
    <w:p>
      <w:pPr>
        <w:spacing w:after="0" w:line="252"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color w:val="auto"/>
        </w:rPr>
        <w:t>Employees who participate in our expatriate programs are responsible for substantially the same income tax liability as they would have been had they worked exclusively in the United States. Each expatriate employee is responsible for a hypothetical U.S. income tax liability based on an estimate of their anticipated U.S. income tax liability on their stay-at-home income, and we are responsible for income tax liabilities associated with the assignment or host country taxes, as applicable, and any additional taxes attributed to the international assignment. To the extent that tax years differ from the fiscal year in which the compensation was earned that gave rise to the expatriates’ income tax liability, or in the case that we have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0"/>
        <w:spacing w:after="0" w:line="268" w:lineRule="auto"/>
        <w:rPr>
          <w:sz w:val="20"/>
          <w:szCs w:val="20"/>
          <w:color w:val="auto"/>
        </w:rPr>
      </w:pPr>
      <w:r>
        <w:rPr>
          <w:rFonts w:ascii="Arial" w:cs="Arial" w:eastAsia="Arial" w:hAnsi="Arial"/>
          <w:sz w:val="18"/>
          <w:szCs w:val="18"/>
          <w:color w:val="auto"/>
        </w:rPr>
        <w:t>not reached the end of the tax year, the amount of tax equalization has been estimated. Mr. Bhatia received no net benefit from tax equalization in fiscal 2021 and 2020 because his hypothetical U.S. tax exceeded his actual and/or estimated global (U.S. and international) taxes in each year.</w:t>
      </w:r>
    </w:p>
    <w:p>
      <w:pPr>
        <w:spacing w:after="0" w:line="19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Mr. Bhatia completed his expatriate assignment in Singapore in fiscal 2022. As a result, he is subject to the deemed exercise rule upon exit with respect to his unvested restricted equity awards granted during his Singapore expatriate assignment and is required to pay Singapore taxes as if gains were realized. We estimate tax equalization of $8,388,304 to be paid by us for Mr. Bhatia for fiscal 2022 and expect that all or a portion of the payment will be recovered by us over the next few years with foreign tax credits or Singapore tax refunds when those restricted equity awards granted during his Singapore expatriate assignment vest or forfeit.</w:t>
      </w:r>
    </w:p>
    <w:p>
      <w:pPr>
        <w:spacing w:after="0" w:line="206" w:lineRule="exact"/>
        <w:rPr>
          <w:sz w:val="20"/>
          <w:szCs w:val="20"/>
          <w:color w:val="auto"/>
        </w:rPr>
      </w:pPr>
    </w:p>
    <w:p>
      <w:pPr>
        <w:ind w:left="660" w:right="60"/>
        <w:spacing w:after="0" w:line="268" w:lineRule="auto"/>
        <w:rPr>
          <w:sz w:val="20"/>
          <w:szCs w:val="20"/>
          <w:color w:val="auto"/>
        </w:rPr>
      </w:pPr>
      <w:r>
        <w:rPr>
          <w:rFonts w:ascii="Arial" w:cs="Arial" w:eastAsia="Arial" w:hAnsi="Arial"/>
          <w:sz w:val="18"/>
          <w:szCs w:val="18"/>
          <w:color w:val="auto"/>
        </w:rPr>
        <w:t>Additionally, the amount for Mr. Bhatia includes $23,528 for cash-payment allowances to Mr. Bhatia associated with his expatriate assignment, $330,251 in housing expenses, $68,088 in automobile expenses, and $56,035 in miscellaneous expenses related to his expatriate assignment.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Amount for Mr. Zinsner includes $6,741 for unused time-off at the time of his resignation.</w:t>
      </w:r>
    </w:p>
    <w:p>
      <w:pPr>
        <w:spacing w:after="0" w:line="252" w:lineRule="exact"/>
        <w:rPr>
          <w:sz w:val="20"/>
          <w:szCs w:val="20"/>
          <w:color w:val="auto"/>
        </w:rPr>
      </w:pPr>
    </w:p>
    <w:p>
      <w:pPr>
        <w:ind w:left="340" w:right="460" w:hanging="332"/>
        <w:spacing w:after="0" w:line="287"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Bokan’s compensation for fiscal 2021 and 2020 is not presented because he was not a Named Executive Officer for those fiscal years.</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Sadana served as our interim Chief Financial Officer from January 10, 2022 to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ectPr>
          <w:pgSz w:w="11900" w:h="16838" w:orient="portrait"/>
          <w:cols w:equalWidth="0" w:num="1">
            <w:col w:w="11240"/>
          </w:cols>
          <w:pgMar w:left="320" w:top="125" w:right="339" w:bottom="1440" w:gutter="0" w:footer="0" w:header="0"/>
        </w:sectPr>
      </w:pPr>
    </w:p>
    <w:bookmarkStart w:id="58" w:name="page59"/>
    <w:bookmarkEnd w:id="58"/>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GRANTS OF PLAN-BASED AWARDS IN FISCAL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All Other Stock</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Estimated Future Payouts</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5"/>
                <w:szCs w:val="5"/>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center"/>
              <w:spacing w:after="0" w:line="162" w:lineRule="exact"/>
              <w:rPr>
                <w:sz w:val="20"/>
                <w:szCs w:val="20"/>
                <w:color w:val="auto"/>
              </w:rPr>
            </w:pPr>
            <w:r>
              <w:rPr>
                <w:rFonts w:ascii="Arial" w:cs="Arial" w:eastAsia="Arial" w:hAnsi="Arial"/>
                <w:sz w:val="16"/>
                <w:szCs w:val="16"/>
                <w:b w:val="1"/>
                <w:bCs w:val="1"/>
                <w:color w:val="auto"/>
              </w:rPr>
              <w:t>under Non-Equity Incentive</w:t>
            </w:r>
          </w:p>
        </w:tc>
        <w:tc>
          <w:tcPr>
            <w:tcW w:w="2760" w:type="dxa"/>
            <w:vAlign w:val="bottom"/>
            <w:gridSpan w:val="3"/>
            <w:vMerge w:val="restart"/>
          </w:tcPr>
          <w:p>
            <w:pPr>
              <w:jc w:val="center"/>
              <w:spacing w:after="0" w:line="162" w:lineRule="exact"/>
              <w:rPr>
                <w:sz w:val="20"/>
                <w:szCs w:val="20"/>
                <w:color w:val="auto"/>
              </w:rPr>
            </w:pPr>
            <w:r>
              <w:rPr>
                <w:rFonts w:ascii="Arial" w:cs="Arial" w:eastAsia="Arial" w:hAnsi="Arial"/>
                <w:sz w:val="16"/>
                <w:szCs w:val="16"/>
                <w:b w:val="1"/>
                <w:bCs w:val="1"/>
                <w:color w:val="auto"/>
              </w:rPr>
              <w:t>Estimated Future Payouts under</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760" w:type="dxa"/>
            <w:vAlign w:val="bottom"/>
            <w:gridSpan w:val="3"/>
            <w:vMerge w:val="continue"/>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Shares of</w:t>
            </w:r>
          </w:p>
        </w:tc>
        <w:tc>
          <w:tcPr>
            <w:tcW w:w="180" w:type="dxa"/>
            <w:vAlign w:val="bottom"/>
          </w:tcPr>
          <w:p>
            <w:pPr>
              <w:spacing w:after="0"/>
              <w:rPr>
                <w:sz w:val="5"/>
                <w:szCs w:val="5"/>
                <w:color w:val="auto"/>
              </w:rPr>
            </w:pPr>
          </w:p>
        </w:tc>
        <w:tc>
          <w:tcPr>
            <w:tcW w:w="11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Plan Awards(1)</w:t>
            </w:r>
          </w:p>
        </w:tc>
        <w:tc>
          <w:tcPr>
            <w:tcW w:w="27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Equity Incentive Plan Awards(2)</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0" w:type="dxa"/>
            <w:vAlign w:val="bottom"/>
            <w:tcBorders>
              <w:bottom w:val="single" w:sz="8" w:color="0090DA"/>
            </w:tcBorders>
            <w:gridSpan w:val="3"/>
            <w:vMerge w:val="continue"/>
          </w:tcPr>
          <w:p>
            <w:pPr>
              <w:spacing w:after="0"/>
              <w:rPr>
                <w:sz w:val="10"/>
                <w:szCs w:val="10"/>
                <w:color w:val="auto"/>
              </w:rPr>
            </w:pPr>
          </w:p>
        </w:tc>
        <w:tc>
          <w:tcPr>
            <w:tcW w:w="2760" w:type="dxa"/>
            <w:vAlign w:val="bottom"/>
            <w:tcBorders>
              <w:bottom w:val="single" w:sz="8" w:color="0090DA"/>
            </w:tcBorders>
            <w:gridSpan w:val="3"/>
            <w:vMerge w:val="continue"/>
          </w:tcPr>
          <w:p>
            <w:pPr>
              <w:spacing w:after="0"/>
              <w:rPr>
                <w:sz w:val="10"/>
                <w:szCs w:val="10"/>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Stock or</w:t>
            </w:r>
          </w:p>
        </w:tc>
        <w:tc>
          <w:tcPr>
            <w:tcW w:w="18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of Stock (or</w:t>
            </w:r>
          </w:p>
        </w:tc>
        <w:tc>
          <w:tcPr>
            <w:tcW w:w="0" w:type="dxa"/>
            <w:vAlign w:val="bottom"/>
          </w:tcPr>
          <w:p>
            <w:pPr>
              <w:spacing w:after="0"/>
              <w:rPr>
                <w:sz w:val="1"/>
                <w:szCs w:val="1"/>
                <w:color w:val="auto"/>
              </w:rPr>
            </w:pPr>
          </w:p>
        </w:tc>
      </w:tr>
      <w:tr>
        <w:trPr>
          <w:trHeight w:val="20"/>
        </w:trPr>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Threshold</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Threshold</w:t>
            </w: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8"/>
              </w:rPr>
              <w:t>Target</w:t>
            </w: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tcBorders>
              <w:bottom w:val="single" w:sz="8" w:color="0090DA"/>
            </w:tcBorders>
            <w:vMerge w:val="continue"/>
          </w:tcPr>
          <w:p>
            <w:pPr>
              <w:spacing w:after="0"/>
              <w:rPr>
                <w:sz w:val="18"/>
                <w:szCs w:val="18"/>
                <w:color w:val="auto"/>
              </w:rPr>
            </w:pPr>
          </w:p>
        </w:tc>
        <w:tc>
          <w:tcPr>
            <w:tcW w:w="98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60" w:type="dxa"/>
            <w:vAlign w:val="bottom"/>
            <w:tcBorders>
              <w:bottom w:val="single" w:sz="8" w:color="0090DA"/>
            </w:tcBorders>
            <w:vMerge w:val="continue"/>
          </w:tcPr>
          <w:p>
            <w:pPr>
              <w:spacing w:after="0"/>
              <w:rPr>
                <w:sz w:val="18"/>
                <w:szCs w:val="18"/>
                <w:color w:val="auto"/>
              </w:rPr>
            </w:pPr>
          </w:p>
        </w:tc>
        <w:tc>
          <w:tcPr>
            <w:tcW w:w="1000" w:type="dxa"/>
            <w:vAlign w:val="bottom"/>
            <w:tcBorders>
              <w:bottom w:val="single" w:sz="8" w:color="0090DA"/>
            </w:tcBorders>
            <w:vMerge w:val="continue"/>
          </w:tcPr>
          <w:p>
            <w:pPr>
              <w:spacing w:after="0"/>
              <w:rPr>
                <w:sz w:val="18"/>
                <w:szCs w:val="18"/>
                <w:color w:val="auto"/>
              </w:rPr>
            </w:pPr>
          </w:p>
        </w:tc>
        <w:tc>
          <w:tcPr>
            <w:tcW w:w="940" w:type="dxa"/>
            <w:vAlign w:val="bottom"/>
            <w:tcBorders>
              <w:bottom w:val="single" w:sz="8" w:color="0090DA"/>
            </w:tcBorders>
            <w:vMerge w:val="continue"/>
          </w:tcPr>
          <w:p>
            <w:pPr>
              <w:spacing w:after="0"/>
              <w:rPr>
                <w:sz w:val="18"/>
                <w:szCs w:val="18"/>
                <w:color w:val="auto"/>
              </w:rPr>
            </w:pPr>
          </w:p>
        </w:tc>
        <w:tc>
          <w:tcPr>
            <w:tcW w:w="820" w:type="dxa"/>
            <w:vAlign w:val="bottom"/>
            <w:tcBorders>
              <w:bottom w:val="single" w:sz="8" w:color="0090DA"/>
            </w:tcBorders>
            <w:vMerge w:val="continue"/>
          </w:tcPr>
          <w:p>
            <w:pPr>
              <w:spacing w:after="0"/>
              <w:rPr>
                <w:sz w:val="18"/>
                <w:szCs w:val="18"/>
                <w:color w:val="auto"/>
              </w:rPr>
            </w:pPr>
          </w:p>
        </w:tc>
        <w:tc>
          <w:tcPr>
            <w:tcW w:w="1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Units(3)</w:t>
            </w:r>
          </w:p>
        </w:tc>
        <w:tc>
          <w:tcPr>
            <w:tcW w:w="18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rPr>
              <w:t>Units)(4)</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Sanjay Mehrotra</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NA $ 1,524,350</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$ 3,048,700</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$ 6,097,400</w:t>
            </w: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36,973</w:t>
            </w:r>
          </w:p>
        </w:tc>
        <w:tc>
          <w:tcPr>
            <w:tcW w:w="9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162,000</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324,000</w:t>
            </w: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11,749,973</w:t>
            </w:r>
          </w:p>
        </w:tc>
        <w:tc>
          <w:tcPr>
            <w:tcW w:w="0" w:type="dxa"/>
            <w:vAlign w:val="bottom"/>
          </w:tcPr>
          <w:p>
            <w:pPr>
              <w:spacing w:after="0"/>
              <w:rPr>
                <w:sz w:val="1"/>
                <w:szCs w:val="1"/>
                <w:color w:val="auto"/>
              </w:rPr>
            </w:pPr>
          </w:p>
        </w:tc>
      </w:tr>
      <w:tr>
        <w:trPr>
          <w:trHeight w:val="218"/>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176,109</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11,749,992</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Mark J. Murphy(5)</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144,904</w:t>
            </w:r>
          </w:p>
        </w:tc>
        <w:tc>
          <w:tcPr>
            <w:tcW w:w="920" w:type="dxa"/>
            <w:vAlign w:val="bottom"/>
          </w:tcPr>
          <w:p>
            <w:pPr>
              <w:jc w:val="right"/>
              <w:spacing w:after="0"/>
              <w:rPr>
                <w:sz w:val="20"/>
                <w:szCs w:val="20"/>
                <w:color w:val="auto"/>
              </w:rPr>
            </w:pPr>
            <w:r>
              <w:rPr>
                <w:rFonts w:ascii="Arial" w:cs="Arial" w:eastAsia="Arial" w:hAnsi="Arial"/>
                <w:sz w:val="16"/>
                <w:szCs w:val="16"/>
                <w:color w:val="auto"/>
              </w:rPr>
              <w:t>289,808</w:t>
            </w:r>
          </w:p>
        </w:tc>
        <w:tc>
          <w:tcPr>
            <w:tcW w:w="960" w:type="dxa"/>
            <w:vAlign w:val="bottom"/>
          </w:tcPr>
          <w:p>
            <w:pPr>
              <w:jc w:val="right"/>
              <w:spacing w:after="0"/>
              <w:rPr>
                <w:sz w:val="20"/>
                <w:szCs w:val="20"/>
                <w:color w:val="auto"/>
              </w:rPr>
            </w:pPr>
            <w:r>
              <w:rPr>
                <w:rFonts w:ascii="Arial" w:cs="Arial" w:eastAsia="Arial" w:hAnsi="Arial"/>
                <w:sz w:val="16"/>
                <w:szCs w:val="16"/>
                <w:color w:val="auto"/>
              </w:rPr>
              <w:t>579,615</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04/18/22</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18,692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82,412</w:t>
            </w:r>
          </w:p>
        </w:tc>
        <w:tc>
          <w:tcPr>
            <w:tcW w:w="820" w:type="dxa"/>
            <w:vAlign w:val="bottom"/>
          </w:tcPr>
          <w:p>
            <w:pPr>
              <w:jc w:val="right"/>
              <w:spacing w:after="0"/>
              <w:rPr>
                <w:sz w:val="20"/>
                <w:szCs w:val="20"/>
                <w:color w:val="auto"/>
              </w:rPr>
            </w:pPr>
            <w:r>
              <w:rPr>
                <w:rFonts w:ascii="Arial" w:cs="Arial" w:eastAsia="Arial" w:hAnsi="Arial"/>
                <w:sz w:val="16"/>
                <w:szCs w:val="16"/>
                <w:color w:val="auto"/>
              </w:rPr>
              <w:t>164,824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6,315,985</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04/18/22</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90,061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6,315,978</w:t>
            </w:r>
          </w:p>
        </w:tc>
        <w:tc>
          <w:tcPr>
            <w:tcW w:w="0" w:type="dxa"/>
            <w:vAlign w:val="bottom"/>
          </w:tcPr>
          <w:p>
            <w:pPr>
              <w:spacing w:after="0"/>
              <w:rPr>
                <w:sz w:val="1"/>
                <w:szCs w:val="1"/>
                <w:color w:val="auto"/>
              </w:rPr>
            </w:pPr>
          </w:p>
        </w:tc>
      </w:tr>
      <w:tr>
        <w:trPr>
          <w:trHeight w:val="216"/>
        </w:trPr>
        <w:tc>
          <w:tcPr>
            <w:tcW w:w="2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Manish Bhatia</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401,363</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802,725</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1,605,450</w:t>
            </w: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12,587</w:t>
            </w:r>
          </w:p>
        </w:tc>
        <w:tc>
          <w:tcPr>
            <w:tcW w:w="9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55,149</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110,298</w:t>
            </w: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3,999,994</w:t>
            </w:r>
          </w:p>
        </w:tc>
        <w:tc>
          <w:tcPr>
            <w:tcW w:w="0" w:type="dxa"/>
            <w:vAlign w:val="bottom"/>
          </w:tcPr>
          <w:p>
            <w:pPr>
              <w:spacing w:after="0"/>
              <w:rPr>
                <w:sz w:val="1"/>
                <w:szCs w:val="1"/>
                <w:color w:val="auto"/>
              </w:rPr>
            </w:pPr>
          </w:p>
        </w:tc>
      </w:tr>
      <w:tr>
        <w:trPr>
          <w:trHeight w:val="218"/>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59,952</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3,999,997</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Michael W. Bokan</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248,040</w:t>
            </w:r>
          </w:p>
        </w:tc>
        <w:tc>
          <w:tcPr>
            <w:tcW w:w="920" w:type="dxa"/>
            <w:vAlign w:val="bottom"/>
          </w:tcPr>
          <w:p>
            <w:pPr>
              <w:jc w:val="right"/>
              <w:spacing w:after="0"/>
              <w:rPr>
                <w:sz w:val="20"/>
                <w:szCs w:val="20"/>
                <w:color w:val="auto"/>
              </w:rPr>
            </w:pPr>
            <w:r>
              <w:rPr>
                <w:rFonts w:ascii="Arial" w:cs="Arial" w:eastAsia="Arial" w:hAnsi="Arial"/>
                <w:sz w:val="16"/>
                <w:szCs w:val="16"/>
                <w:color w:val="auto"/>
              </w:rPr>
              <w:t>496,080</w:t>
            </w:r>
          </w:p>
        </w:tc>
        <w:tc>
          <w:tcPr>
            <w:tcW w:w="960" w:type="dxa"/>
            <w:vAlign w:val="bottom"/>
          </w:tcPr>
          <w:p>
            <w:pPr>
              <w:jc w:val="right"/>
              <w:spacing w:after="0"/>
              <w:rPr>
                <w:sz w:val="20"/>
                <w:szCs w:val="20"/>
                <w:color w:val="auto"/>
              </w:rPr>
            </w:pPr>
            <w:r>
              <w:rPr>
                <w:rFonts w:ascii="Arial" w:cs="Arial" w:eastAsia="Arial" w:hAnsi="Arial"/>
                <w:sz w:val="16"/>
                <w:szCs w:val="16"/>
                <w:color w:val="auto"/>
              </w:rPr>
              <w:t>992,160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7,080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31,022</w:t>
            </w:r>
          </w:p>
        </w:tc>
        <w:tc>
          <w:tcPr>
            <w:tcW w:w="820" w:type="dxa"/>
            <w:vAlign w:val="bottom"/>
          </w:tcPr>
          <w:p>
            <w:pPr>
              <w:jc w:val="right"/>
              <w:spacing w:after="0"/>
              <w:rPr>
                <w:sz w:val="20"/>
                <w:szCs w:val="20"/>
                <w:color w:val="auto"/>
              </w:rPr>
            </w:pPr>
            <w:r>
              <w:rPr>
                <w:rFonts w:ascii="Arial" w:cs="Arial" w:eastAsia="Arial" w:hAnsi="Arial"/>
                <w:sz w:val="16"/>
                <w:szCs w:val="16"/>
                <w:color w:val="auto"/>
              </w:rPr>
              <w:t>62,044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2,250,045</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33,723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2,249,999</w:t>
            </w:r>
          </w:p>
        </w:tc>
        <w:tc>
          <w:tcPr>
            <w:tcW w:w="0" w:type="dxa"/>
            <w:vAlign w:val="bottom"/>
          </w:tcPr>
          <w:p>
            <w:pPr>
              <w:spacing w:after="0"/>
              <w:rPr>
                <w:sz w:val="1"/>
                <w:szCs w:val="1"/>
                <w:color w:val="auto"/>
              </w:rPr>
            </w:pPr>
          </w:p>
        </w:tc>
      </w:tr>
      <w:tr>
        <w:trPr>
          <w:trHeight w:val="216"/>
        </w:trPr>
        <w:tc>
          <w:tcPr>
            <w:tcW w:w="2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Scott J. DeBoer</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312,375</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624,750</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1,249,500</w:t>
            </w: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9,833</w:t>
            </w:r>
          </w:p>
        </w:tc>
        <w:tc>
          <w:tcPr>
            <w:tcW w:w="9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43,084</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86,168</w:t>
            </w: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3,124,913</w:t>
            </w:r>
          </w:p>
        </w:tc>
        <w:tc>
          <w:tcPr>
            <w:tcW w:w="0" w:type="dxa"/>
            <w:vAlign w:val="bottom"/>
          </w:tcPr>
          <w:p>
            <w:pPr>
              <w:spacing w:after="0"/>
              <w:rPr>
                <w:sz w:val="1"/>
                <w:szCs w:val="1"/>
                <w:color w:val="auto"/>
              </w:rPr>
            </w:pPr>
          </w:p>
        </w:tc>
      </w:tr>
      <w:tr>
        <w:trPr>
          <w:trHeight w:val="218"/>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46,838</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3,125,031</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Sumit Sadana</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469,350</w:t>
            </w:r>
          </w:p>
        </w:tc>
        <w:tc>
          <w:tcPr>
            <w:tcW w:w="920" w:type="dxa"/>
            <w:vAlign w:val="bottom"/>
          </w:tcPr>
          <w:p>
            <w:pPr>
              <w:jc w:val="right"/>
              <w:spacing w:after="0"/>
              <w:rPr>
                <w:sz w:val="20"/>
                <w:szCs w:val="20"/>
                <w:color w:val="auto"/>
              </w:rPr>
            </w:pPr>
            <w:r>
              <w:rPr>
                <w:rFonts w:ascii="Arial" w:cs="Arial" w:eastAsia="Arial" w:hAnsi="Arial"/>
                <w:sz w:val="16"/>
                <w:szCs w:val="16"/>
                <w:color w:val="auto"/>
              </w:rPr>
              <w:t>938,700</w:t>
            </w:r>
          </w:p>
        </w:tc>
        <w:tc>
          <w:tcPr>
            <w:tcW w:w="960" w:type="dxa"/>
            <w:vAlign w:val="bottom"/>
          </w:tcPr>
          <w:p>
            <w:pPr>
              <w:jc w:val="right"/>
              <w:spacing w:after="0"/>
              <w:rPr>
                <w:sz w:val="20"/>
                <w:szCs w:val="20"/>
                <w:color w:val="auto"/>
              </w:rPr>
            </w:pPr>
            <w:r>
              <w:rPr>
                <w:rFonts w:ascii="Arial" w:cs="Arial" w:eastAsia="Arial" w:hAnsi="Arial"/>
                <w:sz w:val="16"/>
                <w:szCs w:val="16"/>
                <w:color w:val="auto"/>
              </w:rPr>
              <w:t>1,877,400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12,980</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56,872</w:t>
            </w:r>
          </w:p>
        </w:tc>
        <w:tc>
          <w:tcPr>
            <w:tcW w:w="820" w:type="dxa"/>
            <w:vAlign w:val="bottom"/>
          </w:tcPr>
          <w:p>
            <w:pPr>
              <w:jc w:val="right"/>
              <w:spacing w:after="0"/>
              <w:rPr>
                <w:sz w:val="20"/>
                <w:szCs w:val="20"/>
                <w:color w:val="auto"/>
              </w:rPr>
            </w:pPr>
            <w:r>
              <w:rPr>
                <w:rFonts w:ascii="Arial" w:cs="Arial" w:eastAsia="Arial" w:hAnsi="Arial"/>
                <w:sz w:val="16"/>
                <w:szCs w:val="16"/>
                <w:color w:val="auto"/>
              </w:rPr>
              <w:t>113,744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4,124,971</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61,826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4,125,031</w:t>
            </w:r>
          </w:p>
        </w:tc>
        <w:tc>
          <w:tcPr>
            <w:tcW w:w="0" w:type="dxa"/>
            <w:vAlign w:val="bottom"/>
          </w:tcPr>
          <w:p>
            <w:pPr>
              <w:spacing w:after="0"/>
              <w:rPr>
                <w:sz w:val="1"/>
                <w:szCs w:val="1"/>
                <w:color w:val="auto"/>
              </w:rPr>
            </w:pPr>
          </w:p>
        </w:tc>
      </w:tr>
      <w:tr>
        <w:trPr>
          <w:trHeight w:val="216"/>
        </w:trPr>
        <w:tc>
          <w:tcPr>
            <w:tcW w:w="2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David A. Zinsner(5)</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393,223</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786,445</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1,572,890</w:t>
            </w: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11,013</w:t>
            </w:r>
          </w:p>
        </w:tc>
        <w:tc>
          <w:tcPr>
            <w:tcW w:w="9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48,256</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96,512</w:t>
            </w:r>
          </w:p>
        </w:tc>
        <w:tc>
          <w:tcPr>
            <w:tcW w:w="12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3,500,031</w:t>
            </w:r>
          </w:p>
        </w:tc>
        <w:tc>
          <w:tcPr>
            <w:tcW w:w="0" w:type="dxa"/>
            <w:vAlign w:val="bottom"/>
          </w:tcPr>
          <w:p>
            <w:pPr>
              <w:spacing w:after="0"/>
              <w:rPr>
                <w:sz w:val="1"/>
                <w:szCs w:val="1"/>
                <w:color w:val="auto"/>
              </w:rPr>
            </w:pPr>
          </w:p>
        </w:tc>
      </w:tr>
      <w:tr>
        <w:trPr>
          <w:trHeight w:val="218"/>
        </w:trPr>
        <w:tc>
          <w:tcPr>
            <w:tcW w:w="214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10/13/21</w:t>
            </w:r>
          </w:p>
        </w:tc>
        <w:tc>
          <w:tcPr>
            <w:tcW w:w="9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52,458</w:t>
            </w: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3,499,998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40" w:hanging="332"/>
        <w:spacing w:after="0" w:line="262"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estimated possible payouts for fiscal 2022 under the EIP. Payment of bonuses under the EIP is dependent upon meeting specified performance goals. A description of the performance milestones associated with such bonuses is included in the “Compensation Discussion and Analysis.” Actual payouts received by the Named Executive Officers for fiscal 2022 under the EIP are reported in the Fiscal 2022 Summary Compensation Table under the column titled “Non-Equity Incentive Plan Compensation.”</w:t>
      </w:r>
    </w:p>
    <w:p>
      <w:pPr>
        <w:spacing w:after="0" w:line="135" w:lineRule="exact"/>
        <w:rPr>
          <w:rFonts w:ascii="Arial" w:cs="Arial" w:eastAsia="Arial" w:hAnsi="Arial"/>
          <w:sz w:val="18"/>
          <w:szCs w:val="18"/>
          <w:color w:val="auto"/>
        </w:rPr>
      </w:pPr>
    </w:p>
    <w:p>
      <w:pPr>
        <w:ind w:left="340" w:right="40" w:hanging="332"/>
        <w:spacing w:after="0" w:line="257"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2022 under the 2007 Plan with performance-based and market-based restrictions. The threshold amounts shown relate solely to the 2022 TSR PRSU Awards. For the 2022 High-Value Solutions PRSU Awards and the 2022 Market Segment PRSU Awards, achievement at the relevant threshold level results in no payout. For all PRSU awards, achievement between the threshold level and the maximum level is paid out based on interpolation between performance levels. Information related to the performance-based and market-based restrictions associated with these shares is contained in “Compensation Discussion and Analysis.”</w:t>
      </w:r>
    </w:p>
    <w:p>
      <w:pPr>
        <w:spacing w:after="0" w:line="155" w:lineRule="exact"/>
        <w:rPr>
          <w:rFonts w:ascii="Arial" w:cs="Arial" w:eastAsia="Arial" w:hAnsi="Arial"/>
          <w:sz w:val="18"/>
          <w:szCs w:val="18"/>
          <w:color w:val="auto"/>
        </w:rPr>
      </w:pPr>
    </w:p>
    <w:p>
      <w:pPr>
        <w:ind w:left="340" w:right="300" w:hanging="332"/>
        <w:spacing w:after="0" w:line="287"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restricted stock awarded in fiscal 2022 under the 2007 Plan with time-based restrictions. Time-based restrictions on these awards lapse in three equal installments over a three-year period from the date of the award.</w:t>
      </w:r>
    </w:p>
    <w:p>
      <w:pPr>
        <w:spacing w:after="0" w:line="112" w:lineRule="exact"/>
        <w:rPr>
          <w:rFonts w:ascii="Arial" w:cs="Arial" w:eastAsia="Arial" w:hAnsi="Arial"/>
          <w:sz w:val="18"/>
          <w:szCs w:val="18"/>
          <w:color w:val="auto"/>
        </w:rPr>
      </w:pPr>
    </w:p>
    <w:p>
      <w:pPr>
        <w:jc w:val="both"/>
        <w:ind w:left="340" w:right="340" w:hanging="332"/>
        <w:spacing w:after="0" w:line="268"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700"/>
        <w:spacing w:after="0" w:line="287" w:lineRule="auto"/>
        <w:rPr>
          <w:sz w:val="20"/>
          <w:szCs w:val="20"/>
          <w:color w:val="auto"/>
        </w:rPr>
      </w:pPr>
      <w:r>
        <w:rPr>
          <w:rFonts w:ascii="Arial" w:cs="Arial" w:eastAsia="Arial" w:hAnsi="Arial"/>
          <w:sz w:val="18"/>
          <w:szCs w:val="18"/>
          <w:color w:val="auto"/>
        </w:rPr>
        <w:t>per share as calculated by the use of a Monte-Carlo simulation, which represents the most likely value if the award had a market condition performance goal.</w:t>
      </w:r>
    </w:p>
    <w:p>
      <w:pPr>
        <w:spacing w:after="0" w:line="112" w:lineRule="exact"/>
        <w:rPr>
          <w:sz w:val="20"/>
          <w:szCs w:val="20"/>
          <w:color w:val="auto"/>
        </w:rPr>
      </w:pPr>
    </w:p>
    <w:p>
      <w:pPr>
        <w:ind w:left="340" w:right="60" w:hanging="332"/>
        <w:spacing w:after="0" w:line="268" w:lineRule="auto"/>
        <w:tabs>
          <w:tab w:leader="none" w:pos="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Murphy was appointed as our Executive Vice President and Chief Financial Officer, effective as of April 18, 2022. The amounts shown for Mr. Murphy for non-equity incentive plan awards represent his estimated possible payouts for fiscal 2022 and were prorated to reflect his length of service in fiscal 2022.</w:t>
      </w:r>
    </w:p>
    <w:p>
      <w:pPr>
        <w:spacing w:after="0" w:line="143" w:lineRule="exact"/>
        <w:rPr>
          <w:rFonts w:ascii="Arial" w:cs="Arial" w:eastAsia="Arial" w:hAnsi="Arial"/>
          <w:sz w:val="18"/>
          <w:szCs w:val="18"/>
          <w:color w:val="auto"/>
        </w:rPr>
      </w:pPr>
    </w:p>
    <w:p>
      <w:pPr>
        <w:ind w:left="340" w:right="160"/>
        <w:spacing w:after="0" w:line="287" w:lineRule="auto"/>
        <w:rPr>
          <w:rFonts w:ascii="Arial" w:cs="Arial" w:eastAsia="Arial" w:hAnsi="Arial"/>
          <w:sz w:val="18"/>
          <w:szCs w:val="18"/>
          <w:color w:val="auto"/>
        </w:rPr>
      </w:pPr>
      <w:r>
        <w:rPr>
          <w:rFonts w:ascii="Arial" w:cs="Arial" w:eastAsia="Arial" w:hAnsi="Arial"/>
          <w:sz w:val="18"/>
          <w:szCs w:val="18"/>
          <w:color w:val="auto"/>
        </w:rPr>
        <w:t>Mr. Zinsner resigned as our Executive Vice President and Chief Financial Officer effective as of January 10, 2022. Mr. Zinsner’s awards for fiscal 2022 were forfeited due to his resignation.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Plan Information</w:t>
      </w:r>
    </w:p>
    <w:p>
      <w:pPr>
        <w:spacing w:after="0" w:line="2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options, restricted stock, restricted stock units, and dividend equivalent rights under the 2007 Plan. Options granted under the 2007 Plan have an exercise price equal to the fair market value (as defined by the 2007 Plan) on the date of grant and, since March 2014, a term of eight years. For purposes of share counting, each restricted stock unit or share of restricted stock issued under the 2007 Plan reduces the number of shares available for issuance by two.</w:t>
      </w:r>
    </w:p>
    <w:p>
      <w:pPr>
        <w:spacing w:after="0" w:line="210"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2022, the Compensation Committee reviewed the goals established under the EIP for fiscal 2022 and certified achievement of results.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Lapsing of Restrictions Associated with Restricted Stock and Restricted Stock Unit Awards</w:t>
      </w:r>
    </w:p>
    <w:p>
      <w:pPr>
        <w:spacing w:after="0" w:line="24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three equal installments over a three-year period. The restrictions associated with performance-based awards are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Vesting of Performance-based Awards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executive officers received awards related to three performance goals: a NAND high value solutions metric, a NAND market segment metric and a company valuation metric. Please see “Fiscal 2022 Executive Compensation – Fiscal 2022 Long-Term Equity Incentives”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guaranteed. In the absence of at least the threshold targets being achieved, the restrictions will not lapse and the shares will be forfeited.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Awards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Bonuses were paid to the Named Executive Officers for fiscal 2022 as a result of achievement of certain goals. Please see the “Fiscal 2022 Executive Compensation – Fiscal 2022 Short-Term Incentive Awards”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920"/>
        <w:spacing w:after="0" w:line="305" w:lineRule="auto"/>
        <w:rPr>
          <w:sz w:val="20"/>
          <w:szCs w:val="20"/>
          <w:color w:val="auto"/>
        </w:rPr>
      </w:pPr>
      <w:r>
        <w:rPr>
          <w:rFonts w:ascii="Arial" w:cs="Arial" w:eastAsia="Arial" w:hAnsi="Arial"/>
          <w:sz w:val="39"/>
          <w:szCs w:val="39"/>
          <w:b w:val="1"/>
          <w:bCs w:val="1"/>
          <w:color w:val="auto"/>
        </w:rPr>
        <w:t>OUTSTANDING EQUITY AWARDS AT FISCAL 2022 YEAR-END</w:t>
      </w:r>
    </w:p>
    <w:p>
      <w:pPr>
        <w:spacing w:after="0" w:line="50" w:lineRule="exact"/>
        <w:rPr>
          <w:sz w:val="20"/>
          <w:szCs w:val="20"/>
          <w:color w:val="auto"/>
        </w:rPr>
      </w:pPr>
    </w:p>
    <w:p>
      <w:pPr>
        <w:ind w:right="540"/>
        <w:spacing w:after="0" w:line="279"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September 1, 2022, by our Named Executive Officers.</w:t>
      </w:r>
    </w:p>
    <w:p>
      <w:pPr>
        <w:sectPr>
          <w:pgSz w:w="11900" w:h="16838" w:orient="portrait"/>
          <w:cols w:equalWidth="0" w:num="1">
            <w:col w:w="11240"/>
          </w:cols>
          <w:pgMar w:left="320" w:top="125" w:right="33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60" w:type="dxa"/>
            <w:vAlign w:val="bottom"/>
          </w:tcPr>
          <w:p>
            <w:pPr>
              <w:spacing w:after="0"/>
              <w:rPr>
                <w:sz w:val="17"/>
                <w:szCs w:val="17"/>
                <w:color w:val="auto"/>
              </w:rPr>
            </w:pPr>
          </w:p>
        </w:tc>
        <w:tc>
          <w:tcPr>
            <w:tcW w:w="1040" w:type="dxa"/>
            <w:vAlign w:val="bottom"/>
            <w:tcBorders>
              <w:bottom w:val="single" w:sz="8" w:color="0090DA"/>
            </w:tcBorders>
          </w:tcPr>
          <w:p>
            <w:pPr>
              <w:spacing w:after="0"/>
              <w:rPr>
                <w:sz w:val="17"/>
                <w:szCs w:val="17"/>
                <w:color w:val="auto"/>
              </w:rPr>
            </w:pPr>
          </w:p>
        </w:tc>
        <w:tc>
          <w:tcPr>
            <w:tcW w:w="1560" w:type="dxa"/>
            <w:vAlign w:val="bottom"/>
            <w:tcBorders>
              <w:bottom w:val="single" w:sz="8" w:color="0090DA"/>
            </w:tcBorders>
            <w:gridSpan w:val="2"/>
          </w:tcPr>
          <w:p>
            <w:pPr>
              <w:ind w:left="5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Borders>
              <w:bottom w:val="single" w:sz="8" w:color="0090DA"/>
            </w:tcBorders>
          </w:tcPr>
          <w:p>
            <w:pPr>
              <w:spacing w:after="0"/>
              <w:rPr>
                <w:sz w:val="17"/>
                <w:szCs w:val="17"/>
                <w:color w:val="auto"/>
              </w:rPr>
            </w:pPr>
          </w:p>
        </w:tc>
        <w:tc>
          <w:tcPr>
            <w:tcW w:w="860" w:type="dxa"/>
            <w:vAlign w:val="bottom"/>
            <w:tcBorders>
              <w:bottom w:val="single" w:sz="8" w:color="0090DA"/>
            </w:tcBorders>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460" w:type="dxa"/>
            <w:vAlign w:val="bottom"/>
          </w:tcPr>
          <w:p>
            <w:pPr>
              <w:spacing w:after="0"/>
              <w:rPr>
                <w:sz w:val="24"/>
                <w:szCs w:val="24"/>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 Securities Underlying</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2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Unexercised Options</w:t>
            </w:r>
          </w:p>
        </w:tc>
        <w:tc>
          <w:tcPr>
            <w:tcW w:w="100" w:type="dxa"/>
            <w:vAlign w:val="bottom"/>
            <w:vMerge w:val="restart"/>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460" w:type="dxa"/>
            <w:vAlign w:val="bottom"/>
          </w:tcPr>
          <w:p>
            <w:pPr>
              <w:spacing w:after="0"/>
              <w:rPr>
                <w:sz w:val="9"/>
                <w:szCs w:val="9"/>
                <w:color w:val="auto"/>
              </w:rPr>
            </w:pPr>
          </w:p>
        </w:tc>
        <w:tc>
          <w:tcPr>
            <w:tcW w:w="2500" w:type="dxa"/>
            <w:vAlign w:val="bottom"/>
            <w:tcBorders>
              <w:bottom w:val="single" w:sz="8" w:color="0090DA"/>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rPr>
              <w:t>Exercise</w:t>
            </w: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Exercisable</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Unexercisable</w:t>
            </w:r>
          </w:p>
        </w:tc>
        <w:tc>
          <w:tcPr>
            <w:tcW w:w="6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w:t>
            </w:r>
          </w:p>
        </w:tc>
        <w:tc>
          <w:tcPr>
            <w:tcW w:w="10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8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0090DA"/>
            </w:tcBorders>
            <w:vMerge w:val="continue"/>
          </w:tcPr>
          <w:p>
            <w:pPr>
              <w:spacing w:after="0"/>
              <w:rPr>
                <w:sz w:val="16"/>
                <w:szCs w:val="16"/>
                <w:color w:val="auto"/>
              </w:rPr>
            </w:pPr>
          </w:p>
        </w:tc>
        <w:tc>
          <w:tcPr>
            <w:tcW w:w="1040" w:type="dxa"/>
            <w:vAlign w:val="bottom"/>
            <w:tcBorders>
              <w:bottom w:val="single" w:sz="8" w:color="0090DA"/>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0090DA"/>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90DA"/>
            </w:tcBorders>
          </w:tcPr>
          <w:p>
            <w:pPr>
              <w:spacing w:after="0"/>
              <w:rPr>
                <w:sz w:val="16"/>
                <w:szCs w:val="16"/>
                <w:color w:val="auto"/>
              </w:rPr>
            </w:pPr>
          </w:p>
        </w:tc>
        <w:tc>
          <w:tcPr>
            <w:tcW w:w="680" w:type="dxa"/>
            <w:vAlign w:val="bottom"/>
            <w:tcBorders>
              <w:bottom w:val="single" w:sz="8" w:color="0090DA"/>
            </w:tcBorders>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 or Units of Stock That</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 Number of</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54"/>
        </w:trPr>
        <w:tc>
          <w:tcPr>
            <w:tcW w:w="2200" w:type="dxa"/>
            <w:vAlign w:val="bottom"/>
            <w:gridSpan w:val="2"/>
            <w:vMerge w:val="continue"/>
          </w:tcPr>
          <w:p>
            <w:pPr>
              <w:spacing w:after="0"/>
              <w:rPr>
                <w:sz w:val="4"/>
                <w:szCs w:val="4"/>
                <w:color w:val="auto"/>
              </w:rPr>
            </w:pPr>
          </w:p>
        </w:tc>
        <w:tc>
          <w:tcPr>
            <w:tcW w:w="15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Unearned Shares,</w:t>
            </w:r>
          </w:p>
        </w:tc>
        <w:tc>
          <w:tcPr>
            <w:tcW w:w="17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90"/>
        </w:trPr>
        <w:tc>
          <w:tcPr>
            <w:tcW w:w="22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Have Not Vested</w:t>
            </w:r>
          </w:p>
        </w:tc>
        <w:tc>
          <w:tcPr>
            <w:tcW w:w="15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200" w:type="dxa"/>
            <w:vAlign w:val="bottom"/>
            <w:tcBorders>
              <w:bottom w:val="single" w:sz="8" w:color="0090DA"/>
            </w:tcBorders>
            <w:gridSpan w:val="2"/>
            <w:vMerge w:val="continue"/>
          </w:tcPr>
          <w:p>
            <w:pPr>
              <w:spacing w:after="0"/>
              <w:rPr>
                <w:sz w:val="8"/>
                <w:szCs w:val="8"/>
                <w:color w:val="auto"/>
              </w:rPr>
            </w:pPr>
          </w:p>
        </w:tc>
        <w:tc>
          <w:tcPr>
            <w:tcW w:w="15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Units or Other Rights</w:t>
            </w:r>
          </w:p>
        </w:tc>
        <w:tc>
          <w:tcPr>
            <w:tcW w:w="1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Unearned Shares, Units</w:t>
            </w:r>
          </w:p>
        </w:tc>
        <w:tc>
          <w:tcPr>
            <w:tcW w:w="0" w:type="dxa"/>
            <w:vAlign w:val="bottom"/>
          </w:tcPr>
          <w:p>
            <w:pPr>
              <w:spacing w:after="0"/>
              <w:rPr>
                <w:sz w:val="1"/>
                <w:szCs w:val="1"/>
                <w:color w:val="auto"/>
              </w:rPr>
            </w:pPr>
          </w:p>
        </w:tc>
      </w:tr>
      <w:tr>
        <w:trPr>
          <w:trHeight w:val="25"/>
        </w:trPr>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1580" w:type="dxa"/>
            <w:vAlign w:val="bottom"/>
            <w:vMerge w:val="continue"/>
          </w:tcPr>
          <w:p>
            <w:pPr>
              <w:spacing w:after="0"/>
              <w:rPr>
                <w:sz w:val="2"/>
                <w:szCs w:val="2"/>
                <w:color w:val="auto"/>
              </w:rPr>
            </w:pPr>
          </w:p>
        </w:tc>
        <w:tc>
          <w:tcPr>
            <w:tcW w:w="1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 Have Not</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 Other Rights That</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0090DA"/>
            </w:tcBorders>
          </w:tcPr>
          <w:p>
            <w:pPr>
              <w:ind w:left="5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90DA"/>
            </w:tcBorders>
          </w:tcPr>
          <w:p>
            <w:pPr>
              <w:jc w:val="center"/>
              <w:ind w:left="8"/>
              <w:spacing w:after="0"/>
              <w:rPr>
                <w:sz w:val="20"/>
                <w:szCs w:val="20"/>
                <w:color w:val="auto"/>
              </w:rPr>
            </w:pPr>
            <w:r>
              <w:rPr>
                <w:rFonts w:ascii="Arial" w:cs="Arial" w:eastAsia="Arial" w:hAnsi="Arial"/>
                <w:sz w:val="14"/>
                <w:szCs w:val="14"/>
                <w:b w:val="1"/>
                <w:bCs w:val="1"/>
                <w:color w:val="auto"/>
              </w:rPr>
              <w:t>Value($)(1)</w:t>
            </w:r>
          </w:p>
        </w:tc>
        <w:tc>
          <w:tcPr>
            <w:tcW w:w="15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7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2">
            <w:col w:w="5600" w:space="10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Sanjay Mehrotra</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471,976</w:t>
            </w:r>
          </w:p>
        </w:tc>
        <w:tc>
          <w:tcPr>
            <w:tcW w:w="18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28.20</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5/8/2025</w:t>
            </w: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53,810</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3,083,851</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3,579</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580" w:type="dxa"/>
            <w:vAlign w:val="bottom"/>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205,112</w:t>
            </w:r>
          </w:p>
        </w:tc>
      </w:tr>
      <w:tr>
        <w:trPr>
          <w:trHeight w:val="194"/>
        </w:trPr>
        <w:tc>
          <w:tcPr>
            <w:tcW w:w="14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140,308</w:t>
            </w:r>
          </w:p>
        </w:tc>
        <w:tc>
          <w:tcPr>
            <w:tcW w:w="1820" w:type="dxa"/>
            <w:vAlign w:val="bottom"/>
            <w:shd w:val="clear" w:color="auto" w:fill="DBDBDB"/>
          </w:tcPr>
          <w:p>
            <w:pPr>
              <w:spacing w:after="0"/>
              <w:rPr>
                <w:sz w:val="16"/>
                <w:szCs w:val="16"/>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118,727</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6,804,244</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135,115</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58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7,743,441</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176,109</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10,092,807</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75,240</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4,312,004</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89,045</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5,103,169</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44,027</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2,523,187</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44,027</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2,523,187</w:t>
            </w:r>
          </w:p>
        </w:tc>
      </w:tr>
      <w:tr>
        <w:trPr>
          <w:trHeight w:val="211"/>
        </w:trPr>
        <w:tc>
          <w:tcPr>
            <w:tcW w:w="14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73,946</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5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4,237,845</w:t>
            </w:r>
          </w:p>
        </w:tc>
      </w:tr>
      <w:tr>
        <w:trPr>
          <w:trHeight w:val="194"/>
        </w:trPr>
        <w:tc>
          <w:tcPr>
            <w:tcW w:w="1460" w:type="dxa"/>
            <w:vAlign w:val="bottom"/>
          </w:tcPr>
          <w:p>
            <w:pPr>
              <w:ind w:left="20"/>
              <w:spacing w:after="0"/>
              <w:rPr>
                <w:sz w:val="20"/>
                <w:szCs w:val="20"/>
                <w:color w:val="auto"/>
              </w:rPr>
            </w:pPr>
            <w:r>
              <w:rPr>
                <w:rFonts w:ascii="Arial" w:cs="Arial" w:eastAsia="Arial" w:hAnsi="Arial"/>
                <w:sz w:val="14"/>
                <w:szCs w:val="14"/>
                <w:color w:val="auto"/>
              </w:rPr>
              <w:t>Mark J. Murphy</w:t>
            </w:r>
          </w:p>
        </w:tc>
        <w:tc>
          <w:tcPr>
            <w:tcW w:w="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90,061</w:t>
            </w: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5,161,396</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22,515</w:t>
            </w: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1,290,335</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22,515</w:t>
            </w: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1,290,335</w:t>
            </w:r>
          </w:p>
        </w:tc>
      </w:tr>
      <w:tr>
        <w:trPr>
          <w:trHeight w:val="207"/>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37,382</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2,142,362</w:t>
            </w:r>
          </w:p>
        </w:tc>
      </w:tr>
      <w:tr>
        <w:trPr>
          <w:trHeight w:val="198"/>
        </w:trPr>
        <w:tc>
          <w:tcPr>
            <w:tcW w:w="1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Manish Bhatia</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53,317</w:t>
            </w: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17,937</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1,027,969</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1,200</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68,772</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38,506</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2,206,779</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45,328</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2,597,748</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59,952</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3,435,849</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24,402</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1,398,479</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28,879</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1,655,055</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14,988</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858,962</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14,988</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858,962</w:t>
            </w:r>
          </w:p>
        </w:tc>
      </w:tr>
      <w:tr>
        <w:trPr>
          <w:trHeight w:val="210"/>
        </w:trPr>
        <w:tc>
          <w:tcPr>
            <w:tcW w:w="14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25,173</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5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1,442,665</w:t>
            </w:r>
          </w:p>
        </w:tc>
      </w:tr>
      <w:tr>
        <w:trPr>
          <w:trHeight w:val="195"/>
        </w:trPr>
        <w:tc>
          <w:tcPr>
            <w:tcW w:w="1460" w:type="dxa"/>
            <w:vAlign w:val="bottom"/>
          </w:tcPr>
          <w:p>
            <w:pPr>
              <w:ind w:left="20"/>
              <w:spacing w:after="0"/>
              <w:rPr>
                <w:sz w:val="20"/>
                <w:szCs w:val="20"/>
                <w:color w:val="auto"/>
              </w:rPr>
            </w:pPr>
            <w:r>
              <w:rPr>
                <w:rFonts w:ascii="Arial" w:cs="Arial" w:eastAsia="Arial" w:hAnsi="Arial"/>
                <w:sz w:val="14"/>
                <w:szCs w:val="14"/>
                <w:color w:val="auto"/>
              </w:rPr>
              <w:t>Michael W. Bokan</w:t>
            </w:r>
          </w:p>
        </w:tc>
        <w:tc>
          <w:tcPr>
            <w:tcW w:w="920" w:type="dxa"/>
            <w:vAlign w:val="bottom"/>
          </w:tcPr>
          <w:p>
            <w:pPr>
              <w:jc w:val="right"/>
              <w:spacing w:after="0"/>
              <w:rPr>
                <w:sz w:val="20"/>
                <w:szCs w:val="20"/>
                <w:color w:val="auto"/>
              </w:rPr>
            </w:pPr>
            <w:r>
              <w:rPr>
                <w:rFonts w:ascii="Arial" w:cs="Arial" w:eastAsia="Arial" w:hAnsi="Arial"/>
                <w:sz w:val="14"/>
                <w:szCs w:val="14"/>
                <w:color w:val="auto"/>
              </w:rPr>
              <w:t>5,590</w:t>
            </w:r>
          </w:p>
        </w:tc>
        <w:tc>
          <w:tcPr>
            <w:tcW w:w="1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18.18</w:t>
            </w:r>
          </w:p>
        </w:tc>
        <w:tc>
          <w:tcPr>
            <w:tcW w:w="840" w:type="dxa"/>
            <w:vAlign w:val="bottom"/>
          </w:tcPr>
          <w:p>
            <w:pPr>
              <w:jc w:val="right"/>
              <w:spacing w:after="0"/>
              <w:rPr>
                <w:sz w:val="20"/>
                <w:szCs w:val="20"/>
                <w:color w:val="auto"/>
              </w:rPr>
            </w:pPr>
            <w:r>
              <w:rPr>
                <w:rFonts w:ascii="Arial" w:cs="Arial" w:eastAsia="Arial" w:hAnsi="Arial"/>
                <w:sz w:val="14"/>
                <w:szCs w:val="14"/>
                <w:color w:val="auto"/>
              </w:rPr>
              <w:t>10/14/2023</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7,175</w:t>
            </w: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411,199</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480</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27,509</w:t>
            </w:r>
          </w:p>
        </w:tc>
      </w:tr>
      <w:tr>
        <w:trPr>
          <w:trHeight w:val="203"/>
        </w:trPr>
        <w:tc>
          <w:tcPr>
            <w:tcW w:w="1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23,501</w:t>
            </w:r>
          </w:p>
        </w:tc>
        <w:tc>
          <w:tcPr>
            <w:tcW w:w="1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17.41</w:t>
            </w:r>
          </w:p>
        </w:tc>
        <w:tc>
          <w:tcPr>
            <w:tcW w:w="840" w:type="dxa"/>
            <w:vAlign w:val="bottom"/>
          </w:tcPr>
          <w:p>
            <w:pPr>
              <w:jc w:val="right"/>
              <w:spacing w:after="0"/>
              <w:rPr>
                <w:sz w:val="20"/>
                <w:szCs w:val="20"/>
                <w:color w:val="auto"/>
              </w:rPr>
            </w:pPr>
            <w:r>
              <w:rPr>
                <w:rFonts w:ascii="Arial" w:cs="Arial" w:eastAsia="Arial" w:hAnsi="Arial"/>
                <w:sz w:val="14"/>
                <w:szCs w:val="14"/>
                <w:color w:val="auto"/>
              </w:rPr>
              <w:t>10/19/2024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22,462</w:t>
            </w: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1,287,297</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18,124</w:t>
            </w:r>
          </w:p>
        </w:tc>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1,038,686</w:t>
            </w:r>
          </w:p>
        </w:tc>
      </w:tr>
      <w:tr>
        <w:trPr>
          <w:trHeight w:val="202"/>
        </w:trPr>
        <w:tc>
          <w:tcPr>
            <w:tcW w:w="1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11,365</w:t>
            </w:r>
          </w:p>
        </w:tc>
        <w:tc>
          <w:tcPr>
            <w:tcW w:w="1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41.56</w:t>
            </w:r>
          </w:p>
        </w:tc>
        <w:tc>
          <w:tcPr>
            <w:tcW w:w="840" w:type="dxa"/>
            <w:vAlign w:val="bottom"/>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33,723</w:t>
            </w: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1,932,665</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14,235</w:t>
            </w: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815,808</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16,846</w:t>
            </w: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965,444</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8,431</w:t>
            </w: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483,181</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8,431</w:t>
            </w: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483,181</w:t>
            </w:r>
          </w:p>
        </w:tc>
      </w:tr>
      <w:tr>
        <w:trPr>
          <w:trHeight w:val="207"/>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14,160</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811,510</w:t>
            </w:r>
          </w:p>
        </w:tc>
      </w:tr>
      <w:tr>
        <w:trPr>
          <w:trHeight w:val="198"/>
        </w:trPr>
        <w:tc>
          <w:tcPr>
            <w:tcW w:w="1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Scott J. DeBoer</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8,770</w:t>
            </w: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10/24/2025</w:t>
            </w: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13,452</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770,934</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896</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51,350</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32,088</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1,838,963</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33,834</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1,939,027</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46,838</w:t>
            </w: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2,684,286</w:t>
            </w: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20,335</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1,165,399</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24,066</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1,379,222</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11,709</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671,043</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11,709</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58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671,043</w:t>
            </w:r>
          </w:p>
        </w:tc>
      </w:tr>
      <w:tr>
        <w:trPr>
          <w:trHeight w:val="211"/>
        </w:trPr>
        <w:tc>
          <w:tcPr>
            <w:tcW w:w="14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19,666</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5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1,127,058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type w:val="continuous"/>
        </w:sectPr>
      </w:pPr>
    </w:p>
    <w:bookmarkStart w:id="61" w:name="page62"/>
    <w:bookmarkEnd w:id="61"/>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60" w:type="dxa"/>
            <w:vAlign w:val="bottom"/>
          </w:tcPr>
          <w:p>
            <w:pPr>
              <w:spacing w:after="0"/>
              <w:rPr>
                <w:sz w:val="17"/>
                <w:szCs w:val="17"/>
                <w:color w:val="auto"/>
              </w:rPr>
            </w:pPr>
          </w:p>
        </w:tc>
        <w:tc>
          <w:tcPr>
            <w:tcW w:w="1040" w:type="dxa"/>
            <w:vAlign w:val="bottom"/>
            <w:tcBorders>
              <w:bottom w:val="single" w:sz="8" w:color="0090DA"/>
            </w:tcBorders>
          </w:tcPr>
          <w:p>
            <w:pPr>
              <w:spacing w:after="0"/>
              <w:rPr>
                <w:sz w:val="17"/>
                <w:szCs w:val="17"/>
                <w:color w:val="auto"/>
              </w:rPr>
            </w:pPr>
          </w:p>
        </w:tc>
        <w:tc>
          <w:tcPr>
            <w:tcW w:w="1560" w:type="dxa"/>
            <w:vAlign w:val="bottom"/>
            <w:tcBorders>
              <w:bottom w:val="single" w:sz="8" w:color="0090DA"/>
            </w:tcBorders>
            <w:gridSpan w:val="2"/>
          </w:tcPr>
          <w:p>
            <w:pPr>
              <w:ind w:left="5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Borders>
              <w:bottom w:val="single" w:sz="8" w:color="0090DA"/>
            </w:tcBorders>
          </w:tcPr>
          <w:p>
            <w:pPr>
              <w:spacing w:after="0"/>
              <w:rPr>
                <w:sz w:val="17"/>
                <w:szCs w:val="17"/>
                <w:color w:val="auto"/>
              </w:rPr>
            </w:pPr>
          </w:p>
        </w:tc>
        <w:tc>
          <w:tcPr>
            <w:tcW w:w="860" w:type="dxa"/>
            <w:vAlign w:val="bottom"/>
            <w:tcBorders>
              <w:bottom w:val="single" w:sz="8" w:color="0090DA"/>
            </w:tcBorders>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460" w:type="dxa"/>
            <w:vAlign w:val="bottom"/>
          </w:tcPr>
          <w:p>
            <w:pPr>
              <w:spacing w:after="0"/>
              <w:rPr>
                <w:sz w:val="24"/>
                <w:szCs w:val="24"/>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 Securities Underlying</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2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Unexercised Options</w:t>
            </w:r>
          </w:p>
        </w:tc>
        <w:tc>
          <w:tcPr>
            <w:tcW w:w="100" w:type="dxa"/>
            <w:vAlign w:val="bottom"/>
            <w:vMerge w:val="restart"/>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460" w:type="dxa"/>
            <w:vAlign w:val="bottom"/>
          </w:tcPr>
          <w:p>
            <w:pPr>
              <w:spacing w:after="0"/>
              <w:rPr>
                <w:sz w:val="9"/>
                <w:szCs w:val="9"/>
                <w:color w:val="auto"/>
              </w:rPr>
            </w:pPr>
          </w:p>
        </w:tc>
        <w:tc>
          <w:tcPr>
            <w:tcW w:w="2500" w:type="dxa"/>
            <w:vAlign w:val="bottom"/>
            <w:tcBorders>
              <w:bottom w:val="single" w:sz="8" w:color="0090DA"/>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restart"/>
          </w:tcPr>
          <w:p>
            <w:pPr>
              <w:jc w:val="center"/>
              <w:ind w:right="8"/>
              <w:spacing w:after="0" w:line="145" w:lineRule="exact"/>
              <w:rPr>
                <w:sz w:val="20"/>
                <w:szCs w:val="20"/>
                <w:color w:val="auto"/>
              </w:rPr>
            </w:pPr>
            <w:r>
              <w:rPr>
                <w:rFonts w:ascii="Arial" w:cs="Arial" w:eastAsia="Arial" w:hAnsi="Arial"/>
                <w:sz w:val="14"/>
                <w:szCs w:val="14"/>
                <w:b w:val="1"/>
                <w:bCs w:val="1"/>
                <w:color w:val="auto"/>
              </w:rPr>
              <w:t>Exercise</w:t>
            </w:r>
          </w:p>
        </w:tc>
        <w:tc>
          <w:tcPr>
            <w:tcW w:w="8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Exercisable</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Unexercisable</w:t>
            </w:r>
          </w:p>
        </w:tc>
        <w:tc>
          <w:tcPr>
            <w:tcW w:w="6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Name</w:t>
            </w:r>
          </w:p>
        </w:tc>
        <w:tc>
          <w:tcPr>
            <w:tcW w:w="10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0090DA"/>
            </w:tcBorders>
            <w:vMerge w:val="continue"/>
          </w:tcPr>
          <w:p>
            <w:pPr>
              <w:spacing w:after="0"/>
              <w:rPr>
                <w:sz w:val="16"/>
                <w:szCs w:val="16"/>
                <w:color w:val="auto"/>
              </w:rPr>
            </w:pPr>
          </w:p>
        </w:tc>
        <w:tc>
          <w:tcPr>
            <w:tcW w:w="1040" w:type="dxa"/>
            <w:vAlign w:val="bottom"/>
            <w:tcBorders>
              <w:bottom w:val="single" w:sz="8" w:color="0090DA"/>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0090DA"/>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90DA"/>
            </w:tcBorders>
          </w:tcPr>
          <w:p>
            <w:pPr>
              <w:spacing w:after="0"/>
              <w:rPr>
                <w:sz w:val="16"/>
                <w:szCs w:val="16"/>
                <w:color w:val="auto"/>
              </w:rPr>
            </w:pPr>
          </w:p>
        </w:tc>
        <w:tc>
          <w:tcPr>
            <w:tcW w:w="680" w:type="dxa"/>
            <w:vAlign w:val="bottom"/>
            <w:tcBorders>
              <w:bottom w:val="single" w:sz="8" w:color="0090DA"/>
            </w:tcBorders>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44"/>
        </w:trPr>
        <w:tc>
          <w:tcPr>
            <w:tcW w:w="2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 or Units of Stock That</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 Number of</w:t>
            </w: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58"/>
        </w:trPr>
        <w:tc>
          <w:tcPr>
            <w:tcW w:w="2200" w:type="dxa"/>
            <w:vAlign w:val="bottom"/>
            <w:gridSpan w:val="2"/>
            <w:vMerge w:val="continue"/>
          </w:tcPr>
          <w:p>
            <w:pPr>
              <w:spacing w:after="0"/>
              <w:rPr>
                <w:sz w:val="5"/>
                <w:szCs w:val="5"/>
                <w:color w:val="auto"/>
              </w:rPr>
            </w:pPr>
          </w:p>
        </w:tc>
        <w:tc>
          <w:tcPr>
            <w:tcW w:w="15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Unearned Shares,</w:t>
            </w:r>
          </w:p>
        </w:tc>
        <w:tc>
          <w:tcPr>
            <w:tcW w:w="1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81"/>
        </w:trPr>
        <w:tc>
          <w:tcPr>
            <w:tcW w:w="22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Have Not Vested</w:t>
            </w:r>
          </w:p>
        </w:tc>
        <w:tc>
          <w:tcPr>
            <w:tcW w:w="158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200" w:type="dxa"/>
            <w:vAlign w:val="bottom"/>
            <w:tcBorders>
              <w:bottom w:val="single" w:sz="8" w:color="0090DA"/>
            </w:tcBorders>
            <w:gridSpan w:val="2"/>
            <w:vMerge w:val="continue"/>
          </w:tcPr>
          <w:p>
            <w:pPr>
              <w:spacing w:after="0"/>
              <w:rPr>
                <w:sz w:val="9"/>
                <w:szCs w:val="9"/>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Units or Other Rights</w:t>
            </w:r>
          </w:p>
        </w:tc>
        <w:tc>
          <w:tcPr>
            <w:tcW w:w="1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Unearned Shares, Units</w:t>
            </w:r>
          </w:p>
        </w:tc>
        <w:tc>
          <w:tcPr>
            <w:tcW w:w="0" w:type="dxa"/>
            <w:vAlign w:val="bottom"/>
          </w:tcPr>
          <w:p>
            <w:pPr>
              <w:spacing w:after="0"/>
              <w:rPr>
                <w:sz w:val="1"/>
                <w:szCs w:val="1"/>
                <w:color w:val="auto"/>
              </w:rPr>
            </w:pPr>
          </w:p>
        </w:tc>
      </w:tr>
      <w:tr>
        <w:trPr>
          <w:trHeight w:val="25"/>
        </w:trPr>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1580" w:type="dxa"/>
            <w:vAlign w:val="bottom"/>
            <w:vMerge w:val="continue"/>
          </w:tcPr>
          <w:p>
            <w:pPr>
              <w:spacing w:after="0"/>
              <w:rPr>
                <w:sz w:val="2"/>
                <w:szCs w:val="2"/>
                <w:color w:val="auto"/>
              </w:rPr>
            </w:pPr>
          </w:p>
        </w:tc>
        <w:tc>
          <w:tcPr>
            <w:tcW w:w="1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Have Not</w:t>
            </w: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or Other Rights That</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0090DA"/>
            </w:tcBorders>
          </w:tcPr>
          <w:p>
            <w:pPr>
              <w:ind w:left="5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90DA"/>
            </w:tcBorders>
          </w:tcPr>
          <w:p>
            <w:pPr>
              <w:jc w:val="center"/>
              <w:ind w:left="8"/>
              <w:spacing w:after="0"/>
              <w:rPr>
                <w:sz w:val="20"/>
                <w:szCs w:val="20"/>
                <w:color w:val="auto"/>
              </w:rPr>
            </w:pPr>
            <w:r>
              <w:rPr>
                <w:rFonts w:ascii="Arial" w:cs="Arial" w:eastAsia="Arial" w:hAnsi="Arial"/>
                <w:sz w:val="14"/>
                <w:szCs w:val="14"/>
                <w:b w:val="1"/>
                <w:bCs w:val="1"/>
                <w:color w:val="auto"/>
              </w:rPr>
              <w:t>Value($)(1)</w:t>
            </w:r>
          </w:p>
        </w:tc>
        <w:tc>
          <w:tcPr>
            <w:tcW w:w="158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7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2">
            <w:col w:w="5600" w:space="100"/>
            <w:col w:w="5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4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Sumit Sadana</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14,031</w:t>
            </w:r>
          </w:p>
        </w:tc>
        <w:tc>
          <w:tcPr>
            <w:tcW w:w="3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41.56  10/24/2025</w:t>
            </w:r>
          </w:p>
        </w:tc>
        <w:tc>
          <w:tcPr>
            <w:tcW w:w="10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19,730</w:t>
            </w:r>
          </w:p>
        </w:tc>
        <w:tc>
          <w:tcPr>
            <w:tcW w:w="4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1,130,726</w:t>
            </w: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1,311</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(3)</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75,133</w:t>
            </w:r>
          </w:p>
        </w:tc>
      </w:tr>
      <w:tr>
        <w:trPr>
          <w:trHeight w:val="194"/>
        </w:trPr>
        <w:tc>
          <w:tcPr>
            <w:tcW w:w="14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22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41,715</w:t>
            </w:r>
          </w:p>
        </w:tc>
        <w:tc>
          <w:tcPr>
            <w:tcW w:w="4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(4)</w:t>
            </w:r>
          </w:p>
        </w:tc>
        <w:tc>
          <w:tcPr>
            <w:tcW w:w="11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2,390,687</w:t>
            </w: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49,485</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(5)</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2,835,985</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22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61,826</w:t>
            </w:r>
          </w:p>
        </w:tc>
        <w:tc>
          <w:tcPr>
            <w:tcW w:w="4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(6)</w:t>
            </w:r>
          </w:p>
        </w:tc>
        <w:tc>
          <w:tcPr>
            <w:tcW w:w="11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3,543,248</w:t>
            </w: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26,436</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(7)</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1,515,047</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2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31,286</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(8)</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1,793,001</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2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15,456</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(9)</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885,783</w:t>
            </w:r>
          </w:p>
        </w:tc>
      </w:tr>
      <w:tr>
        <w:trPr>
          <w:trHeight w:val="203"/>
        </w:trPr>
        <w:tc>
          <w:tcPr>
            <w:tcW w:w="14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32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15,456</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(10)</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885,783</w:t>
            </w:r>
          </w:p>
        </w:tc>
      </w:tr>
      <w:tr>
        <w:trPr>
          <w:trHeight w:val="211"/>
        </w:trPr>
        <w:tc>
          <w:tcPr>
            <w:tcW w:w="146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32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90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25,960</w:t>
            </w:r>
          </w:p>
        </w:tc>
        <w:tc>
          <w:tcPr>
            <w:tcW w:w="96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(11)</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1,487,768</w:t>
            </w:r>
          </w:p>
        </w:tc>
      </w:tr>
      <w:tr>
        <w:trPr>
          <w:trHeight w:val="194"/>
        </w:trPr>
        <w:tc>
          <w:tcPr>
            <w:tcW w:w="1460" w:type="dxa"/>
            <w:vAlign w:val="bottom"/>
          </w:tcPr>
          <w:p>
            <w:pPr>
              <w:ind w:left="20"/>
              <w:spacing w:after="0"/>
              <w:rPr>
                <w:sz w:val="20"/>
                <w:szCs w:val="20"/>
                <w:color w:val="auto"/>
              </w:rPr>
            </w:pPr>
            <w:r>
              <w:rPr>
                <w:rFonts w:ascii="Arial" w:cs="Arial" w:eastAsia="Arial" w:hAnsi="Arial"/>
                <w:sz w:val="14"/>
                <w:szCs w:val="14"/>
                <w:color w:val="auto"/>
              </w:rPr>
              <w:t>David A. Zinsner</w:t>
            </w: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956</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(3)</w:t>
            </w:r>
          </w:p>
        </w:tc>
        <w:tc>
          <w:tcPr>
            <w:tcW w:w="1240" w:type="dxa"/>
            <w:vAlign w:val="bottom"/>
          </w:tcPr>
          <w:p>
            <w:pPr>
              <w:jc w:val="right"/>
              <w:spacing w:after="0"/>
              <w:rPr>
                <w:sz w:val="20"/>
                <w:szCs w:val="20"/>
                <w:color w:val="auto"/>
              </w:rPr>
            </w:pPr>
            <w:r>
              <w:rPr>
                <w:rFonts w:ascii="Arial" w:cs="Arial" w:eastAsia="Arial" w:hAnsi="Arial"/>
                <w:sz w:val="14"/>
                <w:szCs w:val="14"/>
                <w:color w:val="auto"/>
              </w:rPr>
              <w:t>54,788</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36,088</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(5)</w:t>
            </w:r>
          </w:p>
        </w:tc>
        <w:tc>
          <w:tcPr>
            <w:tcW w:w="1240" w:type="dxa"/>
            <w:vAlign w:val="bottom"/>
          </w:tcPr>
          <w:p>
            <w:pPr>
              <w:jc w:val="right"/>
              <w:spacing w:after="0"/>
              <w:rPr>
                <w:sz w:val="20"/>
                <w:szCs w:val="20"/>
                <w:color w:val="auto"/>
              </w:rPr>
            </w:pPr>
            <w:r>
              <w:rPr>
                <w:rFonts w:ascii="Arial" w:cs="Arial" w:eastAsia="Arial" w:hAnsi="Arial"/>
                <w:sz w:val="14"/>
                <w:szCs w:val="14"/>
                <w:color w:val="auto"/>
              </w:rPr>
              <w:t>2,068,203</w:t>
            </w:r>
          </w:p>
        </w:tc>
      </w:tr>
      <w:tr>
        <w:trPr>
          <w:trHeight w:val="203"/>
        </w:trPr>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20,335</w:t>
            </w:r>
          </w:p>
        </w:tc>
        <w:tc>
          <w:tcPr>
            <w:tcW w:w="960" w:type="dxa"/>
            <w:vAlign w:val="bottom"/>
          </w:tcPr>
          <w:p>
            <w:pPr>
              <w:jc w:val="right"/>
              <w:ind w:right="468"/>
              <w:spacing w:after="0"/>
              <w:rPr>
                <w:sz w:val="20"/>
                <w:szCs w:val="20"/>
                <w:color w:val="auto"/>
              </w:rPr>
            </w:pPr>
            <w:r>
              <w:rPr>
                <w:rFonts w:ascii="Arial" w:cs="Arial" w:eastAsia="Arial" w:hAnsi="Arial"/>
                <w:sz w:val="14"/>
                <w:szCs w:val="14"/>
                <w:color w:val="auto"/>
              </w:rPr>
              <w:t>(7)</w:t>
            </w:r>
          </w:p>
        </w:tc>
        <w:tc>
          <w:tcPr>
            <w:tcW w:w="1240" w:type="dxa"/>
            <w:vAlign w:val="bottom"/>
          </w:tcPr>
          <w:p>
            <w:pPr>
              <w:jc w:val="right"/>
              <w:spacing w:after="0"/>
              <w:rPr>
                <w:sz w:val="20"/>
                <w:szCs w:val="20"/>
                <w:color w:val="auto"/>
              </w:rPr>
            </w:pPr>
            <w:r>
              <w:rPr>
                <w:rFonts w:ascii="Arial" w:cs="Arial" w:eastAsia="Arial" w:hAnsi="Arial"/>
                <w:sz w:val="14"/>
                <w:szCs w:val="14"/>
                <w:color w:val="auto"/>
              </w:rPr>
              <w:t>1,165,399</w:t>
            </w:r>
          </w:p>
        </w:tc>
      </w:tr>
    </w:tbl>
    <w:p>
      <w:pPr>
        <w:spacing w:after="0" w:line="327" w:lineRule="exact"/>
        <w:rPr>
          <w:sz w:val="20"/>
          <w:szCs w:val="20"/>
          <w:color w:val="auto"/>
        </w:rPr>
      </w:pPr>
    </w:p>
    <w:p>
      <w:pPr>
        <w:ind w:left="400" w:right="22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$57.31, the closing price of our Common Stock on September 1, 2022.</w:t>
      </w:r>
    </w:p>
    <w:p>
      <w:pPr>
        <w:spacing w:after="0" w:line="112"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on shares will lapse on October 16, 2022.</w:t>
      </w:r>
    </w:p>
    <w:p>
      <w:pPr>
        <w:spacing w:after="0" w:line="184" w:lineRule="exact"/>
        <w:rPr>
          <w:rFonts w:ascii="Arial" w:cs="Arial" w:eastAsia="Arial" w:hAnsi="Arial"/>
          <w:sz w:val="18"/>
          <w:szCs w:val="18"/>
          <w:color w:val="auto"/>
        </w:rPr>
      </w:pPr>
    </w:p>
    <w:p>
      <w:pPr>
        <w:ind w:left="400" w:right="24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in October 2022 based on the achievement of an rTSR goal through fiscal 2021.</w:t>
      </w:r>
    </w:p>
    <w:p>
      <w:pPr>
        <w:spacing w:after="0" w:line="125"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on shares lapsed or will lapse, as applicable, in equal installments on October 16, 2022 and October 16, 2023.</w:t>
      </w:r>
    </w:p>
    <w:p>
      <w:pPr>
        <w:spacing w:after="0" w:line="184" w:lineRule="exact"/>
        <w:rPr>
          <w:rFonts w:ascii="Arial" w:cs="Arial" w:eastAsia="Arial" w:hAnsi="Arial"/>
          <w:sz w:val="18"/>
          <w:szCs w:val="18"/>
          <w:color w:val="auto"/>
        </w:rPr>
      </w:pPr>
    </w:p>
    <w:p>
      <w:pPr>
        <w:ind w:left="400" w:right="24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banked number of restricted stock units. Performance-based restrictions on stock units lapsed in October 2022 based on the achievement of a high value solutions sales goal through fiscal 2020.</w:t>
      </w:r>
    </w:p>
    <w:p>
      <w:pPr>
        <w:spacing w:after="0" w:line="112" w:lineRule="exact"/>
        <w:rPr>
          <w:rFonts w:ascii="Arial" w:cs="Arial" w:eastAsia="Arial" w:hAnsi="Arial"/>
          <w:sz w:val="18"/>
          <w:szCs w:val="18"/>
          <w:color w:val="auto"/>
        </w:rPr>
      </w:pPr>
    </w:p>
    <w:p>
      <w:pPr>
        <w:ind w:left="400" w:right="4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on shares lapsed or will lapse, as applicable, in equal installments on October 13, 2022, October 13, 2023, and October 13, 2024.</w:t>
      </w:r>
    </w:p>
    <w:p>
      <w:pPr>
        <w:spacing w:after="0" w:line="125" w:lineRule="exact"/>
        <w:rPr>
          <w:rFonts w:ascii="Arial" w:cs="Arial" w:eastAsia="Arial" w:hAnsi="Arial"/>
          <w:sz w:val="18"/>
          <w:szCs w:val="18"/>
          <w:color w:val="auto"/>
        </w:rPr>
      </w:pPr>
    </w:p>
    <w:p>
      <w:pPr>
        <w:ind w:left="400" w:right="66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2022 and October 2023 based on the achievement of an rTSR goal through fiscal 2022 and 2023.</w:t>
      </w:r>
    </w:p>
    <w:p>
      <w:pPr>
        <w:spacing w:after="0" w:line="112" w:lineRule="exact"/>
        <w:rPr>
          <w:rFonts w:ascii="Arial" w:cs="Arial" w:eastAsia="Arial" w:hAnsi="Arial"/>
          <w:sz w:val="18"/>
          <w:szCs w:val="18"/>
          <w:color w:val="auto"/>
        </w:rPr>
      </w:pPr>
    </w:p>
    <w:p>
      <w:pPr>
        <w:ind w:left="400" w:right="66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2022 and October 2023 based on the achievement of a high value solutions sales goal through fiscal 2022.</w:t>
      </w:r>
    </w:p>
    <w:p>
      <w:pPr>
        <w:spacing w:after="0" w:line="112" w:lineRule="exact"/>
        <w:rPr>
          <w:rFonts w:ascii="Arial" w:cs="Arial" w:eastAsia="Arial" w:hAnsi="Arial"/>
          <w:sz w:val="18"/>
          <w:szCs w:val="18"/>
          <w:color w:val="auto"/>
        </w:rPr>
      </w:pPr>
    </w:p>
    <w:p>
      <w:pPr>
        <w:ind w:left="400" w:right="660" w:hanging="392"/>
        <w:spacing w:after="0" w:line="28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2023 and October 2024 based on the achievement of a NAND high value solutions sales goal through fiscal 2023 and 2024.</w:t>
      </w:r>
    </w:p>
    <w:p>
      <w:pPr>
        <w:spacing w:after="0" w:line="125" w:lineRule="exact"/>
        <w:rPr>
          <w:rFonts w:ascii="Arial" w:cs="Arial" w:eastAsia="Arial" w:hAnsi="Arial"/>
          <w:sz w:val="18"/>
          <w:szCs w:val="18"/>
          <w:color w:val="auto"/>
        </w:rPr>
      </w:pPr>
    </w:p>
    <w:p>
      <w:pPr>
        <w:ind w:left="400" w:right="660" w:hanging="392"/>
        <w:spacing w:after="0" w:line="287" w:lineRule="auto"/>
        <w:tabs>
          <w:tab w:leader="none" w:pos="3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2023 and October 2024 based on the achievement of a NAND market segment goal through fiscal 2023 and 2024.</w:t>
      </w:r>
    </w:p>
    <w:p>
      <w:pPr>
        <w:spacing w:after="0" w:line="112" w:lineRule="exact"/>
        <w:rPr>
          <w:rFonts w:ascii="Arial" w:cs="Arial" w:eastAsia="Arial" w:hAnsi="Arial"/>
          <w:sz w:val="18"/>
          <w:szCs w:val="18"/>
          <w:color w:val="auto"/>
        </w:rPr>
      </w:pPr>
    </w:p>
    <w:p>
      <w:pPr>
        <w:ind w:left="400" w:right="660" w:hanging="392"/>
        <w:spacing w:after="0" w:line="287" w:lineRule="auto"/>
        <w:tabs>
          <w:tab w:leader="none" w:pos="3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in October 2023 and October 2024 based on the achievement of an rTSR goal through fiscal 2023 and 2024.</w:t>
      </w:r>
    </w:p>
    <w:p>
      <w:pPr>
        <w:spacing w:after="0" w:line="112" w:lineRule="exact"/>
        <w:rPr>
          <w:rFonts w:ascii="Arial" w:cs="Arial" w:eastAsia="Arial" w:hAnsi="Arial"/>
          <w:sz w:val="18"/>
          <w:szCs w:val="18"/>
          <w:color w:val="auto"/>
        </w:rPr>
      </w:pPr>
    </w:p>
    <w:p>
      <w:pPr>
        <w:ind w:left="400" w:hanging="392"/>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on shares lapsed or will lapse, as applicable, in equal installments on April 18, 2023, April 18, 2024, and April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55</w:t>
      </w:r>
    </w:p>
    <w:p>
      <w:pPr>
        <w:sectPr>
          <w:pgSz w:w="11900" w:h="16838" w:orient="portrait"/>
          <w:cols w:equalWidth="0" w:num="1">
            <w:col w:w="11240"/>
          </w:cols>
          <w:pgMar w:left="320" w:top="125" w:right="3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OPTION EXERCISES AND STOCK VESTED IN FISCAL 2022</w:t>
      </w:r>
    </w:p>
    <w:p>
      <w:pPr>
        <w:spacing w:after="0" w:line="257"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2022 and the value realized.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Option Awards</w:t>
            </w:r>
          </w:p>
        </w:tc>
        <w:tc>
          <w:tcPr>
            <w:tcW w:w="2760" w:type="dxa"/>
            <w:vAlign w:val="bottom"/>
            <w:gridSpan w:val="3"/>
          </w:tcPr>
          <w:p>
            <w:pPr>
              <w:jc w:val="center"/>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280" w:type="dxa"/>
            <w:vAlign w:val="bottom"/>
            <w:tcBorders>
              <w:top w:val="single" w:sz="8" w:color="0090DA"/>
            </w:tcBorders>
          </w:tcPr>
          <w:p>
            <w:pPr>
              <w:jc w:val="right"/>
              <w:ind w:right="133"/>
              <w:spacing w:after="0" w:line="155" w:lineRule="exact"/>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0090DA"/>
            </w:tcBorders>
          </w:tcPr>
          <w:p>
            <w:pPr>
              <w:spacing w:after="0"/>
              <w:rPr>
                <w:sz w:val="13"/>
                <w:szCs w:val="13"/>
                <w:color w:val="auto"/>
              </w:rPr>
            </w:pPr>
          </w:p>
        </w:tc>
        <w:tc>
          <w:tcPr>
            <w:tcW w:w="1240" w:type="dxa"/>
            <w:vAlign w:val="bottom"/>
            <w:tcBorders>
              <w:top w:val="single" w:sz="8" w:color="0090DA"/>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top w:val="single" w:sz="8" w:color="0090DA"/>
            </w:tcBorders>
          </w:tcPr>
          <w:p>
            <w:pPr>
              <w:jc w:val="right"/>
              <w:ind w:right="133"/>
              <w:spacing w:after="0" w:line="155" w:lineRule="exact"/>
              <w:rPr>
                <w:sz w:val="20"/>
                <w:szCs w:val="20"/>
                <w:color w:val="auto"/>
              </w:rPr>
            </w:pPr>
            <w:r>
              <w:rPr>
                <w:rFonts w:ascii="Arial" w:cs="Arial" w:eastAsia="Arial" w:hAnsi="Arial"/>
                <w:sz w:val="16"/>
                <w:szCs w:val="16"/>
                <w:b w:val="1"/>
                <w:bCs w:val="1"/>
                <w:color w:val="auto"/>
              </w:rPr>
              <w:t>Number of</w:t>
            </w:r>
          </w:p>
        </w:tc>
        <w:tc>
          <w:tcPr>
            <w:tcW w:w="260" w:type="dxa"/>
            <w:vAlign w:val="bottom"/>
            <w:tcBorders>
              <w:top w:val="single" w:sz="8" w:color="0090DA"/>
            </w:tcBorders>
          </w:tcPr>
          <w:p>
            <w:pPr>
              <w:spacing w:after="0"/>
              <w:rPr>
                <w:sz w:val="13"/>
                <w:szCs w:val="13"/>
                <w:color w:val="auto"/>
              </w:rPr>
            </w:pPr>
          </w:p>
        </w:tc>
        <w:tc>
          <w:tcPr>
            <w:tcW w:w="1220" w:type="dxa"/>
            <w:vAlign w:val="bottom"/>
            <w:tcBorders>
              <w:top w:val="single" w:sz="8" w:color="0090DA"/>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86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rPr>
              <w:t>Shares Acquired Value Realized on</w:t>
            </w:r>
          </w:p>
        </w:tc>
        <w:tc>
          <w:tcPr>
            <w:tcW w:w="276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Shares Acquired Value Realized on</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280" w:type="dxa"/>
            <w:vAlign w:val="bottom"/>
          </w:tcPr>
          <w:p>
            <w:pPr>
              <w:jc w:val="right"/>
              <w:ind w:right="93"/>
              <w:spacing w:after="0"/>
              <w:rPr>
                <w:sz w:val="20"/>
                <w:szCs w:val="20"/>
                <w:color w:val="auto"/>
              </w:rPr>
            </w:pPr>
            <w:r>
              <w:rPr>
                <w:rFonts w:ascii="Arial" w:cs="Arial" w:eastAsia="Arial" w:hAnsi="Arial"/>
                <w:sz w:val="16"/>
                <w:szCs w:val="16"/>
                <w:b w:val="1"/>
                <w:bCs w:val="1"/>
                <w:color w:val="auto"/>
              </w:rPr>
              <w:t>on Exercise</w:t>
            </w:r>
          </w:p>
        </w:tc>
        <w:tc>
          <w:tcPr>
            <w:tcW w:w="24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Exercise(1)</w:t>
            </w:r>
          </w:p>
        </w:tc>
        <w:tc>
          <w:tcPr>
            <w:tcW w:w="1280" w:type="dxa"/>
            <w:vAlign w:val="bottom"/>
          </w:tcPr>
          <w:p>
            <w:pPr>
              <w:jc w:val="right"/>
              <w:ind w:right="33"/>
              <w:spacing w:after="0"/>
              <w:rPr>
                <w:sz w:val="20"/>
                <w:szCs w:val="20"/>
                <w:color w:val="auto"/>
              </w:rPr>
            </w:pPr>
            <w:r>
              <w:rPr>
                <w:rFonts w:ascii="Arial" w:cs="Arial" w:eastAsia="Arial" w:hAnsi="Arial"/>
                <w:sz w:val="16"/>
                <w:szCs w:val="16"/>
                <w:b w:val="1"/>
                <w:bCs w:val="1"/>
                <w:color w:val="auto"/>
              </w:rPr>
              <w:t>on Vesting(2)</w:t>
            </w:r>
          </w:p>
        </w:tc>
        <w:tc>
          <w:tcPr>
            <w:tcW w:w="26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6"/>
                <w:szCs w:val="16"/>
                <w:b w:val="1"/>
                <w:bCs w:val="1"/>
                <w:color w:val="auto"/>
              </w:rPr>
              <w:t>Vesting(3)</w:t>
            </w:r>
          </w:p>
        </w:tc>
        <w:tc>
          <w:tcPr>
            <w:tcW w:w="0" w:type="dxa"/>
            <w:vAlign w:val="bottom"/>
          </w:tcPr>
          <w:p>
            <w:pPr>
              <w:spacing w:after="0"/>
              <w:rPr>
                <w:sz w:val="1"/>
                <w:szCs w:val="1"/>
                <w:color w:val="auto"/>
              </w:rPr>
            </w:pPr>
          </w:p>
        </w:tc>
      </w:tr>
      <w:tr>
        <w:trPr>
          <w:trHeight w:val="34"/>
        </w:trPr>
        <w:tc>
          <w:tcPr>
            <w:tcW w:w="5620" w:type="dxa"/>
            <w:vAlign w:val="bottom"/>
            <w:tcBorders>
              <w:top w:val="single" w:sz="8" w:color="0090DA"/>
            </w:tcBorders>
          </w:tcPr>
          <w:p>
            <w:pPr>
              <w:spacing w:after="0"/>
              <w:rPr>
                <w:sz w:val="2"/>
                <w:szCs w:val="2"/>
                <w:color w:val="auto"/>
              </w:rPr>
            </w:pPr>
          </w:p>
        </w:tc>
        <w:tc>
          <w:tcPr>
            <w:tcW w:w="128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2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2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6,742,000</w:t>
            </w:r>
          </w:p>
        </w:tc>
        <w:tc>
          <w:tcPr>
            <w:tcW w:w="10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422,758</w:t>
            </w:r>
          </w:p>
        </w:tc>
        <w:tc>
          <w:tcPr>
            <w:tcW w:w="2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24,695,391</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Mark J. Murphy</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3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154,250</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9,146,224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280" w:type="dxa"/>
            <w:vAlign w:val="bottom"/>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566,596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68,363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3,999,294</w:t>
            </w:r>
          </w:p>
        </w:tc>
        <w:tc>
          <w:tcPr>
            <w:tcW w:w="0" w:type="dxa"/>
            <w:vAlign w:val="bottom"/>
          </w:tcPr>
          <w:p>
            <w:pPr>
              <w:spacing w:after="0"/>
              <w:rPr>
                <w:sz w:val="1"/>
                <w:szCs w:val="1"/>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3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109,456</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6,390,503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152,150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8,890,479</w:t>
            </w:r>
          </w:p>
        </w:tc>
        <w:tc>
          <w:tcPr>
            <w:tcW w:w="0" w:type="dxa"/>
            <w:vAlign w:val="bottom"/>
          </w:tcPr>
          <w:p>
            <w:pPr>
              <w:spacing w:after="0"/>
              <w:rPr>
                <w:sz w:val="1"/>
                <w:szCs w:val="1"/>
                <w:color w:val="auto"/>
              </w:rPr>
            </w:pPr>
          </w:p>
        </w:tc>
      </w:tr>
      <w:tr>
        <w:trPr>
          <w:trHeight w:val="229"/>
        </w:trPr>
        <w:tc>
          <w:tcPr>
            <w:tcW w:w="5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David A. Zinsner</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8,050</w:t>
            </w:r>
          </w:p>
        </w:tc>
        <w:tc>
          <w:tcPr>
            <w:tcW w:w="24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233,813</w:t>
            </w:r>
          </w:p>
        </w:tc>
        <w:tc>
          <w:tcPr>
            <w:tcW w:w="10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87,686</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5,255,527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460" w:hanging="332"/>
        <w:spacing w:after="0" w:line="287"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Calculated as the aggregate value of the number of options exercised multiplied by the difference between the fair market value per share at the time of the exercise and the exercise price of the option.</w:t>
      </w:r>
    </w:p>
    <w:p>
      <w:pPr>
        <w:spacing w:after="0" w:line="112" w:lineRule="exact"/>
        <w:rPr>
          <w:rFonts w:ascii="Arial" w:cs="Arial" w:eastAsia="Arial" w:hAnsi="Arial"/>
          <w:sz w:val="18"/>
          <w:szCs w:val="18"/>
          <w:color w:val="auto"/>
        </w:rPr>
      </w:pPr>
    </w:p>
    <w:p>
      <w:pPr>
        <w:ind w:left="340" w:right="60" w:hanging="332"/>
        <w:spacing w:after="0" w:line="259"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2022 based on performance completed by the end of fiscal 2022 and performance-based restricted units for which time-based restrictions lapsed in fiscal 2022 but for which the performance condition had been met in prior years. Excludes performance-based restricted units vested in October 2021 based on performance completed by the end of fiscal 2021 and performance-based restricted units with time-based restrictions that had met the performance-based condition but for which the time-based restriction had not lapsed by the end of fiscal 2022.</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2022 NONQUALIFIED DEFERRED COMPENSATION</w:t>
      </w:r>
    </w:p>
    <w:p>
      <w:pPr>
        <w:spacing w:after="0" w:line="257"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color w:val="auto"/>
        </w:rPr>
        <w:t>Messrs. Mehrotra and Bokan are the only Named Executive Officers who have participated in the Micron Technology, Inc. Deferred Compensation Plan (the “Deferred Compensation Plan”) through the end of fiscal 2022.</w:t>
      </w:r>
    </w:p>
    <w:tbl>
      <w:tblPr>
        <w:tblLayout w:type="fixed"/>
        <w:tblInd w:w="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w w:val="98"/>
              </w:rPr>
              <w:t>Executive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99"/>
              <w:spacing w:after="0" w:line="164" w:lineRule="exact"/>
              <w:rPr>
                <w:sz w:val="20"/>
                <w:szCs w:val="20"/>
                <w:color w:val="auto"/>
              </w:rPr>
            </w:pPr>
            <w:r>
              <w:rPr>
                <w:rFonts w:ascii="Arial" w:cs="Arial" w:eastAsia="Arial" w:hAnsi="Arial"/>
                <w:sz w:val="16"/>
                <w:szCs w:val="16"/>
                <w:b w:val="1"/>
                <w:bCs w:val="1"/>
                <w:color w:val="auto"/>
              </w:rPr>
              <w:t>Registrant</w:t>
            </w:r>
          </w:p>
        </w:tc>
        <w:tc>
          <w:tcPr>
            <w:tcW w:w="140" w:type="dxa"/>
            <w:vAlign w:val="bottom"/>
          </w:tcPr>
          <w:p>
            <w:pPr>
              <w:spacing w:after="0"/>
              <w:rPr>
                <w:sz w:val="14"/>
                <w:szCs w:val="14"/>
                <w:color w:val="auto"/>
              </w:rPr>
            </w:pPr>
          </w:p>
        </w:tc>
        <w:tc>
          <w:tcPr>
            <w:tcW w:w="1220" w:type="dxa"/>
            <w:vAlign w:val="bottom"/>
          </w:tcPr>
          <w:p>
            <w:pPr>
              <w:jc w:val="center"/>
              <w:ind w:right="19"/>
              <w:spacing w:after="0" w:line="164" w:lineRule="exact"/>
              <w:rPr>
                <w:sz w:val="20"/>
                <w:szCs w:val="20"/>
                <w:color w:val="auto"/>
              </w:rPr>
            </w:pPr>
            <w:r>
              <w:rPr>
                <w:rFonts w:ascii="Arial" w:cs="Arial" w:eastAsia="Arial" w:hAnsi="Arial"/>
                <w:sz w:val="16"/>
                <w:szCs w:val="16"/>
                <w:b w:val="1"/>
                <w:bCs w:val="1"/>
                <w:color w:val="auto"/>
              </w:rPr>
              <w:t>Aggregate</w:t>
            </w:r>
          </w:p>
        </w:tc>
        <w:tc>
          <w:tcPr>
            <w:tcW w:w="360" w:type="dxa"/>
            <w:vAlign w:val="bottom"/>
          </w:tcPr>
          <w:p>
            <w:pPr>
              <w:spacing w:after="0"/>
              <w:rPr>
                <w:sz w:val="14"/>
                <w:szCs w:val="14"/>
                <w:color w:val="auto"/>
              </w:rPr>
            </w:pPr>
          </w:p>
        </w:tc>
        <w:tc>
          <w:tcPr>
            <w:tcW w:w="16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Aggregate</w:t>
            </w:r>
          </w:p>
        </w:tc>
        <w:tc>
          <w:tcPr>
            <w:tcW w:w="16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Contributions in</w:t>
            </w:r>
          </w:p>
        </w:tc>
        <w:tc>
          <w:tcPr>
            <w:tcW w:w="140" w:type="dxa"/>
            <w:vAlign w:val="bottom"/>
          </w:tcPr>
          <w:p>
            <w:pPr>
              <w:spacing w:after="0"/>
              <w:rPr>
                <w:sz w:val="14"/>
                <w:szCs w:val="14"/>
                <w:color w:val="auto"/>
              </w:rPr>
            </w:pPr>
          </w:p>
        </w:tc>
        <w:tc>
          <w:tcPr>
            <w:tcW w:w="12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Earnings</w:t>
            </w:r>
          </w:p>
        </w:tc>
        <w:tc>
          <w:tcPr>
            <w:tcW w:w="3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00" w:type="dxa"/>
            <w:vAlign w:val="bottom"/>
          </w:tcPr>
          <w:p>
            <w:pPr>
              <w:spacing w:after="0"/>
              <w:rPr>
                <w:sz w:val="14"/>
                <w:szCs w:val="14"/>
                <w:color w:val="auto"/>
              </w:rPr>
            </w:pPr>
          </w:p>
        </w:tc>
        <w:tc>
          <w:tcPr>
            <w:tcW w:w="1500" w:type="dxa"/>
            <w:vAlign w:val="bottom"/>
            <w:gridSpan w:val="2"/>
          </w:tcPr>
          <w:p>
            <w:pPr>
              <w:jc w:val="center"/>
              <w:ind w:right="79"/>
              <w:spacing w:after="0" w:line="162" w:lineRule="exact"/>
              <w:rPr>
                <w:sz w:val="20"/>
                <w:szCs w:val="20"/>
                <w:color w:val="auto"/>
              </w:rPr>
            </w:pPr>
            <w:r>
              <w:rPr>
                <w:rFonts w:ascii="Arial" w:cs="Arial" w:eastAsia="Arial" w:hAnsi="Arial"/>
                <w:sz w:val="16"/>
                <w:szCs w:val="16"/>
                <w:b w:val="1"/>
                <w:bCs w:val="1"/>
                <w:color w:val="auto"/>
              </w:rPr>
              <w:t>Contributions in</w:t>
            </w:r>
          </w:p>
        </w:tc>
        <w:tc>
          <w:tcPr>
            <w:tcW w:w="13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Last Fiscal Year</w:t>
            </w:r>
          </w:p>
        </w:tc>
        <w:tc>
          <w:tcPr>
            <w:tcW w:w="3400" w:type="dxa"/>
            <w:vAlign w:val="bottom"/>
            <w:gridSpan w:val="4"/>
          </w:tcPr>
          <w:p>
            <w:pPr>
              <w:jc w:val="right"/>
              <w:spacing w:after="0" w:line="162" w:lineRule="exact"/>
              <w:rPr>
                <w:sz w:val="20"/>
                <w:szCs w:val="20"/>
                <w:color w:val="auto"/>
              </w:rPr>
            </w:pPr>
            <w:r>
              <w:rPr>
                <w:rFonts w:ascii="Arial" w:cs="Arial" w:eastAsia="Arial" w:hAnsi="Arial"/>
                <w:sz w:val="16"/>
                <w:szCs w:val="16"/>
                <w:b w:val="1"/>
                <w:bCs w:val="1"/>
                <w:color w:val="auto"/>
              </w:rPr>
              <w:t>(Losses) in Last Withdrawals/Distributions</w:t>
            </w:r>
          </w:p>
        </w:tc>
        <w:tc>
          <w:tcPr>
            <w:tcW w:w="166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at Last Fiscal Year-</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0090DA"/>
            </w:tcBorders>
            <w:vMerge w:val="continue"/>
          </w:tcPr>
          <w:p>
            <w:pPr>
              <w:spacing w:after="0"/>
              <w:rPr>
                <w:sz w:val="18"/>
                <w:szCs w:val="18"/>
                <w:color w:val="auto"/>
              </w:rPr>
            </w:pPr>
          </w:p>
        </w:tc>
        <w:tc>
          <w:tcPr>
            <w:tcW w:w="2500" w:type="dxa"/>
            <w:vAlign w:val="bottom"/>
            <w:tcBorders>
              <w:bottom w:val="single" w:sz="8" w:color="0090DA"/>
            </w:tcBorders>
            <w:gridSpan w:val="3"/>
          </w:tcPr>
          <w:p>
            <w:pPr>
              <w:jc w:val="center"/>
              <w:ind w:left="759"/>
              <w:spacing w:after="0"/>
              <w:rPr>
                <w:sz w:val="20"/>
                <w:szCs w:val="20"/>
                <w:color w:val="auto"/>
              </w:rPr>
            </w:pPr>
            <w:r>
              <w:rPr>
                <w:rFonts w:ascii="Arial" w:cs="Arial" w:eastAsia="Arial" w:hAnsi="Arial"/>
                <w:sz w:val="16"/>
                <w:szCs w:val="16"/>
                <w:b w:val="1"/>
                <w:bCs w:val="1"/>
                <w:color w:val="auto"/>
              </w:rPr>
              <w:t>Last Fiscal Year ($)</w:t>
            </w:r>
          </w:p>
        </w:tc>
        <w:tc>
          <w:tcPr>
            <w:tcW w:w="200" w:type="dxa"/>
            <w:vAlign w:val="bottom"/>
            <w:tcBorders>
              <w:bottom w:val="single" w:sz="8" w:color="0090DA"/>
            </w:tcBorders>
          </w:tcPr>
          <w:p>
            <w:pPr>
              <w:spacing w:after="0"/>
              <w:rPr>
                <w:sz w:val="18"/>
                <w:szCs w:val="18"/>
                <w:color w:val="auto"/>
              </w:rPr>
            </w:pPr>
          </w:p>
        </w:tc>
        <w:tc>
          <w:tcPr>
            <w:tcW w:w="1140" w:type="dxa"/>
            <w:vAlign w:val="bottom"/>
            <w:tcBorders>
              <w:bottom w:val="single" w:sz="8" w:color="0090DA"/>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0090DA"/>
            </w:tcBorders>
          </w:tcPr>
          <w:p>
            <w:pPr>
              <w:spacing w:after="0"/>
              <w:rPr>
                <w:sz w:val="18"/>
                <w:szCs w:val="18"/>
                <w:color w:val="auto"/>
              </w:rPr>
            </w:pPr>
          </w:p>
        </w:tc>
        <w:tc>
          <w:tcPr>
            <w:tcW w:w="122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Fiscal Year ($)</w:t>
            </w:r>
          </w:p>
        </w:tc>
        <w:tc>
          <w:tcPr>
            <w:tcW w:w="360" w:type="dxa"/>
            <w:vAlign w:val="bottom"/>
            <w:tcBorders>
              <w:bottom w:val="single" w:sz="8" w:color="0090DA"/>
            </w:tcBorders>
          </w:tcPr>
          <w:p>
            <w:pPr>
              <w:spacing w:after="0"/>
              <w:rPr>
                <w:sz w:val="18"/>
                <w:szCs w:val="18"/>
                <w:color w:val="auto"/>
              </w:rPr>
            </w:pPr>
          </w:p>
        </w:tc>
        <w:tc>
          <w:tcPr>
            <w:tcW w:w="1680" w:type="dxa"/>
            <w:vAlign w:val="bottom"/>
            <w:tcBorders>
              <w:bottom w:val="single" w:sz="8" w:color="0090DA"/>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w w:val="99"/>
              </w:rPr>
              <w:t>End ($)</w:t>
            </w:r>
          </w:p>
        </w:tc>
        <w:tc>
          <w:tcPr>
            <w:tcW w:w="320" w:type="dxa"/>
            <w:vAlign w:val="bottom"/>
            <w:tcBorders>
              <w:bottom w:val="single" w:sz="8" w:color="0090DA"/>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6,234,092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2,411,545</w:t>
            </w:r>
          </w:p>
        </w:tc>
        <w:tc>
          <w:tcPr>
            <w:tcW w:w="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1D2D4"/>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(1,452,106)</w:t>
            </w:r>
          </w:p>
        </w:tc>
        <w:tc>
          <w:tcPr>
            <w:tcW w:w="360" w:type="dxa"/>
            <w:vAlign w:val="bottom"/>
            <w:shd w:val="clear" w:color="auto" w:fill="D1D2D4"/>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7,193,531</w:t>
            </w:r>
          </w:p>
        </w:tc>
        <w:tc>
          <w:tcPr>
            <w:tcW w:w="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9"/>
        </w:trPr>
        <w:tc>
          <w:tcPr>
            <w:tcW w:w="234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0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591,112</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(329,314)</w:t>
            </w:r>
          </w:p>
        </w:tc>
        <w:tc>
          <w:tcPr>
            <w:tcW w:w="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(433,193)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1,349,644</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500" w:hanging="332"/>
        <w:spacing w:after="0" w:line="287"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$697,045 included in the Summary Compensation table in the “Salary” column for fiscal 2022 and $1,714,500 included in the “Non-Equity Incentive Plan Compensation” column for fiscal 2021.</w:t>
      </w:r>
    </w:p>
    <w:p>
      <w:pPr>
        <w:spacing w:after="0" w:line="125"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Balance as of the beginning of fiscal 2022 was $6,234,092.</w:t>
      </w:r>
    </w:p>
    <w:p>
      <w:pPr>
        <w:spacing w:after="0" w:line="184" w:lineRule="exact"/>
        <w:rPr>
          <w:rFonts w:ascii="Arial" w:cs="Arial" w:eastAsia="Arial" w:hAnsi="Arial"/>
          <w:sz w:val="18"/>
          <w:szCs w:val="18"/>
          <w:color w:val="auto"/>
        </w:rPr>
      </w:pPr>
    </w:p>
    <w:p>
      <w:pPr>
        <w:ind w:left="340" w:right="140" w:hanging="332"/>
        <w:spacing w:after="0" w:line="287" w:lineRule="auto"/>
        <w:tabs>
          <w:tab w:leader="none" w:pos="3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$293,932 included in the Summary Compensation table in the “Salary” column for fiscal 2022 and $297,180 is non-equity incentive plan compensation earned for fiscal 2021.</w:t>
      </w:r>
    </w:p>
    <w:p>
      <w:pPr>
        <w:spacing w:after="0" w:line="112"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Balance as of the beginning of fiscal 2022 was $1,521,039.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Summary of Material Terms of Deferred Compensation Plan</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Compensation deferred under the Deferred Compensation Plan represents an unsecured obligation of the Company. Amounts deferred under the Deferred Compensation Plan are held in a separate rabbi trust established to pay Plan benefits.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CHIEF EXECUTIVE OFFICER PAY RATIO</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CEO to the annual total compensation of our median compensated employee.</w:t>
      </w:r>
    </w:p>
    <w:p>
      <w:pPr>
        <w:spacing w:after="0" w:line="18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our median compensated employee for fiscal 2022 was $48,310.</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our CEO for fiscal 2022 was $28,840,809.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that of our median employee for fiscal 2022 was estimated to be 597 to 1.</w:t>
      </w:r>
    </w:p>
    <w:p>
      <w:pPr>
        <w:spacing w:after="0" w:line="20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median compensated employee generally is the employee whose annual total compensation is at the midpoint of our employees (excluding our CEO), ranked in order of their compensation amounts. As permitted by the SEC rules, we used base salary, bonuses, and grant date fair value of equity awards granted to employees in fiscal 2022, as reported in our payroll data, to identify our median employee. When calculating our median compensation for fiscal 2022, we utilized our global employee population and exchange rates as of September 1, 2022. As of September 1, 2022, our employee population was approximately 48,000. This includes all regular, part-time, and temporary employees. No exclusions were made for countries, employee types, or acquisitions.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median compensated employee for fiscal 2022 was a Fab Engineer in Singapore. We determined actual annual total compensation in accordance with Item 402(c)(2)(x) of Regulation S-K and in the same manner as our CEO in the Summary Compensation Table using the daily average Singapore dollar exchange rates for compensation paid to the median compensated employee during fiscal 2022. We compared this value to the annual total compensation of our CEO for purposes of the ratio set forth above. We did not make any cost of living adjustments.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above of the annual total compensation of our CEO to the annual total compensation of the median compensated employee for fiscal 2022 is a reasonable estimate calculated in a manner consistent with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91" w:lineRule="auto"/>
        <w:rPr>
          <w:sz w:val="20"/>
          <w:szCs w:val="20"/>
          <w:color w:val="auto"/>
        </w:rPr>
      </w:pPr>
      <w:r>
        <w:rPr>
          <w:rFonts w:ascii="Arial" w:cs="Arial" w:eastAsia="Arial" w:hAnsi="Arial"/>
          <w:sz w:val="40"/>
          <w:szCs w:val="40"/>
          <w:b w:val="1"/>
          <w:bCs w:val="1"/>
          <w:color w:val="auto"/>
        </w:rPr>
        <w:t>POTENTIAL PAYMENTS UPON TERMINATION OR CHANGE IN CONTROL</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tables quantify the estimated payments and benefits for each of the continuing Named Executive Officers pursuant to the Executive Agreement and NEO Severance Agreements and in the event of a Change in Control as described in the “Severance and Change in Control Arrangements” section of the “Compensation Discussion and Analysis.” The amounts listed for the continuing Named Executive Officers are estimated amounts that were calculated as if a Change in Control occurred on September 1, 2022, or the Named Executive Officers separated from service on September 1, 2022, the last day of fiscal 2022.</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upon Termination without Change in Control</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the continuing Named Executive Officers have severance agreements. Payments and benefits upon termination for Messrs. Mehrotra, Murphy, Bhatia and Sadana are payable only if their employment with the Company terminates as a result of death or disability, the Company terminates their employment without cause, or they resign for good reason. Mr. Zinsner resigned from Micron effective as of January 10, 2022 and did not receive any payments or other benefits under his severance agreement.</w:t>
      </w:r>
    </w:p>
    <w:p>
      <w:pPr>
        <w:spacing w:after="0" w:line="20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also would receive a bonus of two times his target annual bonus under the EIP for the year of termination paid on the anniversary of his termination.</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the monthly amount.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If Section 409A imposes a six-month delay, the payment would be made to the Named Executive Officer on the first day of the seventh month following the officer’s separation from service.</w:t>
      </w: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9"/>
              <w:spacing w:after="0" w:line="173" w:lineRule="exact"/>
              <w:rPr>
                <w:sz w:val="20"/>
                <w:szCs w:val="20"/>
                <w:color w:val="auto"/>
              </w:rPr>
            </w:pPr>
            <w:r>
              <w:rPr>
                <w:rFonts w:ascii="Arial" w:cs="Arial" w:eastAsia="Arial" w:hAnsi="Arial"/>
                <w:sz w:val="16"/>
                <w:szCs w:val="16"/>
                <w:b w:val="1"/>
                <w:bCs w:val="1"/>
                <w:color w:val="auto"/>
                <w:w w:val="99"/>
              </w:rPr>
              <w:t>Value of</w:t>
            </w:r>
          </w:p>
        </w:tc>
        <w:tc>
          <w:tcPr>
            <w:tcW w:w="140" w:type="dxa"/>
            <w:vAlign w:val="bottom"/>
          </w:tcPr>
          <w:p>
            <w:pPr>
              <w:spacing w:after="0"/>
              <w:rPr>
                <w:sz w:val="15"/>
                <w:szCs w:val="15"/>
                <w:color w:val="auto"/>
              </w:rPr>
            </w:pPr>
          </w:p>
        </w:tc>
        <w:tc>
          <w:tcPr>
            <w:tcW w:w="9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9"/>
              </w:rPr>
              <w:t>Value of</w:t>
            </w:r>
          </w:p>
        </w:tc>
        <w:tc>
          <w:tcPr>
            <w:tcW w:w="12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9"/>
              </w:rPr>
              <w:t>Value of</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Cash in Lieu of</w:t>
            </w:r>
          </w:p>
        </w:tc>
        <w:tc>
          <w:tcPr>
            <w:tcW w:w="160" w:type="dxa"/>
            <w:vAlign w:val="bottom"/>
          </w:tcPr>
          <w:p>
            <w:pPr>
              <w:spacing w:after="0"/>
              <w:rPr>
                <w:sz w:val="14"/>
                <w:szCs w:val="14"/>
                <w:color w:val="auto"/>
              </w:rPr>
            </w:pPr>
          </w:p>
        </w:tc>
        <w:tc>
          <w:tcPr>
            <w:tcW w:w="10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9"/>
              </w:rPr>
              <w:t>Extended</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9"/>
              </w:rPr>
              <w:t>Extended</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Unearned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Option</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Restricted</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Performance -</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Salary(1)</w:t>
            </w:r>
          </w:p>
        </w:tc>
        <w:tc>
          <w:tcPr>
            <w:tcW w:w="16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Bonus(2)</w:t>
            </w:r>
          </w:p>
        </w:tc>
        <w:tc>
          <w:tcPr>
            <w:tcW w:w="16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Benefits</w:t>
            </w: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Exercise Term</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Stock</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Based Stock</w:t>
            </w:r>
          </w:p>
        </w:tc>
        <w:tc>
          <w:tcPr>
            <w:tcW w:w="280" w:type="dxa"/>
            <w:vAlign w:val="bottom"/>
          </w:tcPr>
          <w:p>
            <w:pPr>
              <w:spacing w:after="0"/>
              <w:rPr>
                <w:sz w:val="14"/>
                <w:szCs w:val="14"/>
                <w:color w:val="auto"/>
              </w:rPr>
            </w:pPr>
          </w:p>
        </w:tc>
        <w:tc>
          <w:tcPr>
            <w:tcW w:w="10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0090DA"/>
            </w:tcBorders>
            <w:vMerge w:val="continue"/>
          </w:tcPr>
          <w:p>
            <w:pPr>
              <w:spacing w:after="0"/>
              <w:rPr>
                <w:sz w:val="18"/>
                <w:szCs w:val="18"/>
                <w:color w:val="auto"/>
              </w:rPr>
            </w:pPr>
          </w:p>
        </w:tc>
        <w:tc>
          <w:tcPr>
            <w:tcW w:w="186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86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Payment(3)</w:t>
            </w:r>
          </w:p>
        </w:tc>
        <w:tc>
          <w:tcPr>
            <w:tcW w:w="16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0090DA"/>
            </w:tcBorders>
          </w:tcPr>
          <w:p>
            <w:pPr>
              <w:spacing w:after="0"/>
              <w:rPr>
                <w:sz w:val="18"/>
                <w:szCs w:val="18"/>
                <w:color w:val="auto"/>
              </w:rPr>
            </w:pPr>
          </w:p>
        </w:tc>
        <w:tc>
          <w:tcPr>
            <w:tcW w:w="90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w w:val="98"/>
              </w:rPr>
              <w:t>Vesting(5)</w:t>
            </w:r>
          </w:p>
        </w:tc>
        <w:tc>
          <w:tcPr>
            <w:tcW w:w="1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Awards(6)</w:t>
            </w:r>
          </w:p>
        </w:tc>
        <w:tc>
          <w:tcPr>
            <w:tcW w:w="28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2,836,000</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9,532,675</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401,301</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1,608,102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9,850,214</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15,035,221</w:t>
            </w:r>
          </w:p>
        </w:tc>
        <w:tc>
          <w:tcPr>
            <w:tcW w:w="280" w:type="dxa"/>
            <w:vAlign w:val="bottom"/>
            <w:shd w:val="clear" w:color="auto" w:fill="D1D2D4"/>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39,263,513</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Mark J. Murphy</w:t>
            </w:r>
          </w:p>
        </w:tc>
        <w:tc>
          <w:tcPr>
            <w:tcW w:w="186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326,555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92,053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1,720,446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2,839,054</w:t>
            </w:r>
          </w:p>
        </w:tc>
        <w:tc>
          <w:tcPr>
            <w:tcW w:w="0" w:type="dxa"/>
            <w:vAlign w:val="bottom"/>
          </w:tcPr>
          <w:p>
            <w:pPr>
              <w:spacing w:after="0"/>
              <w:rPr>
                <w:sz w:val="1"/>
                <w:szCs w:val="1"/>
                <w:color w:val="auto"/>
              </w:rPr>
            </w:pPr>
          </w:p>
        </w:tc>
      </w:tr>
      <w:tr>
        <w:trPr>
          <w:trHeight w:val="230"/>
        </w:trPr>
        <w:tc>
          <w:tcPr>
            <w:tcW w:w="2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729,750</w:t>
            </w:r>
          </w:p>
        </w:tc>
        <w:tc>
          <w:tcPr>
            <w:tcW w:w="16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904,511</w:t>
            </w:r>
          </w:p>
        </w:tc>
        <w:tc>
          <w:tcPr>
            <w:tcW w:w="1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91,064</w:t>
            </w:r>
          </w:p>
        </w:tc>
        <w:tc>
          <w:tcPr>
            <w:tcW w:w="1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247,242</w:t>
            </w:r>
          </w:p>
        </w:tc>
        <w:tc>
          <w:tcPr>
            <w:tcW w:w="14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3,276,642</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4,964,880</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10,214,089</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860" w:type="dxa"/>
            <w:vAlign w:val="bottom"/>
          </w:tcPr>
          <w:p>
            <w:pPr>
              <w:jc w:val="right"/>
              <w:spacing w:after="0"/>
              <w:rPr>
                <w:sz w:val="20"/>
                <w:szCs w:val="20"/>
                <w:color w:val="auto"/>
              </w:rPr>
            </w:pPr>
            <w:r>
              <w:rPr>
                <w:rFonts w:ascii="Arial" w:cs="Arial" w:eastAsia="Arial" w:hAnsi="Arial"/>
                <w:sz w:val="16"/>
                <w:szCs w:val="16"/>
                <w:color w:val="auto"/>
              </w:rPr>
              <w:t>551,200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558,983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110,833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64,798</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1,699,070</w:t>
            </w:r>
          </w:p>
        </w:tc>
        <w:tc>
          <w:tcPr>
            <w:tcW w:w="1260" w:type="dxa"/>
            <w:vAlign w:val="bottom"/>
          </w:tcPr>
          <w:p>
            <w:pPr>
              <w:jc w:val="right"/>
              <w:spacing w:after="0"/>
              <w:rPr>
                <w:sz w:val="20"/>
                <w:szCs w:val="20"/>
                <w:color w:val="auto"/>
              </w:rPr>
            </w:pPr>
            <w:r>
              <w:rPr>
                <w:rFonts w:ascii="Arial" w:cs="Arial" w:eastAsia="Arial" w:hAnsi="Arial"/>
                <w:sz w:val="16"/>
                <w:szCs w:val="16"/>
                <w:color w:val="auto"/>
              </w:rPr>
              <w:t>2,406,905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5,391,789</w:t>
            </w:r>
          </w:p>
        </w:tc>
        <w:tc>
          <w:tcPr>
            <w:tcW w:w="0" w:type="dxa"/>
            <w:vAlign w:val="bottom"/>
          </w:tcPr>
          <w:p>
            <w:pPr>
              <w:spacing w:after="0"/>
              <w:rPr>
                <w:sz w:val="1"/>
                <w:szCs w:val="1"/>
                <w:color w:val="auto"/>
              </w:rPr>
            </w:pPr>
          </w:p>
        </w:tc>
      </w:tr>
      <w:tr>
        <w:trPr>
          <w:trHeight w:val="230"/>
        </w:trPr>
        <w:tc>
          <w:tcPr>
            <w:tcW w:w="2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1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624,750</w:t>
            </w:r>
          </w:p>
        </w:tc>
        <w:tc>
          <w:tcPr>
            <w:tcW w:w="16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703,968</w:t>
            </w:r>
          </w:p>
        </w:tc>
        <w:tc>
          <w:tcPr>
            <w:tcW w:w="1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124,061</w:t>
            </w:r>
          </w:p>
        </w:tc>
        <w:tc>
          <w:tcPr>
            <w:tcW w:w="16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40,668</w:t>
            </w:r>
          </w:p>
        </w:tc>
        <w:tc>
          <w:tcPr>
            <w:tcW w:w="14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2,585,139</w:t>
            </w: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3,905,677</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7,984,263</w:t>
            </w:r>
          </w:p>
        </w:tc>
        <w:tc>
          <w:tcPr>
            <w:tcW w:w="0" w:type="dxa"/>
            <w:vAlign w:val="bottom"/>
          </w:tcPr>
          <w:p>
            <w:pPr>
              <w:spacing w:after="0"/>
              <w:rPr>
                <w:sz w:val="1"/>
                <w:szCs w:val="1"/>
                <w:color w:val="auto"/>
              </w:rPr>
            </w:pPr>
          </w:p>
        </w:tc>
      </w:tr>
      <w:tr>
        <w:trPr>
          <w:trHeight w:val="239"/>
        </w:trPr>
        <w:tc>
          <w:tcPr>
            <w:tcW w:w="234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860" w:type="dxa"/>
            <w:vAlign w:val="bottom"/>
          </w:tcPr>
          <w:p>
            <w:pPr>
              <w:jc w:val="right"/>
              <w:spacing w:after="0"/>
              <w:rPr>
                <w:sz w:val="20"/>
                <w:szCs w:val="20"/>
                <w:color w:val="auto"/>
              </w:rPr>
            </w:pPr>
            <w:r>
              <w:rPr>
                <w:rFonts w:ascii="Arial" w:cs="Arial" w:eastAsia="Arial" w:hAnsi="Arial"/>
                <w:sz w:val="16"/>
                <w:szCs w:val="16"/>
                <w:color w:val="auto"/>
              </w:rPr>
              <w:t>782,250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1,057,727</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93,211</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65,065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3,507,085</w:t>
            </w:r>
          </w:p>
        </w:tc>
        <w:tc>
          <w:tcPr>
            <w:tcW w:w="1260" w:type="dxa"/>
            <w:vAlign w:val="bottom"/>
          </w:tcPr>
          <w:p>
            <w:pPr>
              <w:jc w:val="right"/>
              <w:spacing w:after="0"/>
              <w:rPr>
                <w:sz w:val="20"/>
                <w:szCs w:val="20"/>
                <w:color w:val="auto"/>
              </w:rPr>
            </w:pPr>
            <w:r>
              <w:rPr>
                <w:rFonts w:ascii="Arial" w:cs="Arial" w:eastAsia="Arial" w:hAnsi="Arial"/>
                <w:sz w:val="16"/>
                <w:szCs w:val="16"/>
                <w:color w:val="auto"/>
              </w:rPr>
              <w:t>5,401,009</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10,906,347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280" w:hanging="332"/>
        <w:spacing w:after="0" w:line="287"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September 1, 2022, except for Mr. Mehrotra, which represents two years of salary as of September 1, 2022.</w:t>
      </w:r>
    </w:p>
    <w:p>
      <w:pPr>
        <w:spacing w:after="0" w:line="112"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2022, except for Mr. Mehrotra, which also includes two times his target annual bonus, subject to the maximum award limit imposed by the EIP.</w:t>
      </w:r>
    </w:p>
    <w:p>
      <w:pPr>
        <w:spacing w:after="0" w:line="125" w:lineRule="exact"/>
        <w:rPr>
          <w:rFonts w:ascii="Arial" w:cs="Arial" w:eastAsia="Arial" w:hAnsi="Arial"/>
          <w:sz w:val="18"/>
          <w:szCs w:val="18"/>
          <w:color w:val="auto"/>
        </w:rPr>
      </w:pPr>
    </w:p>
    <w:p>
      <w:pPr>
        <w:ind w:left="340" w:right="380" w:hanging="332"/>
        <w:spacing w:after="0" w:line="268"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except for Mr. Mehrotra, which represents twice the amount. The amount listed includes a gross-up calculation for the tax impact of the payment.</w:t>
      </w:r>
    </w:p>
    <w:p>
      <w:pPr>
        <w:spacing w:after="0" w:line="130" w:lineRule="exact"/>
        <w:rPr>
          <w:rFonts w:ascii="Arial" w:cs="Arial" w:eastAsia="Arial" w:hAnsi="Arial"/>
          <w:sz w:val="18"/>
          <w:szCs w:val="18"/>
          <w:color w:val="auto"/>
        </w:rPr>
      </w:pPr>
    </w:p>
    <w:p>
      <w:pPr>
        <w:ind w:left="340" w:right="80" w:hanging="332"/>
        <w:spacing w:after="0" w:line="257"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value resulting from an extension of the exercise period for stock options through the Transition Period plus thirty days, or the remaining life of the options, for options that were outstanding as of September 1, 2022. The incremental fair value of each option award is estimated as of September 1, 2022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September 1, 2022.</w:t>
      </w:r>
    </w:p>
    <w:p>
      <w:pPr>
        <w:spacing w:after="0" w:line="141" w:lineRule="exact"/>
        <w:rPr>
          <w:rFonts w:ascii="Arial" w:cs="Arial" w:eastAsia="Arial" w:hAnsi="Arial"/>
          <w:sz w:val="18"/>
          <w:szCs w:val="18"/>
          <w:color w:val="auto"/>
        </w:rPr>
      </w:pPr>
    </w:p>
    <w:p>
      <w:pPr>
        <w:ind w:left="340" w:right="20" w:hanging="332"/>
        <w:spacing w:after="0" w:line="268"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$57.31, our closing stock price on September 1, 2022.</w:t>
      </w:r>
    </w:p>
    <w:p>
      <w:pPr>
        <w:spacing w:after="0" w:line="143" w:lineRule="exact"/>
        <w:rPr>
          <w:rFonts w:ascii="Arial" w:cs="Arial" w:eastAsia="Arial" w:hAnsi="Arial"/>
          <w:sz w:val="18"/>
          <w:szCs w:val="18"/>
          <w:color w:val="auto"/>
        </w:rPr>
      </w:pPr>
    </w:p>
    <w:p>
      <w:pPr>
        <w:ind w:left="340" w:right="80" w:hanging="332"/>
        <w:spacing w:after="0" w:line="268"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value resulting from the vesting of performance based restricted awards during the Named Executive Officer’s Transition Period. The amount shown is calculated as the number of additional shares that would vest during the Transition Period multiplied by $57.31, our closing stock price on September 1, 2022.</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under Termination with Change in Control</w:t>
      </w:r>
    </w:p>
    <w:p>
      <w:pPr>
        <w:spacing w:after="0" w:line="24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 Change in Control is generally defined as a change in the majority of the members of the Board within a specified time period or the acquisition of 35% or more of our outstanding Common Stock.</w:t>
      </w:r>
    </w:p>
    <w:p>
      <w:pPr>
        <w:spacing w:after="0" w:line="1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equity plans, grant agreements, and EIP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spacing w:after="0" w:line="21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Murphy, Bhatia,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are paid in a lump sum within 60 days from the date of separation, subject to the possibility of a six-month delay that may be required by Section 409A. All outstanding time-based and performance-based awards would become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59</w:t>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 compensation that executive officers could receive if a Change in Control occurs is intended to enable them to objectively evaluate whether a potential Change in Control is in the best interest of us and our shareholders.</w:t>
      </w:r>
    </w:p>
    <w:p>
      <w:pPr>
        <w:spacing w:after="0" w:line="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September 1, 2022.</w:t>
      </w: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9"/>
              </w:rPr>
              <w:t>Cash in Lieu of</w:t>
            </w:r>
          </w:p>
        </w:tc>
        <w:tc>
          <w:tcPr>
            <w:tcW w:w="180" w:type="dxa"/>
            <w:vAlign w:val="bottom"/>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Value of</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Value of Stock</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spacing w:after="0"/>
              <w:rPr>
                <w:sz w:val="15"/>
                <w:szCs w:val="15"/>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Salary(1)</w:t>
            </w:r>
          </w:p>
        </w:tc>
        <w:tc>
          <w:tcPr>
            <w:tcW w:w="24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Bonus(2)</w:t>
            </w:r>
          </w:p>
        </w:tc>
        <w:tc>
          <w:tcPr>
            <w:tcW w:w="18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Benefits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0090DA"/>
            </w:tcBorders>
            <w:vMerge w:val="continue"/>
          </w:tcPr>
          <w:p>
            <w:pPr>
              <w:spacing w:after="0"/>
              <w:rPr>
                <w:sz w:val="21"/>
                <w:szCs w:val="21"/>
                <w:color w:val="auto"/>
              </w:rPr>
            </w:pPr>
          </w:p>
        </w:tc>
        <w:tc>
          <w:tcPr>
            <w:tcW w:w="112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vMerge w:val="continue"/>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vMerge w:val="continue"/>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Payment(3)</w:t>
            </w:r>
          </w:p>
        </w:tc>
        <w:tc>
          <w:tcPr>
            <w:tcW w:w="1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Options(4)</w:t>
            </w:r>
          </w:p>
        </w:tc>
        <w:tc>
          <w:tcPr>
            <w:tcW w:w="20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Awards(5)</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2,836,000</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9,532,675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401,301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D1D2D4"/>
          </w:tcPr>
          <w:p>
            <w:pPr>
              <w:ind w:left="9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51,732,018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64,501,994</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Mark J. Murphy</w:t>
            </w:r>
          </w:p>
        </w:tc>
        <w:tc>
          <w:tcPr>
            <w:tcW w:w="1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1,050,000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770,000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138,079</w:t>
            </w:r>
          </w:p>
        </w:tc>
        <w:tc>
          <w:tcPr>
            <w:tcW w:w="18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9,884,428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11,842,507</w:t>
            </w:r>
          </w:p>
        </w:tc>
        <w:tc>
          <w:tcPr>
            <w:tcW w:w="0" w:type="dxa"/>
            <w:vAlign w:val="bottom"/>
          </w:tcPr>
          <w:p>
            <w:pPr>
              <w:spacing w:after="0"/>
              <w:rPr>
                <w:sz w:val="1"/>
                <w:szCs w:val="1"/>
                <w:color w:val="auto"/>
              </w:rPr>
            </w:pPr>
          </w:p>
        </w:tc>
      </w:tr>
      <w:tr>
        <w:trPr>
          <w:trHeight w:val="230"/>
        </w:trPr>
        <w:tc>
          <w:tcPr>
            <w:tcW w:w="2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11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1,094,625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904,511</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136,597</w:t>
            </w:r>
          </w:p>
        </w:tc>
        <w:tc>
          <w:tcPr>
            <w:tcW w:w="180" w:type="dxa"/>
            <w:vAlign w:val="bottom"/>
            <w:shd w:val="clear" w:color="auto" w:fill="D1D2D4"/>
          </w:tcPr>
          <w:p>
            <w:pPr>
              <w:spacing w:after="0"/>
              <w:rPr>
                <w:sz w:val="19"/>
                <w:szCs w:val="19"/>
                <w:color w:val="auto"/>
              </w:rPr>
            </w:pPr>
          </w:p>
        </w:tc>
        <w:tc>
          <w:tcPr>
            <w:tcW w:w="1140" w:type="dxa"/>
            <w:vAlign w:val="bottom"/>
            <w:shd w:val="clear" w:color="auto" w:fill="D1D2D4"/>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17,206,296</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19,342,029</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Michael W. Bokan</w:t>
            </w:r>
          </w:p>
        </w:tc>
        <w:tc>
          <w:tcPr>
            <w:tcW w:w="1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551,200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558,983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110,833</w:t>
            </w:r>
          </w:p>
        </w:tc>
        <w:tc>
          <w:tcPr>
            <w:tcW w:w="180" w:type="dxa"/>
            <w:vAlign w:val="bottom"/>
          </w:tcPr>
          <w:p>
            <w:pPr>
              <w:spacing w:after="0"/>
              <w:rPr>
                <w:sz w:val="19"/>
                <w:szCs w:val="19"/>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7,121,111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8,342,127</w:t>
            </w:r>
          </w:p>
        </w:tc>
        <w:tc>
          <w:tcPr>
            <w:tcW w:w="0" w:type="dxa"/>
            <w:vAlign w:val="bottom"/>
          </w:tcPr>
          <w:p>
            <w:pPr>
              <w:spacing w:after="0"/>
              <w:rPr>
                <w:sz w:val="1"/>
                <w:szCs w:val="1"/>
                <w:color w:val="auto"/>
              </w:rPr>
            </w:pPr>
          </w:p>
        </w:tc>
      </w:tr>
      <w:tr>
        <w:trPr>
          <w:trHeight w:val="230"/>
        </w:trPr>
        <w:tc>
          <w:tcPr>
            <w:tcW w:w="2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Scott J. DeBoer</w:t>
            </w:r>
          </w:p>
        </w:tc>
        <w:tc>
          <w:tcPr>
            <w:tcW w:w="11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624,750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703,968</w:t>
            </w: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124,061</w:t>
            </w:r>
          </w:p>
        </w:tc>
        <w:tc>
          <w:tcPr>
            <w:tcW w:w="180" w:type="dxa"/>
            <w:vAlign w:val="bottom"/>
            <w:shd w:val="clear" w:color="auto" w:fill="D1D2D4"/>
          </w:tcPr>
          <w:p>
            <w:pPr>
              <w:spacing w:after="0"/>
              <w:rPr>
                <w:sz w:val="19"/>
                <w:szCs w:val="19"/>
                <w:color w:val="auto"/>
              </w:rPr>
            </w:pPr>
          </w:p>
        </w:tc>
        <w:tc>
          <w:tcPr>
            <w:tcW w:w="1140" w:type="dxa"/>
            <w:vAlign w:val="bottom"/>
            <w:shd w:val="clear" w:color="auto" w:fill="D1D2D4"/>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10,723,503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12,176,282</w:t>
            </w:r>
          </w:p>
        </w:tc>
        <w:tc>
          <w:tcPr>
            <w:tcW w:w="0" w:type="dxa"/>
            <w:vAlign w:val="bottom"/>
          </w:tcPr>
          <w:p>
            <w:pPr>
              <w:spacing w:after="0"/>
              <w:rPr>
                <w:sz w:val="1"/>
                <w:szCs w:val="1"/>
                <w:color w:val="auto"/>
              </w:rPr>
            </w:pPr>
          </w:p>
        </w:tc>
      </w:tr>
      <w:tr>
        <w:trPr>
          <w:trHeight w:val="239"/>
        </w:trPr>
        <w:tc>
          <w:tcPr>
            <w:tcW w:w="240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1,173,375</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1,057,727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139,817</w:t>
            </w:r>
          </w:p>
        </w:tc>
        <w:tc>
          <w:tcPr>
            <w:tcW w:w="180" w:type="dxa"/>
            <w:vAlign w:val="bottom"/>
          </w:tcPr>
          <w:p>
            <w:pPr>
              <w:spacing w:after="0"/>
              <w:rPr>
                <w:sz w:val="20"/>
                <w:szCs w:val="20"/>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18,336,163</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20,707,082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40" w:right="220" w:hanging="332"/>
        <w:spacing w:after="0" w:line="262"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one-and-a-half years of the Named Executive Officer’s salary as of September 1, 2022, except for Mr. Mehrotra, which represents two years of his salary as of September 1, 2022, and for Messrs. DeBoer and Bokan, which represents one year of their salary. The severance agreements for Messrs. DeBoer and Bokan do not provide for enhanced benefits upon separation in connection with a Change in Control.</w:t>
      </w:r>
    </w:p>
    <w:p>
      <w:pPr>
        <w:spacing w:after="0" w:line="135"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2022, except for Mr. Mehrotra, which also includes two times his target annual bonus, subject to the maximum award limit imposed by the EIP, and for Mr. Murphy, which is his target annual bonus.</w:t>
      </w:r>
    </w:p>
    <w:p>
      <w:pPr>
        <w:spacing w:after="0" w:line="112" w:lineRule="exact"/>
        <w:rPr>
          <w:rFonts w:ascii="Arial" w:cs="Arial" w:eastAsia="Arial" w:hAnsi="Arial"/>
          <w:sz w:val="18"/>
          <w:szCs w:val="18"/>
          <w:color w:val="auto"/>
        </w:rPr>
      </w:pPr>
    </w:p>
    <w:p>
      <w:pPr>
        <w:ind w:left="340" w:right="80" w:hanging="332"/>
        <w:spacing w:after="0" w:line="259"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18 months of benefits similar to those received while an employee, except for Mr. Mehrotra, which represents 24 months of such benefits, and for Messrs. DeBoer and Bokan, which represents 12 months of such benefits. The severance agreements for Messrs. DeBoer and Bokan do not provide for enhanced benefits upon separation in connection with a Change in Control. The amount listed includes a gross-up calculation for the tax impact of the payment.</w:t>
      </w:r>
    </w:p>
    <w:p>
      <w:pPr>
        <w:spacing w:after="0" w:line="152" w:lineRule="exact"/>
        <w:rPr>
          <w:rFonts w:ascii="Arial" w:cs="Arial" w:eastAsia="Arial" w:hAnsi="Arial"/>
          <w:sz w:val="18"/>
          <w:szCs w:val="18"/>
          <w:color w:val="auto"/>
        </w:rPr>
      </w:pPr>
    </w:p>
    <w:p>
      <w:pPr>
        <w:ind w:left="340" w:right="480" w:hanging="332"/>
        <w:spacing w:after="0" w:line="287"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outstanding options are exercisable on September 1, 2022 and no options are subject to accelerated vesting due to a Change in Control.</w:t>
      </w:r>
    </w:p>
    <w:p>
      <w:pPr>
        <w:spacing w:after="0" w:line="112" w:lineRule="exact"/>
        <w:rPr>
          <w:rFonts w:ascii="Arial" w:cs="Arial" w:eastAsia="Arial" w:hAnsi="Arial"/>
          <w:sz w:val="18"/>
          <w:szCs w:val="18"/>
          <w:color w:val="auto"/>
        </w:rPr>
      </w:pPr>
    </w:p>
    <w:p>
      <w:pPr>
        <w:ind w:left="340" w:right="100" w:hanging="332"/>
        <w:spacing w:after="0" w:line="257"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outstanding time-based and performance-based restricted stock awards would have fully vested at target or actual achievement level on September 1, 2022, except for Messrs. DeBoer and Bokan, whose separation agreements do not include a Change in Control provision. Fiscal 2021 and 2022 performance-based restricted stock awards for Messrs. DeBoer and Bokan each have a performance period of three years, and two-thirds of their respective fiscal 2021 and one-third of their respective fiscal 2022 performance-based awards would have vested on September 1, 2022. The amount shown is calculated as the number of shares upon which restrictions would lapse, multiplied by $57.31, the closing price of our Common Stock on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57"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following table provides information as of September 1, 2022 and, in certain cases, the Record Date, November 14, 2022, regarding shares of Common Stock that may be issued pursuant to our equity compensation plans:</w:t>
      </w:r>
    </w:p>
    <w:tbl>
      <w:tblPr>
        <w:tblLayout w:type="fixed"/>
        <w:tblInd w:w="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178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9"/>
              </w:rPr>
              <w:t>(a) Number of</w:t>
            </w:r>
          </w:p>
        </w:tc>
        <w:tc>
          <w:tcPr>
            <w:tcW w:w="140" w:type="dxa"/>
            <w:vAlign w:val="bottom"/>
          </w:tcPr>
          <w:p>
            <w:pPr>
              <w:spacing w:after="0"/>
              <w:rPr>
                <w:sz w:val="14"/>
                <w:szCs w:val="14"/>
                <w:color w:val="auto"/>
              </w:rPr>
            </w:pPr>
          </w:p>
        </w:tc>
        <w:tc>
          <w:tcPr>
            <w:tcW w:w="15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(b) Weighted</w:t>
            </w:r>
          </w:p>
        </w:tc>
        <w:tc>
          <w:tcPr>
            <w:tcW w:w="2380" w:type="dxa"/>
            <w:vAlign w:val="bottom"/>
            <w:gridSpan w:val="3"/>
          </w:tcPr>
          <w:p>
            <w:pPr>
              <w:jc w:val="center"/>
              <w:spacing w:after="0" w:line="164" w:lineRule="exact"/>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Securities to be</w:t>
            </w:r>
          </w:p>
        </w:tc>
        <w:tc>
          <w:tcPr>
            <w:tcW w:w="1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Issued Upon Exercise</w:t>
            </w:r>
          </w:p>
        </w:tc>
        <w:tc>
          <w:tcPr>
            <w:tcW w:w="140" w:type="dxa"/>
            <w:vAlign w:val="bottom"/>
          </w:tcPr>
          <w:p>
            <w:pPr>
              <w:spacing w:after="0"/>
              <w:rPr>
                <w:sz w:val="14"/>
                <w:szCs w:val="14"/>
                <w:color w:val="auto"/>
              </w:rPr>
            </w:pPr>
          </w:p>
        </w:tc>
        <w:tc>
          <w:tcPr>
            <w:tcW w:w="15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Average Exercise</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Outstanding</w:t>
            </w:r>
          </w:p>
        </w:tc>
        <w:tc>
          <w:tcPr>
            <w:tcW w:w="16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Price of Outstanding</w:t>
            </w:r>
          </w:p>
        </w:tc>
        <w:tc>
          <w:tcPr>
            <w:tcW w:w="2000" w:type="dxa"/>
            <w:vAlign w:val="bottom"/>
            <w:gridSpan w:val="2"/>
          </w:tcPr>
          <w:p>
            <w:pPr>
              <w:jc w:val="center"/>
              <w:ind w:left="319"/>
              <w:spacing w:after="0" w:line="162" w:lineRule="exact"/>
              <w:rPr>
                <w:sz w:val="20"/>
                <w:szCs w:val="20"/>
                <w:color w:val="auto"/>
              </w:rPr>
            </w:pPr>
            <w:r>
              <w:rPr>
                <w:rFonts w:ascii="Arial" w:cs="Arial" w:eastAsia="Arial" w:hAnsi="Arial"/>
                <w:sz w:val="16"/>
                <w:szCs w:val="16"/>
                <w:b w:val="1"/>
                <w:bCs w:val="1"/>
                <w:color w:val="auto"/>
              </w:rPr>
              <w:t>Compensation Plans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Options, Warrants and</w:t>
            </w:r>
          </w:p>
        </w:tc>
        <w:tc>
          <w:tcPr>
            <w:tcW w:w="140" w:type="dxa"/>
            <w:vAlign w:val="bottom"/>
          </w:tcPr>
          <w:p>
            <w:pPr>
              <w:spacing w:after="0"/>
              <w:rPr>
                <w:sz w:val="14"/>
                <w:szCs w:val="14"/>
                <w:color w:val="auto"/>
              </w:rPr>
            </w:pPr>
          </w:p>
        </w:tc>
        <w:tc>
          <w:tcPr>
            <w:tcW w:w="15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Options, Warrants</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0090DA"/>
            </w:tcBorders>
          </w:tcPr>
          <w:p>
            <w:pPr>
              <w:spacing w:after="0"/>
              <w:rPr>
                <w:sz w:val="18"/>
                <w:szCs w:val="18"/>
                <w:color w:val="auto"/>
              </w:rPr>
            </w:pPr>
          </w:p>
        </w:tc>
        <w:tc>
          <w:tcPr>
            <w:tcW w:w="17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40" w:type="dxa"/>
            <w:vAlign w:val="bottom"/>
            <w:tcBorders>
              <w:bottom w:val="single" w:sz="8" w:color="0090DA"/>
            </w:tcBorders>
          </w:tcPr>
          <w:p>
            <w:pPr>
              <w:spacing w:after="0"/>
              <w:rPr>
                <w:sz w:val="18"/>
                <w:szCs w:val="18"/>
                <w:color w:val="auto"/>
              </w:rPr>
            </w:pPr>
          </w:p>
        </w:tc>
        <w:tc>
          <w:tcPr>
            <w:tcW w:w="154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rPr>
              <w:t>and Rights(1)</w:t>
            </w:r>
          </w:p>
        </w:tc>
        <w:tc>
          <w:tcPr>
            <w:tcW w:w="2380" w:type="dxa"/>
            <w:vAlign w:val="bottom"/>
            <w:tcBorders>
              <w:bottom w:val="single" w:sz="8" w:color="0090DA"/>
            </w:tcBorders>
            <w:gridSpan w:val="3"/>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7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27,155,782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28.44</w:t>
            </w:r>
          </w:p>
        </w:tc>
        <w:tc>
          <w:tcPr>
            <w:tcW w:w="1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74,520,468</w:t>
            </w:r>
          </w:p>
        </w:tc>
        <w:tc>
          <w:tcPr>
            <w:tcW w:w="20" w:type="dxa"/>
            <w:vAlign w:val="bottom"/>
            <w:shd w:val="clear" w:color="auto" w:fill="D1D2D4"/>
          </w:tcPr>
          <w:p>
            <w:pPr>
              <w:spacing w:after="0"/>
              <w:rPr>
                <w:sz w:val="18"/>
                <w:szCs w:val="18"/>
                <w:color w:val="auto"/>
              </w:rPr>
            </w:pPr>
          </w:p>
        </w:tc>
        <w:tc>
          <w:tcPr>
            <w:tcW w:w="38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Equity Compensation Plans Not Approved by Shareholders(4)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876,992</w:t>
            </w:r>
          </w:p>
        </w:tc>
        <w:tc>
          <w:tcPr>
            <w:tcW w:w="140" w:type="dxa"/>
            <w:vAlign w:val="bottom"/>
            <w:tcBorders>
              <w:bottom w:val="single" w:sz="8" w:color="D1D2D4"/>
            </w:tcBorders>
          </w:tcPr>
          <w:p>
            <w:pPr>
              <w:spacing w:after="0"/>
              <w:rPr>
                <w:sz w:val="18"/>
                <w:szCs w:val="18"/>
                <w:color w:val="auto"/>
              </w:rPr>
            </w:pPr>
          </w:p>
        </w:tc>
        <w:tc>
          <w:tcPr>
            <w:tcW w:w="15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25.97</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3,252,710</w:t>
            </w:r>
          </w:p>
        </w:tc>
        <w:tc>
          <w:tcPr>
            <w:tcW w:w="20" w:type="dxa"/>
            <w:vAlign w:val="bottom"/>
            <w:tcBorders>
              <w:bottom w:val="single" w:sz="8" w:color="D1D2D4"/>
            </w:tcBorders>
          </w:tcPr>
          <w:p>
            <w:pPr>
              <w:spacing w:after="0"/>
              <w:rPr>
                <w:sz w:val="18"/>
                <w:szCs w:val="18"/>
                <w:color w:val="auto"/>
              </w:rPr>
            </w:pPr>
          </w:p>
        </w:tc>
        <w:tc>
          <w:tcPr>
            <w:tcW w:w="380" w:type="dxa"/>
            <w:vAlign w:val="bottom"/>
            <w:tcBorders>
              <w:bottom w:val="single" w:sz="8" w:color="D1D2D4"/>
            </w:tcBorders>
          </w:tcPr>
          <w:p>
            <w:pPr>
              <w:jc w:val="right"/>
              <w:ind w:right="9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35"/>
        </w:trPr>
        <w:tc>
          <w:tcPr>
            <w:tcW w:w="54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Totals(6)</w:t>
            </w:r>
          </w:p>
        </w:tc>
        <w:tc>
          <w:tcPr>
            <w:tcW w:w="1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28,032,774</w:t>
            </w:r>
          </w:p>
        </w:tc>
        <w:tc>
          <w:tcPr>
            <w:tcW w:w="140" w:type="dxa"/>
            <w:vAlign w:val="bottom"/>
            <w:tcBorders>
              <w:bottom w:val="single" w:sz="8" w:color="D1D2D4"/>
            </w:tcBorders>
            <w:shd w:val="clear" w:color="auto" w:fill="D1D2D4"/>
          </w:tcPr>
          <w:p>
            <w:pPr>
              <w:spacing w:after="0"/>
              <w:rPr>
                <w:sz w:val="20"/>
                <w:szCs w:val="20"/>
                <w:color w:val="auto"/>
              </w:rPr>
            </w:pPr>
          </w:p>
        </w:tc>
        <w:tc>
          <w:tcPr>
            <w:tcW w:w="1540" w:type="dxa"/>
            <w:vAlign w:val="bottom"/>
            <w:tcBorders>
              <w:bottom w:val="single" w:sz="8" w:color="D1D2D4"/>
            </w:tcBorders>
            <w:shd w:val="clear" w:color="auto" w:fill="D1D2D4"/>
          </w:tcPr>
          <w:p>
            <w:pPr>
              <w:jc w:val="right"/>
              <w:spacing w:after="0"/>
              <w:rPr>
                <w:sz w:val="20"/>
                <w:szCs w:val="20"/>
                <w:color w:val="auto"/>
              </w:rPr>
            </w:pPr>
            <w:r>
              <w:rPr>
                <w:rFonts w:ascii="Arial" w:cs="Arial" w:eastAsia="Arial" w:hAnsi="Arial"/>
                <w:sz w:val="16"/>
                <w:szCs w:val="16"/>
                <w:color w:val="auto"/>
              </w:rPr>
              <w:t>27.60</w:t>
            </w:r>
          </w:p>
        </w:tc>
        <w:tc>
          <w:tcPr>
            <w:tcW w:w="1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77,773,178</w:t>
            </w:r>
          </w:p>
        </w:tc>
        <w:tc>
          <w:tcPr>
            <w:tcW w:w="20" w:type="dxa"/>
            <w:vAlign w:val="bottom"/>
            <w:tcBorders>
              <w:bottom w:val="single" w:sz="8" w:color="D1D2D4"/>
            </w:tcBorders>
            <w:shd w:val="clear" w:color="auto" w:fill="D1D2D4"/>
          </w:tcPr>
          <w:p>
            <w:pPr>
              <w:spacing w:after="0"/>
              <w:rPr>
                <w:sz w:val="20"/>
                <w:szCs w:val="20"/>
                <w:color w:val="auto"/>
              </w:rPr>
            </w:pPr>
          </w:p>
        </w:tc>
        <w:tc>
          <w:tcPr>
            <w:tcW w:w="38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17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1540" w:type="dxa"/>
            <w:vAlign w:val="bottom"/>
            <w:tcBorders>
              <w:top w:val="single" w:sz="8" w:color="D1D2D4"/>
            </w:tcBorders>
          </w:tcPr>
          <w:p>
            <w:pPr>
              <w:spacing w:after="0" w:line="20" w:lineRule="exact"/>
              <w:rPr>
                <w:sz w:val="1"/>
                <w:szCs w:val="1"/>
                <w:color w:val="auto"/>
              </w:rPr>
            </w:pPr>
          </w:p>
        </w:tc>
        <w:tc>
          <w:tcPr>
            <w:tcW w:w="19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Borders>
              <w:top w:val="single" w:sz="8" w:color="D1D2D4"/>
            </w:tcBorders>
          </w:tcPr>
          <w:p>
            <w:pPr>
              <w:spacing w:after="0" w:line="20" w:lineRule="exact"/>
              <w:rPr>
                <w:sz w:val="1"/>
                <w:szCs w:val="1"/>
                <w:color w:val="auto"/>
              </w:rPr>
            </w:pPr>
          </w:p>
        </w:tc>
        <w:tc>
          <w:tcPr>
            <w:tcW w:w="38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640" w:hanging="332"/>
        <w:spacing w:after="0" w:line="287"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Excludes restricted stock that converts to shares of Common Stock for no consideration and excludes ESPP shares for which the exercise price will not be fixed until the purchase date.</w:t>
      </w:r>
    </w:p>
    <w:p>
      <w:pPr>
        <w:spacing w:after="0" w:line="85" w:lineRule="exact"/>
        <w:rPr>
          <w:rFonts w:ascii="Arial" w:cs="Arial" w:eastAsia="Arial" w:hAnsi="Arial"/>
          <w:sz w:val="18"/>
          <w:szCs w:val="18"/>
          <w:color w:val="auto"/>
        </w:rPr>
      </w:pPr>
    </w:p>
    <w:p>
      <w:pPr>
        <w:ind w:left="340" w:right="120" w:hanging="332"/>
        <w:spacing w:after="0" w:line="257"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01" w:lineRule="exact"/>
        <w:rPr>
          <w:rFonts w:ascii="Arial" w:cs="Arial" w:eastAsia="Arial" w:hAnsi="Arial"/>
          <w:sz w:val="18"/>
          <w:szCs w:val="18"/>
          <w:color w:val="auto"/>
        </w:rPr>
      </w:pPr>
    </w:p>
    <w:p>
      <w:pPr>
        <w:ind w:left="340" w:right="60" w:hanging="332"/>
        <w:spacing w:after="0" w:line="287"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issuing full-value awards, the number of available shares is 46,162,239. The 2004 Plan and 2007 Plan permit granting options and full-value awards.</w:t>
      </w:r>
    </w:p>
    <w:p>
      <w:pPr>
        <w:spacing w:after="0" w:line="85" w:lineRule="exact"/>
        <w:rPr>
          <w:rFonts w:ascii="Arial" w:cs="Arial" w:eastAsia="Arial" w:hAnsi="Arial"/>
          <w:sz w:val="18"/>
          <w:szCs w:val="18"/>
          <w:color w:val="auto"/>
        </w:rPr>
      </w:pPr>
    </w:p>
    <w:p>
      <w:pPr>
        <w:ind w:left="340" w:right="300" w:hanging="332"/>
        <w:spacing w:after="0" w:line="268"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Options granted under the NSOP have terms ranging from six to ten years. The exercise price and the vesting schedule of the options granted under this plan are determined by the administrators of the plan or our Board. Executive officers and directors do not participate in the NSOP.</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full-value awards.</w:t>
      </w:r>
    </w:p>
    <w:p>
      <w:pPr>
        <w:spacing w:after="0" w:line="157" w:lineRule="exact"/>
        <w:rPr>
          <w:rFonts w:ascii="Arial" w:cs="Arial" w:eastAsia="Arial" w:hAnsi="Arial"/>
          <w:sz w:val="18"/>
          <w:szCs w:val="18"/>
          <w:color w:val="auto"/>
        </w:rPr>
      </w:pPr>
    </w:p>
    <w:p>
      <w:pPr>
        <w:ind w:left="340" w:right="100" w:hanging="332"/>
        <w:spacing w:after="0" w:line="287"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 as of September 1, 2022:</w:t>
      </w:r>
    </w:p>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84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(a)</w:t>
            </w:r>
          </w:p>
        </w:tc>
        <w:tc>
          <w:tcPr>
            <w:tcW w:w="4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Number of Securities To Be</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Issued Upon Exercise of</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Available for Issuance</w:t>
            </w:r>
          </w:p>
        </w:tc>
        <w:tc>
          <w:tcPr>
            <w:tcW w:w="0" w:type="dxa"/>
            <w:vAlign w:val="bottom"/>
          </w:tcPr>
          <w:p>
            <w:pPr>
              <w:spacing w:after="0"/>
              <w:rPr>
                <w:sz w:val="1"/>
                <w:szCs w:val="1"/>
                <w:color w:val="auto"/>
              </w:rPr>
            </w:pPr>
          </w:p>
        </w:tc>
      </w:tr>
      <w:tr>
        <w:trPr>
          <w:trHeight w:val="162"/>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Plan</w:t>
            </w: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Outstanding Options,</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0090DA"/>
            </w:tcBorders>
            <w:vMerge w:val="continue"/>
          </w:tcPr>
          <w:p>
            <w:pPr>
              <w:spacing w:after="0"/>
              <w:rPr>
                <w:sz w:val="18"/>
                <w:szCs w:val="18"/>
                <w:color w:val="auto"/>
              </w:rPr>
            </w:pPr>
          </w:p>
        </w:tc>
        <w:tc>
          <w:tcPr>
            <w:tcW w:w="22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3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shd w:val="clear" w:color="auto" w:fill="D1D2D4"/>
          </w:tcPr>
          <w:p>
            <w:pPr>
              <w:spacing w:after="0"/>
              <w:rPr>
                <w:sz w:val="18"/>
                <w:szCs w:val="18"/>
                <w:color w:val="auto"/>
              </w:rPr>
            </w:pPr>
          </w:p>
        </w:tc>
        <w:tc>
          <w:tcPr>
            <w:tcW w:w="400" w:type="dxa"/>
            <w:vAlign w:val="bottom"/>
            <w:shd w:val="clear" w:color="auto" w:fill="D1D2D4"/>
          </w:tcPr>
          <w:p>
            <w:pPr>
              <w:spacing w:after="0"/>
              <w:rPr>
                <w:sz w:val="18"/>
                <w:szCs w:val="18"/>
                <w:color w:val="auto"/>
              </w:rPr>
            </w:pPr>
          </w:p>
        </w:tc>
        <w:tc>
          <w:tcPr>
            <w:tcW w:w="23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1840" w:type="dxa"/>
            <w:vAlign w:val="bottom"/>
          </w:tcPr>
          <w:p>
            <w:pPr>
              <w:jc w:val="right"/>
              <w:spacing w:after="0"/>
              <w:rPr>
                <w:sz w:val="20"/>
                <w:szCs w:val="20"/>
                <w:color w:val="auto"/>
              </w:rPr>
            </w:pPr>
            <w:r>
              <w:rPr>
                <w:rFonts w:ascii="Arial" w:cs="Arial" w:eastAsia="Arial" w:hAnsi="Arial"/>
                <w:sz w:val="16"/>
                <w:szCs w:val="16"/>
                <w:color w:val="auto"/>
              </w:rPr>
              <w:t>3,088,996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w w:val="91"/>
              </w:rPr>
              <w:t>(1)</w:t>
            </w:r>
          </w:p>
        </w:tc>
        <w:tc>
          <w:tcPr>
            <w:tcW w:w="2320" w:type="dxa"/>
            <w:vAlign w:val="bottom"/>
          </w:tcPr>
          <w:p>
            <w:pPr>
              <w:jc w:val="right"/>
              <w:spacing w:after="0"/>
              <w:rPr>
                <w:sz w:val="20"/>
                <w:szCs w:val="20"/>
                <w:color w:val="auto"/>
              </w:rPr>
            </w:pPr>
            <w:r>
              <w:rPr>
                <w:rFonts w:ascii="Arial" w:cs="Arial" w:eastAsia="Arial" w:hAnsi="Arial"/>
                <w:sz w:val="16"/>
                <w:szCs w:val="16"/>
                <w:color w:val="auto"/>
              </w:rPr>
              <w:t>2,285,847</w:t>
            </w:r>
          </w:p>
        </w:tc>
        <w:tc>
          <w:tcPr>
            <w:tcW w:w="0" w:type="dxa"/>
            <w:vAlign w:val="bottom"/>
          </w:tcPr>
          <w:p>
            <w:pPr>
              <w:spacing w:after="0"/>
              <w:rPr>
                <w:sz w:val="1"/>
                <w:szCs w:val="1"/>
                <w:color w:val="auto"/>
              </w:rPr>
            </w:pPr>
          </w:p>
        </w:tc>
      </w:tr>
      <w:tr>
        <w:trPr>
          <w:trHeight w:val="217"/>
        </w:trPr>
        <w:tc>
          <w:tcPr>
            <w:tcW w:w="3340" w:type="dxa"/>
            <w:vAlign w:val="bottom"/>
            <w:shd w:val="clear" w:color="auto" w:fill="D1D2D4"/>
          </w:tcPr>
          <w:p>
            <w:pPr>
              <w:ind w:left="140"/>
              <w:spacing w:after="0"/>
              <w:rPr>
                <w:sz w:val="20"/>
                <w:szCs w:val="20"/>
                <w:color w:val="auto"/>
              </w:rPr>
            </w:pPr>
            <w:r>
              <w:rPr>
                <w:rFonts w:ascii="Arial" w:cs="Arial" w:eastAsia="Arial" w:hAnsi="Arial"/>
                <w:sz w:val="16"/>
                <w:szCs w:val="16"/>
                <w:color w:val="auto"/>
              </w:rPr>
              <w:t>2007 Plan</w:t>
            </w:r>
          </w:p>
        </w:tc>
        <w:tc>
          <w:tcPr>
            <w:tcW w:w="1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21,119,001</w:t>
            </w:r>
          </w:p>
        </w:tc>
        <w:tc>
          <w:tcPr>
            <w:tcW w:w="400" w:type="dxa"/>
            <w:vAlign w:val="bottom"/>
            <w:shd w:val="clear" w:color="auto" w:fill="D1D2D4"/>
          </w:tcPr>
          <w:p>
            <w:pPr>
              <w:jc w:val="right"/>
              <w:ind w:right="119"/>
              <w:spacing w:after="0"/>
              <w:rPr>
                <w:sz w:val="20"/>
                <w:szCs w:val="20"/>
                <w:color w:val="auto"/>
              </w:rPr>
            </w:pPr>
            <w:r>
              <w:rPr>
                <w:rFonts w:ascii="Arial" w:cs="Arial" w:eastAsia="Arial" w:hAnsi="Arial"/>
                <w:sz w:val="16"/>
                <w:szCs w:val="16"/>
                <w:color w:val="auto"/>
                <w:w w:val="91"/>
              </w:rPr>
              <w:t>(2)</w:t>
            </w:r>
          </w:p>
        </w:tc>
        <w:tc>
          <w:tcPr>
            <w:tcW w:w="2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54,430,611</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D1D2D4"/>
            </w:tcBorders>
          </w:tcPr>
          <w:p>
            <w:pPr>
              <w:ind w:left="140"/>
              <w:spacing w:after="0"/>
              <w:rPr>
                <w:sz w:val="20"/>
                <w:szCs w:val="20"/>
                <w:color w:val="auto"/>
              </w:rPr>
            </w:pPr>
            <w:r>
              <w:rPr>
                <w:rFonts w:ascii="Arial" w:cs="Arial" w:eastAsia="Arial" w:hAnsi="Arial"/>
                <w:sz w:val="16"/>
                <w:szCs w:val="16"/>
                <w:color w:val="auto"/>
              </w:rPr>
              <w:t>ESPP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2,947,785</w:t>
            </w:r>
          </w:p>
        </w:tc>
        <w:tc>
          <w:tcPr>
            <w:tcW w:w="400" w:type="dxa"/>
            <w:vAlign w:val="bottom"/>
            <w:tcBorders>
              <w:bottom w:val="single" w:sz="8" w:color="D1D2D4"/>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17,804,010</w:t>
            </w:r>
          </w:p>
        </w:tc>
        <w:tc>
          <w:tcPr>
            <w:tcW w:w="0" w:type="dxa"/>
            <w:vAlign w:val="bottom"/>
          </w:tcPr>
          <w:p>
            <w:pPr>
              <w:spacing w:after="0"/>
              <w:rPr>
                <w:sz w:val="1"/>
                <w:szCs w:val="1"/>
                <w:color w:val="auto"/>
              </w:rPr>
            </w:pPr>
          </w:p>
        </w:tc>
      </w:tr>
      <w:tr>
        <w:trPr>
          <w:trHeight w:val="209"/>
        </w:trPr>
        <w:tc>
          <w:tcPr>
            <w:tcW w:w="3340" w:type="dxa"/>
            <w:vAlign w:val="bottom"/>
            <w:shd w:val="clear" w:color="auto" w:fill="D1D2D4"/>
          </w:tcPr>
          <w:p>
            <w:pPr>
              <w:ind w:left="300"/>
              <w:spacing w:after="0"/>
              <w:rPr>
                <w:sz w:val="20"/>
                <w:szCs w:val="20"/>
                <w:color w:val="auto"/>
              </w:rPr>
            </w:pPr>
            <w:r>
              <w:rPr>
                <w:rFonts w:ascii="Arial" w:cs="Arial" w:eastAsia="Arial" w:hAnsi="Arial"/>
                <w:sz w:val="16"/>
                <w:szCs w:val="16"/>
                <w:color w:val="auto"/>
              </w:rPr>
              <w:t>Approved Plan Total</w:t>
            </w:r>
          </w:p>
        </w:tc>
        <w:tc>
          <w:tcPr>
            <w:tcW w:w="1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27,155,782</w:t>
            </w:r>
          </w:p>
        </w:tc>
        <w:tc>
          <w:tcPr>
            <w:tcW w:w="400" w:type="dxa"/>
            <w:vAlign w:val="bottom"/>
            <w:shd w:val="clear" w:color="auto" w:fill="D1D2D4"/>
          </w:tcPr>
          <w:p>
            <w:pPr>
              <w:spacing w:after="0"/>
              <w:rPr>
                <w:sz w:val="18"/>
                <w:szCs w:val="18"/>
                <w:color w:val="auto"/>
              </w:rPr>
            </w:pPr>
          </w:p>
        </w:tc>
        <w:tc>
          <w:tcPr>
            <w:tcW w:w="2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74,520,468</w:t>
            </w: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shd w:val="clear" w:color="auto" w:fill="D1D2D4"/>
          </w:tcPr>
          <w:p>
            <w:pPr>
              <w:spacing w:after="0"/>
              <w:rPr>
                <w:sz w:val="18"/>
                <w:szCs w:val="18"/>
                <w:color w:val="auto"/>
              </w:rPr>
            </w:pPr>
          </w:p>
        </w:tc>
        <w:tc>
          <w:tcPr>
            <w:tcW w:w="400" w:type="dxa"/>
            <w:vAlign w:val="bottom"/>
            <w:shd w:val="clear" w:color="auto" w:fill="D1D2D4"/>
          </w:tcPr>
          <w:p>
            <w:pPr>
              <w:spacing w:after="0"/>
              <w:rPr>
                <w:sz w:val="18"/>
                <w:szCs w:val="18"/>
                <w:color w:val="auto"/>
              </w:rPr>
            </w:pPr>
          </w:p>
        </w:tc>
        <w:tc>
          <w:tcPr>
            <w:tcW w:w="23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bottom w:val="single" w:sz="8" w:color="D1D2D4"/>
            </w:tcBorders>
          </w:tcPr>
          <w:p>
            <w:pPr>
              <w:ind w:left="140"/>
              <w:spacing w:after="0"/>
              <w:rPr>
                <w:sz w:val="20"/>
                <w:szCs w:val="20"/>
                <w:color w:val="auto"/>
              </w:rPr>
            </w:pPr>
            <w:r>
              <w:rPr>
                <w:rFonts w:ascii="Arial" w:cs="Arial" w:eastAsia="Arial" w:hAnsi="Arial"/>
                <w:sz w:val="16"/>
                <w:szCs w:val="16"/>
                <w:color w:val="auto"/>
              </w:rPr>
              <w:t>NSOP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876,992</w:t>
            </w:r>
          </w:p>
        </w:tc>
        <w:tc>
          <w:tcPr>
            <w:tcW w:w="400" w:type="dxa"/>
            <w:vAlign w:val="bottom"/>
            <w:tcBorders>
              <w:bottom w:val="single" w:sz="8" w:color="D1D2D4"/>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3,252,710</w:t>
            </w:r>
          </w:p>
        </w:tc>
        <w:tc>
          <w:tcPr>
            <w:tcW w:w="0" w:type="dxa"/>
            <w:vAlign w:val="bottom"/>
          </w:tcPr>
          <w:p>
            <w:pPr>
              <w:spacing w:after="0"/>
              <w:rPr>
                <w:sz w:val="1"/>
                <w:szCs w:val="1"/>
                <w:color w:val="auto"/>
              </w:rPr>
            </w:pPr>
          </w:p>
        </w:tc>
      </w:tr>
      <w:tr>
        <w:trPr>
          <w:trHeight w:val="209"/>
        </w:trPr>
        <w:tc>
          <w:tcPr>
            <w:tcW w:w="3340" w:type="dxa"/>
            <w:vAlign w:val="bottom"/>
            <w:shd w:val="clear" w:color="auto" w:fill="D1D2D4"/>
          </w:tcPr>
          <w:p>
            <w:pPr>
              <w:ind w:left="30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876,992</w:t>
            </w:r>
          </w:p>
        </w:tc>
        <w:tc>
          <w:tcPr>
            <w:tcW w:w="400" w:type="dxa"/>
            <w:vAlign w:val="bottom"/>
            <w:shd w:val="clear" w:color="auto" w:fill="D1D2D4"/>
          </w:tcPr>
          <w:p>
            <w:pPr>
              <w:spacing w:after="0"/>
              <w:rPr>
                <w:sz w:val="18"/>
                <w:szCs w:val="18"/>
                <w:color w:val="auto"/>
              </w:rPr>
            </w:pPr>
          </w:p>
        </w:tc>
        <w:tc>
          <w:tcPr>
            <w:tcW w:w="2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3,252,710</w:t>
            </w:r>
          </w:p>
        </w:tc>
        <w:tc>
          <w:tcPr>
            <w:tcW w:w="0" w:type="dxa"/>
            <w:vAlign w:val="bottom"/>
          </w:tcPr>
          <w:p>
            <w:pPr>
              <w:spacing w:after="0"/>
              <w:rPr>
                <w:sz w:val="1"/>
                <w:szCs w:val="1"/>
                <w:color w:val="auto"/>
              </w:rPr>
            </w:pPr>
          </w:p>
        </w:tc>
      </w:tr>
      <w:tr>
        <w:trPr>
          <w:trHeight w:val="210"/>
        </w:trPr>
        <w:tc>
          <w:tcPr>
            <w:tcW w:w="3340" w:type="dxa"/>
            <w:vAlign w:val="bottom"/>
          </w:tcPr>
          <w:p>
            <w:pPr>
              <w:ind w:left="460"/>
              <w:spacing w:after="0"/>
              <w:rPr>
                <w:sz w:val="20"/>
                <w:szCs w:val="20"/>
                <w:color w:val="auto"/>
              </w:rPr>
            </w:pPr>
            <w:r>
              <w:rPr>
                <w:rFonts w:ascii="Arial" w:cs="Arial" w:eastAsia="Arial" w:hAnsi="Arial"/>
                <w:sz w:val="16"/>
                <w:szCs w:val="16"/>
                <w:color w:val="auto"/>
              </w:rPr>
              <w:t>Grand 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28,032,774</w:t>
            </w:r>
          </w:p>
        </w:tc>
        <w:tc>
          <w:tcPr>
            <w:tcW w:w="400" w:type="dxa"/>
            <w:vAlign w:val="bottom"/>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77,773,178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20" w:hanging="316"/>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2,198,239 restricted stock units and excludes 125,018 shares of restricted stock.</w:t>
      </w:r>
    </w:p>
    <w:p>
      <w:pPr>
        <w:spacing w:after="0" w:line="157" w:lineRule="exact"/>
        <w:rPr>
          <w:rFonts w:ascii="Arial" w:cs="Arial" w:eastAsia="Arial" w:hAnsi="Arial"/>
          <w:sz w:val="18"/>
          <w:szCs w:val="18"/>
          <w:color w:val="auto"/>
        </w:rPr>
      </w:pPr>
    </w:p>
    <w:p>
      <w:pPr>
        <w:ind w:left="1620" w:hanging="316"/>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20,303,638 restricted stock units and excludes 840,742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61</w:t>
      </w:r>
    </w:p>
    <w:p>
      <w:pPr>
        <w:sectPr>
          <w:pgSz w:w="11900" w:h="16838" w:orient="portrait"/>
          <w:cols w:equalWidth="0" w:num="1">
            <w:col w:w="11240"/>
          </w:cols>
          <w:pgMar w:left="320" w:top="12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color w:val="auto"/>
        </w:rPr>
        <w:t>The following table contains further information as to awards outstanding and available for issuance under each of our equity plans as of the Record Date, November 14, 2022:</w:t>
      </w:r>
    </w:p>
    <w:p>
      <w:pPr>
        <w:spacing w:after="0" w:line="204"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84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(a)</w:t>
            </w:r>
          </w:p>
        </w:tc>
        <w:tc>
          <w:tcPr>
            <w:tcW w:w="4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Number of Securities To Be</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Issued Upon Exercise of</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Available for Issuance</w:t>
            </w:r>
          </w:p>
        </w:tc>
        <w:tc>
          <w:tcPr>
            <w:tcW w:w="0" w:type="dxa"/>
            <w:vAlign w:val="bottom"/>
          </w:tcPr>
          <w:p>
            <w:pPr>
              <w:spacing w:after="0"/>
              <w:rPr>
                <w:sz w:val="1"/>
                <w:szCs w:val="1"/>
                <w:color w:val="auto"/>
              </w:rPr>
            </w:pPr>
          </w:p>
        </w:tc>
      </w:tr>
      <w:tr>
        <w:trPr>
          <w:trHeight w:val="162"/>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Plan</w:t>
            </w: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Outstanding Options,</w:t>
            </w:r>
          </w:p>
        </w:tc>
        <w:tc>
          <w:tcPr>
            <w:tcW w:w="2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0090DA"/>
            </w:tcBorders>
            <w:vMerge w:val="continue"/>
          </w:tcPr>
          <w:p>
            <w:pPr>
              <w:spacing w:after="0"/>
              <w:rPr>
                <w:sz w:val="18"/>
                <w:szCs w:val="18"/>
                <w:color w:val="auto"/>
              </w:rPr>
            </w:pPr>
          </w:p>
        </w:tc>
        <w:tc>
          <w:tcPr>
            <w:tcW w:w="22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32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shd w:val="clear" w:color="auto" w:fill="D1D2D4"/>
          </w:tcPr>
          <w:p>
            <w:pPr>
              <w:spacing w:after="0"/>
              <w:rPr>
                <w:sz w:val="18"/>
                <w:szCs w:val="18"/>
                <w:color w:val="auto"/>
              </w:rPr>
            </w:pPr>
          </w:p>
        </w:tc>
        <w:tc>
          <w:tcPr>
            <w:tcW w:w="400" w:type="dxa"/>
            <w:vAlign w:val="bottom"/>
            <w:shd w:val="clear" w:color="auto" w:fill="D1D2D4"/>
          </w:tcPr>
          <w:p>
            <w:pPr>
              <w:spacing w:after="0"/>
              <w:rPr>
                <w:sz w:val="18"/>
                <w:szCs w:val="18"/>
                <w:color w:val="auto"/>
              </w:rPr>
            </w:pPr>
          </w:p>
        </w:tc>
        <w:tc>
          <w:tcPr>
            <w:tcW w:w="23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1840" w:type="dxa"/>
            <w:vAlign w:val="bottom"/>
          </w:tcPr>
          <w:p>
            <w:pPr>
              <w:jc w:val="right"/>
              <w:spacing w:after="0"/>
              <w:rPr>
                <w:sz w:val="20"/>
                <w:szCs w:val="20"/>
                <w:color w:val="auto"/>
              </w:rPr>
            </w:pPr>
            <w:r>
              <w:rPr>
                <w:rFonts w:ascii="Arial" w:cs="Arial" w:eastAsia="Arial" w:hAnsi="Arial"/>
                <w:sz w:val="16"/>
                <w:szCs w:val="16"/>
                <w:color w:val="auto"/>
              </w:rPr>
              <w:t>2,627,654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w w:val="91"/>
              </w:rPr>
              <w:t>(1)</w:t>
            </w:r>
          </w:p>
        </w:tc>
        <w:tc>
          <w:tcPr>
            <w:tcW w:w="23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3340" w:type="dxa"/>
            <w:vAlign w:val="bottom"/>
            <w:shd w:val="clear" w:color="auto" w:fill="D1D2D4"/>
          </w:tcPr>
          <w:p>
            <w:pPr>
              <w:ind w:left="140"/>
              <w:spacing w:after="0"/>
              <w:rPr>
                <w:sz w:val="20"/>
                <w:szCs w:val="20"/>
                <w:color w:val="auto"/>
              </w:rPr>
            </w:pPr>
            <w:r>
              <w:rPr>
                <w:rFonts w:ascii="Arial" w:cs="Arial" w:eastAsia="Arial" w:hAnsi="Arial"/>
                <w:sz w:val="16"/>
                <w:szCs w:val="16"/>
                <w:color w:val="auto"/>
              </w:rPr>
              <w:t>2007 Plan</w:t>
            </w:r>
          </w:p>
        </w:tc>
        <w:tc>
          <w:tcPr>
            <w:tcW w:w="1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27,709,833</w:t>
            </w:r>
          </w:p>
        </w:tc>
        <w:tc>
          <w:tcPr>
            <w:tcW w:w="400" w:type="dxa"/>
            <w:vAlign w:val="bottom"/>
            <w:shd w:val="clear" w:color="auto" w:fill="D1D2D4"/>
          </w:tcPr>
          <w:p>
            <w:pPr>
              <w:jc w:val="right"/>
              <w:ind w:right="119"/>
              <w:spacing w:after="0"/>
              <w:rPr>
                <w:sz w:val="20"/>
                <w:szCs w:val="20"/>
                <w:color w:val="auto"/>
              </w:rPr>
            </w:pPr>
            <w:r>
              <w:rPr>
                <w:rFonts w:ascii="Arial" w:cs="Arial" w:eastAsia="Arial" w:hAnsi="Arial"/>
                <w:sz w:val="16"/>
                <w:szCs w:val="16"/>
                <w:color w:val="auto"/>
                <w:w w:val="91"/>
              </w:rPr>
              <w:t>(2)</w:t>
            </w:r>
          </w:p>
        </w:tc>
        <w:tc>
          <w:tcPr>
            <w:tcW w:w="2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29,756,034</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D1D2D4"/>
            </w:tcBorders>
          </w:tcPr>
          <w:p>
            <w:pPr>
              <w:ind w:left="140"/>
              <w:spacing w:after="0"/>
              <w:rPr>
                <w:sz w:val="20"/>
                <w:szCs w:val="20"/>
                <w:color w:val="auto"/>
              </w:rPr>
            </w:pPr>
            <w:r>
              <w:rPr>
                <w:rFonts w:ascii="Arial" w:cs="Arial" w:eastAsia="Arial" w:hAnsi="Arial"/>
                <w:sz w:val="16"/>
                <w:szCs w:val="16"/>
                <w:color w:val="auto"/>
              </w:rPr>
              <w:t>ESPP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2,947,785</w:t>
            </w:r>
          </w:p>
        </w:tc>
        <w:tc>
          <w:tcPr>
            <w:tcW w:w="400" w:type="dxa"/>
            <w:vAlign w:val="bottom"/>
            <w:tcBorders>
              <w:bottom w:val="single" w:sz="8" w:color="D1D2D4"/>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17,804,010</w:t>
            </w:r>
          </w:p>
        </w:tc>
        <w:tc>
          <w:tcPr>
            <w:tcW w:w="0" w:type="dxa"/>
            <w:vAlign w:val="bottom"/>
          </w:tcPr>
          <w:p>
            <w:pPr>
              <w:spacing w:after="0"/>
              <w:rPr>
                <w:sz w:val="1"/>
                <w:szCs w:val="1"/>
                <w:color w:val="auto"/>
              </w:rPr>
            </w:pPr>
          </w:p>
        </w:tc>
      </w:tr>
      <w:tr>
        <w:trPr>
          <w:trHeight w:val="209"/>
        </w:trPr>
        <w:tc>
          <w:tcPr>
            <w:tcW w:w="3340" w:type="dxa"/>
            <w:vAlign w:val="bottom"/>
            <w:shd w:val="clear" w:color="auto" w:fill="D1D2D4"/>
          </w:tcPr>
          <w:p>
            <w:pPr>
              <w:ind w:left="300"/>
              <w:spacing w:after="0"/>
              <w:rPr>
                <w:sz w:val="20"/>
                <w:szCs w:val="20"/>
                <w:color w:val="auto"/>
              </w:rPr>
            </w:pPr>
            <w:r>
              <w:rPr>
                <w:rFonts w:ascii="Arial" w:cs="Arial" w:eastAsia="Arial" w:hAnsi="Arial"/>
                <w:sz w:val="16"/>
                <w:szCs w:val="16"/>
                <w:color w:val="auto"/>
              </w:rPr>
              <w:t>Approved Plan Total</w:t>
            </w:r>
          </w:p>
        </w:tc>
        <w:tc>
          <w:tcPr>
            <w:tcW w:w="1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33,285,272</w:t>
            </w:r>
          </w:p>
        </w:tc>
        <w:tc>
          <w:tcPr>
            <w:tcW w:w="400" w:type="dxa"/>
            <w:vAlign w:val="bottom"/>
            <w:shd w:val="clear" w:color="auto" w:fill="D1D2D4"/>
          </w:tcPr>
          <w:p>
            <w:pPr>
              <w:spacing w:after="0"/>
              <w:rPr>
                <w:sz w:val="18"/>
                <w:szCs w:val="18"/>
                <w:color w:val="auto"/>
              </w:rPr>
            </w:pPr>
          </w:p>
        </w:tc>
        <w:tc>
          <w:tcPr>
            <w:tcW w:w="2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47,560,065</w:t>
            </w: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shd w:val="clear" w:color="auto" w:fill="D1D2D4"/>
          </w:tcPr>
          <w:p>
            <w:pPr>
              <w:spacing w:after="0"/>
              <w:rPr>
                <w:sz w:val="18"/>
                <w:szCs w:val="18"/>
                <w:color w:val="auto"/>
              </w:rPr>
            </w:pPr>
          </w:p>
        </w:tc>
        <w:tc>
          <w:tcPr>
            <w:tcW w:w="400" w:type="dxa"/>
            <w:vAlign w:val="bottom"/>
            <w:shd w:val="clear" w:color="auto" w:fill="D1D2D4"/>
          </w:tcPr>
          <w:p>
            <w:pPr>
              <w:spacing w:after="0"/>
              <w:rPr>
                <w:sz w:val="18"/>
                <w:szCs w:val="18"/>
                <w:color w:val="auto"/>
              </w:rPr>
            </w:pPr>
          </w:p>
        </w:tc>
        <w:tc>
          <w:tcPr>
            <w:tcW w:w="23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bottom w:val="single" w:sz="8" w:color="D1D2D4"/>
            </w:tcBorders>
          </w:tcPr>
          <w:p>
            <w:pPr>
              <w:ind w:left="140"/>
              <w:spacing w:after="0"/>
              <w:rPr>
                <w:sz w:val="20"/>
                <w:szCs w:val="20"/>
                <w:color w:val="auto"/>
              </w:rPr>
            </w:pPr>
            <w:r>
              <w:rPr>
                <w:rFonts w:ascii="Arial" w:cs="Arial" w:eastAsia="Arial" w:hAnsi="Arial"/>
                <w:sz w:val="16"/>
                <w:szCs w:val="16"/>
                <w:color w:val="auto"/>
              </w:rPr>
              <w:t>NSOP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826,540</w:t>
            </w:r>
          </w:p>
        </w:tc>
        <w:tc>
          <w:tcPr>
            <w:tcW w:w="400" w:type="dxa"/>
            <w:vAlign w:val="bottom"/>
            <w:tcBorders>
              <w:bottom w:val="single" w:sz="8" w:color="D1D2D4"/>
            </w:tcBorders>
          </w:tcPr>
          <w:p>
            <w:pPr>
              <w:jc w:val="right"/>
              <w:ind w:right="119"/>
              <w:spacing w:after="0"/>
              <w:rPr>
                <w:sz w:val="20"/>
                <w:szCs w:val="20"/>
                <w:color w:val="auto"/>
              </w:rPr>
            </w:pPr>
            <w:r>
              <w:rPr>
                <w:rFonts w:ascii="Arial" w:cs="Arial" w:eastAsia="Arial" w:hAnsi="Arial"/>
                <w:sz w:val="16"/>
                <w:szCs w:val="16"/>
                <w:color w:val="auto"/>
                <w:w w:val="91"/>
              </w:rPr>
              <w:t>(3)</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3,252,710</w:t>
            </w:r>
          </w:p>
        </w:tc>
        <w:tc>
          <w:tcPr>
            <w:tcW w:w="0" w:type="dxa"/>
            <w:vAlign w:val="bottom"/>
          </w:tcPr>
          <w:p>
            <w:pPr>
              <w:spacing w:after="0"/>
              <w:rPr>
                <w:sz w:val="1"/>
                <w:szCs w:val="1"/>
                <w:color w:val="auto"/>
              </w:rPr>
            </w:pPr>
          </w:p>
        </w:tc>
      </w:tr>
      <w:tr>
        <w:trPr>
          <w:trHeight w:val="209"/>
        </w:trPr>
        <w:tc>
          <w:tcPr>
            <w:tcW w:w="3340" w:type="dxa"/>
            <w:vAlign w:val="bottom"/>
            <w:shd w:val="clear" w:color="auto" w:fill="D1D2D4"/>
          </w:tcPr>
          <w:p>
            <w:pPr>
              <w:ind w:left="30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826,540</w:t>
            </w:r>
          </w:p>
        </w:tc>
        <w:tc>
          <w:tcPr>
            <w:tcW w:w="400" w:type="dxa"/>
            <w:vAlign w:val="bottom"/>
            <w:shd w:val="clear" w:color="auto" w:fill="D1D2D4"/>
          </w:tcPr>
          <w:p>
            <w:pPr>
              <w:spacing w:after="0"/>
              <w:rPr>
                <w:sz w:val="18"/>
                <w:szCs w:val="18"/>
                <w:color w:val="auto"/>
              </w:rPr>
            </w:pPr>
          </w:p>
        </w:tc>
        <w:tc>
          <w:tcPr>
            <w:tcW w:w="2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3,252,710</w:t>
            </w:r>
          </w:p>
        </w:tc>
        <w:tc>
          <w:tcPr>
            <w:tcW w:w="0" w:type="dxa"/>
            <w:vAlign w:val="bottom"/>
          </w:tcPr>
          <w:p>
            <w:pPr>
              <w:spacing w:after="0"/>
              <w:rPr>
                <w:sz w:val="1"/>
                <w:szCs w:val="1"/>
                <w:color w:val="auto"/>
              </w:rPr>
            </w:pPr>
          </w:p>
        </w:tc>
      </w:tr>
      <w:tr>
        <w:trPr>
          <w:trHeight w:val="210"/>
        </w:trPr>
        <w:tc>
          <w:tcPr>
            <w:tcW w:w="3340" w:type="dxa"/>
            <w:vAlign w:val="bottom"/>
          </w:tcPr>
          <w:p>
            <w:pPr>
              <w:ind w:left="460"/>
              <w:spacing w:after="0"/>
              <w:rPr>
                <w:sz w:val="20"/>
                <w:szCs w:val="20"/>
                <w:color w:val="auto"/>
              </w:rPr>
            </w:pPr>
            <w:r>
              <w:rPr>
                <w:rFonts w:ascii="Arial" w:cs="Arial" w:eastAsia="Arial" w:hAnsi="Arial"/>
                <w:sz w:val="16"/>
                <w:szCs w:val="16"/>
                <w:color w:val="auto"/>
              </w:rPr>
              <w:t>Grand 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34,111,812</w:t>
            </w:r>
          </w:p>
        </w:tc>
        <w:tc>
          <w:tcPr>
            <w:tcW w:w="400" w:type="dxa"/>
            <w:vAlign w:val="bottom"/>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50,812,775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20" w:right="160" w:hanging="316"/>
        <w:spacing w:after="0" w:line="287" w:lineRule="auto"/>
        <w:tabs>
          <w:tab w:leader="none" w:pos="16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1,736,897 restricted stock units and 890,757 stock options with a $33.13 weighted average exercise price and an average remaining contractual life of 2.5 years.</w:t>
      </w:r>
    </w:p>
    <w:p>
      <w:pPr>
        <w:spacing w:after="0" w:line="71" w:lineRule="exact"/>
        <w:rPr>
          <w:rFonts w:ascii="Arial" w:cs="Arial" w:eastAsia="Arial" w:hAnsi="Arial"/>
          <w:sz w:val="18"/>
          <w:szCs w:val="18"/>
          <w:color w:val="auto"/>
        </w:rPr>
      </w:pPr>
    </w:p>
    <w:p>
      <w:pPr>
        <w:ind w:left="1620" w:right="320" w:hanging="316"/>
        <w:spacing w:after="0" w:line="287" w:lineRule="auto"/>
        <w:tabs>
          <w:tab w:leader="none" w:pos="16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27,019,123 restricted stock units and excludes 1,223,834 shares of restricted stock. Also includes 690,710 stock options with a $21.53 weighted average exercise price and an average remaining contractual life of 1.17 years.</w:t>
      </w:r>
    </w:p>
    <w:p>
      <w:pPr>
        <w:spacing w:after="0" w:line="85" w:lineRule="exact"/>
        <w:rPr>
          <w:rFonts w:ascii="Arial" w:cs="Arial" w:eastAsia="Arial" w:hAnsi="Arial"/>
          <w:sz w:val="18"/>
          <w:szCs w:val="18"/>
          <w:color w:val="auto"/>
        </w:rPr>
      </w:pPr>
    </w:p>
    <w:p>
      <w:pPr>
        <w:ind w:left="1620" w:right="220" w:hanging="316"/>
        <w:spacing w:after="0" w:line="287" w:lineRule="auto"/>
        <w:tabs>
          <w:tab w:leader="none" w:pos="16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stock options granted under the NSOP have a $25.62 weighted average exercise price and an average remaining contractual life of 2.1 years.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DELINQUENT SECTION 16(A) REPORTS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Section 16(a) of the Exchange Act requires our directors, executive officers, and persons who own beneficially more than 10% of our Common Stock to file reports of ownership and changes of ownership with the SEC. As a matter of practice, we assist our executive officers and directors in preparing initial reports of ownership and reports of changes in ownership and file those reports on their behalf. To our knowledge, based solely on the reports received and written representations from reporting persons, we believe that all required reports were timely filed during the fiscal year ended September 1, 2022, except for four reports on Form 4 for Mr. DeBoer to report small acquisitions of shares acquired in a dividend reinvestment plan administered by his broker, which were not filed due to an inadvertent error by his broker in setting up his account. A Form 5 reflecting these shares was filed on October 14,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857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right="900"/>
        <w:spacing w:after="0" w:line="285" w:lineRule="auto"/>
        <w:rPr>
          <w:sz w:val="20"/>
          <w:szCs w:val="20"/>
          <w:color w:val="auto"/>
        </w:rPr>
      </w:pPr>
      <w:r>
        <w:rPr>
          <w:rFonts w:ascii="Arial" w:cs="Arial" w:eastAsia="Arial" w:hAnsi="Arial"/>
          <w:sz w:val="35"/>
          <w:szCs w:val="35"/>
          <w:b w:val="1"/>
          <w:bCs w:val="1"/>
          <w:color w:val="FFFFFF"/>
        </w:rPr>
        <w:t>PROPOSAL 3 – APPROVAL OF AMENDED AND RESTATED 2007 EQUITY INCENTIVE PLAN TO INCREASE THE SHARES RESERVED FOR ISSUANCE THEREUNDER BY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4911725"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currently maintain the Micron Technology, Inc. Amended and Restated 2007 Equity Incentive Plan, or 2007 Plan. We believe that the 2007 Plan has been effective in attracting and retaining highly-qualified employees and non-employee directors and has provided incentives that align the economic interests of plan participants with those of our shareholders. The 2007 Plan was last approved by shareholders at our Fiscal 2020 Annual Meeting.</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Board is requesting that you approve an amended and restated version of the 2007 Plan. The amended and restated version of the Plan is referred to in this Proposal 3 as the “Amended 2007 Plan.” The Amended 2007 Plan includes the following material change as compared to the version of the Plan that was approved at the Fiscal 2020 Annual Meeting:</w:t>
      </w:r>
    </w:p>
    <w:p>
      <w:pPr>
        <w:spacing w:after="0" w:line="198"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additional 50 million shares of our Common Stock will be made available for issuance under the Amended 2007 Plan.</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Other than as described above, the Amended 2007 Plan does not contain any changes as compared to the 2007 Plan other than certain technical changes and changes for administrative convenience.</w:t>
      </w:r>
    </w:p>
    <w:p>
      <w:pPr>
        <w:spacing w:after="0" w:line="200" w:lineRule="exact"/>
        <w:rPr>
          <w:sz w:val="20"/>
          <w:szCs w:val="20"/>
          <w:color w:val="auto"/>
        </w:rPr>
      </w:pPr>
    </w:p>
    <w:p>
      <w:pPr>
        <w:spacing w:after="0" w:line="221" w:lineRule="exact"/>
        <w:rPr>
          <w:sz w:val="20"/>
          <w:szCs w:val="20"/>
          <w:color w:val="auto"/>
        </w:rPr>
      </w:pPr>
    </w:p>
    <w:p>
      <w:pPr>
        <w:ind w:right="260"/>
        <w:spacing w:after="0" w:line="269" w:lineRule="auto"/>
        <w:rPr>
          <w:sz w:val="20"/>
          <w:szCs w:val="20"/>
          <w:color w:val="auto"/>
        </w:rPr>
      </w:pPr>
      <w:r>
        <w:rPr>
          <w:rFonts w:ascii="Arial" w:cs="Arial" w:eastAsia="Arial" w:hAnsi="Arial"/>
          <w:sz w:val="40"/>
          <w:szCs w:val="40"/>
          <w:b w:val="1"/>
          <w:bCs w:val="1"/>
          <w:color w:val="auto"/>
        </w:rPr>
        <w:t>APPROVAL OF 50 MILLION ADDITIONAL SHARES OF COMMON STOCK FOR ISSUANCE UNDER THE AMENDED 2007 PLAN</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2007 Plan, as of the Record Date, November 14, 2022, equity awards covering 101,965,765 shares had been granted, net of cancellations. Due to the fungible share pool provision of the 2007 Plan (see “Important Provisions of the 2007 Plan - Fungible Share Pool” below), the equity awards granted as of the Record Date counted as 170,243,966 shares against the 2007 Plan share reserve. As of the Record Date, approximately 29,756,034 shares remained available for future grants, subject to the fungible share pool provision. We expect to exhaust the existing share reserve in less than two years. Our calculations suggest that it is prudent to replenish the share reserve at this time. Without the additional shares, we would need to make changes to our long-term incentives program in order to conserve the remaining share reserve. To enable us to continue offering meaningful equity-based incentives to key employees and non-employee directors, the Board believes that it is both necessary and appropriate to increase the number of shares of Common Stock available for these purposes. Accordingly, we are asking our shareholders to approve an amendment and restatement of the 2007 Plan that would increase the total number of shares of Common Stock available for grant under the 2007 Plan by 50 million, which would make available for grant under the Amended 2007 Plan a total of approximately 250 million shares of Common Stock. If shareholders approve the Amended 2007 Plan, we expect that the shares available under the Amended 2007 Plan will meet our anticipated needs for approximately two years, subject to changes in business conditions or other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63</w:t>
      </w:r>
    </w:p>
    <w:p>
      <w:pPr>
        <w:sectPr>
          <w:pgSz w:w="11900" w:h="16838" w:orient="portrait"/>
          <w:cols w:equalWidth="0" w:num="1">
            <w:col w:w="11240"/>
          </w:cols>
          <w:pgMar w:left="320" w:top="12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Background for the Current Request to Increase the Share Reserve for Equity Incentive Awards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Historical Award Information</w:t>
      </w:r>
    </w:p>
    <w:p>
      <w:pPr>
        <w:spacing w:after="0" w:line="25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 1.3%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how our key equity metrics have changed over the past three fiscal years:</w:t>
      </w:r>
    </w:p>
    <w:p>
      <w:pPr>
        <w:spacing w:after="0" w:line="293" w:lineRule="exact"/>
        <w:rPr>
          <w:sz w:val="20"/>
          <w:szCs w:val="20"/>
          <w:color w:val="auto"/>
        </w:rPr>
      </w:pPr>
    </w:p>
    <w:tbl>
      <w:tblPr>
        <w:tblLayout w:type="fixed"/>
        <w:tblInd w:w="1660" w:type="dxa"/>
        <w:tblCellMar>
          <w:top w:w="0" w:type="dxa"/>
          <w:left w:w="0" w:type="dxa"/>
          <w:bottom w:w="0" w:type="dxa"/>
          <w:right w:w="0" w:type="dxa"/>
        </w:tblCellMar>
      </w:tblPr>
      <w:tr>
        <w:trPr>
          <w:trHeight w:val="235"/>
        </w:trPr>
        <w:tc>
          <w:tcPr>
            <w:tcW w:w="3020" w:type="dxa"/>
            <w:vAlign w:val="bottom"/>
            <w:tcBorders>
              <w:bottom w:val="single" w:sz="8" w:color="0090DA"/>
            </w:tcBorders>
          </w:tcPr>
          <w:p>
            <w:pPr>
              <w:spacing w:after="0"/>
              <w:rPr>
                <w:sz w:val="20"/>
                <w:szCs w:val="20"/>
                <w:color w:val="auto"/>
              </w:rPr>
            </w:pPr>
            <w:r>
              <w:rPr>
                <w:rFonts w:ascii="Arial" w:cs="Arial" w:eastAsia="Arial" w:hAnsi="Arial"/>
                <w:sz w:val="18"/>
                <w:szCs w:val="18"/>
                <w:b w:val="1"/>
                <w:bCs w:val="1"/>
                <w:color w:val="auto"/>
              </w:rPr>
              <w:t>Key Equity Metrics</w:t>
            </w:r>
          </w:p>
        </w:tc>
        <w:tc>
          <w:tcPr>
            <w:tcW w:w="226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3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3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020" w:type="dxa"/>
            <w:vAlign w:val="bottom"/>
            <w:shd w:val="clear" w:color="auto" w:fill="CBCBCB"/>
          </w:tcPr>
          <w:p>
            <w:pPr>
              <w:spacing w:after="0"/>
              <w:rPr>
                <w:sz w:val="20"/>
                <w:szCs w:val="20"/>
                <w:color w:val="auto"/>
              </w:rPr>
            </w:pPr>
            <w:r>
              <w:rPr>
                <w:rFonts w:ascii="Arial" w:cs="Arial" w:eastAsia="Arial" w:hAnsi="Arial"/>
                <w:sz w:val="18"/>
                <w:szCs w:val="18"/>
                <w:color w:val="auto"/>
              </w:rPr>
              <w:t>Equity Run Rate(1)</w:t>
            </w:r>
          </w:p>
        </w:tc>
        <w:tc>
          <w:tcPr>
            <w:tcW w:w="2260" w:type="dxa"/>
            <w:vAlign w:val="bottom"/>
            <w:shd w:val="clear" w:color="auto" w:fill="CBCBCB"/>
          </w:tcPr>
          <w:p>
            <w:pPr>
              <w:jc w:val="right"/>
              <w:ind w:right="350"/>
              <w:spacing w:after="0"/>
              <w:rPr>
                <w:sz w:val="20"/>
                <w:szCs w:val="20"/>
                <w:color w:val="auto"/>
              </w:rPr>
            </w:pPr>
            <w:r>
              <w:rPr>
                <w:rFonts w:ascii="Arial" w:cs="Arial" w:eastAsia="Arial" w:hAnsi="Arial"/>
                <w:sz w:val="18"/>
                <w:szCs w:val="18"/>
                <w:color w:val="auto"/>
              </w:rPr>
              <w:t>1.6%</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1.2%</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1.0%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Overhang(2)</w:t>
            </w:r>
          </w:p>
        </w:tc>
        <w:tc>
          <w:tcPr>
            <w:tcW w:w="2260" w:type="dxa"/>
            <w:vAlign w:val="bottom"/>
          </w:tcPr>
          <w:p>
            <w:pPr>
              <w:jc w:val="right"/>
              <w:ind w:right="350"/>
              <w:spacing w:after="0"/>
              <w:rPr>
                <w:sz w:val="20"/>
                <w:szCs w:val="20"/>
                <w:color w:val="auto"/>
              </w:rPr>
            </w:pPr>
            <w:r>
              <w:rPr>
                <w:rFonts w:ascii="Arial" w:cs="Arial" w:eastAsia="Arial" w:hAnsi="Arial"/>
                <w:sz w:val="18"/>
                <w:szCs w:val="18"/>
                <w:color w:val="auto"/>
              </w:rPr>
              <w:t>9.7%</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11.5%</w:t>
            </w:r>
          </w:p>
        </w:tc>
        <w:tc>
          <w:tcPr>
            <w:tcW w:w="1320" w:type="dxa"/>
            <w:vAlign w:val="bottom"/>
          </w:tcPr>
          <w:p>
            <w:pPr>
              <w:jc w:val="center"/>
              <w:spacing w:after="0"/>
              <w:rPr>
                <w:sz w:val="20"/>
                <w:szCs w:val="20"/>
                <w:color w:val="auto"/>
              </w:rPr>
            </w:pPr>
            <w:r>
              <w:rPr>
                <w:rFonts w:ascii="Arial" w:cs="Arial" w:eastAsia="Arial" w:hAnsi="Arial"/>
                <w:sz w:val="18"/>
                <w:szCs w:val="18"/>
                <w:color w:val="auto"/>
              </w:rPr>
              <w:t>10.2%</w:t>
            </w:r>
          </w:p>
        </w:tc>
      </w:tr>
      <w:tr>
        <w:trPr>
          <w:trHeight w:val="229"/>
        </w:trPr>
        <w:tc>
          <w:tcPr>
            <w:tcW w:w="3020" w:type="dxa"/>
            <w:vAlign w:val="bottom"/>
            <w:shd w:val="clear" w:color="auto" w:fill="CBCBCB"/>
          </w:tcPr>
          <w:p>
            <w:pPr>
              <w:spacing w:after="0"/>
              <w:rPr>
                <w:sz w:val="20"/>
                <w:szCs w:val="20"/>
                <w:color w:val="auto"/>
              </w:rPr>
            </w:pPr>
            <w:r>
              <w:rPr>
                <w:rFonts w:ascii="Arial" w:cs="Arial" w:eastAsia="Arial" w:hAnsi="Arial"/>
                <w:sz w:val="18"/>
                <w:szCs w:val="18"/>
                <w:color w:val="auto"/>
              </w:rPr>
              <w:t>Dilution(3)</w:t>
            </w:r>
          </w:p>
        </w:tc>
        <w:tc>
          <w:tcPr>
            <w:tcW w:w="2260" w:type="dxa"/>
            <w:vAlign w:val="bottom"/>
            <w:shd w:val="clear" w:color="auto" w:fill="CBCBCB"/>
          </w:tcPr>
          <w:p>
            <w:pPr>
              <w:jc w:val="right"/>
              <w:ind w:right="350"/>
              <w:spacing w:after="0"/>
              <w:rPr>
                <w:sz w:val="20"/>
                <w:szCs w:val="20"/>
                <w:color w:val="auto"/>
              </w:rPr>
            </w:pPr>
            <w:r>
              <w:rPr>
                <w:rFonts w:ascii="Arial" w:cs="Arial" w:eastAsia="Arial" w:hAnsi="Arial"/>
                <w:sz w:val="18"/>
                <w:szCs w:val="18"/>
                <w:color w:val="auto"/>
              </w:rPr>
              <w:t>2.6%</w:t>
            </w:r>
          </w:p>
        </w:tc>
        <w:tc>
          <w:tcPr>
            <w:tcW w:w="134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2.2%</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2.1%</w:t>
            </w:r>
          </w:p>
        </w:tc>
      </w:tr>
    </w:tbl>
    <w:p>
      <w:pPr>
        <w:spacing w:after="0" w:line="332" w:lineRule="exact"/>
        <w:rPr>
          <w:sz w:val="20"/>
          <w:szCs w:val="20"/>
          <w:color w:val="auto"/>
        </w:rPr>
      </w:pPr>
    </w:p>
    <w:p>
      <w:pPr>
        <w:ind w:left="1880" w:right="160" w:hanging="495"/>
        <w:spacing w:after="0" w:line="287" w:lineRule="auto"/>
        <w:tabs>
          <w:tab w:leader="none" w:pos="18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fiscal year by the weighted-average number of shares outstanding during the fiscal year.</w:t>
      </w:r>
    </w:p>
    <w:p>
      <w:pPr>
        <w:spacing w:after="0" w:line="85" w:lineRule="exact"/>
        <w:rPr>
          <w:rFonts w:ascii="Arial" w:cs="Arial" w:eastAsia="Arial" w:hAnsi="Arial"/>
          <w:sz w:val="18"/>
          <w:szCs w:val="18"/>
          <w:color w:val="auto"/>
        </w:rPr>
      </w:pPr>
    </w:p>
    <w:p>
      <w:pPr>
        <w:ind w:left="1880" w:right="20" w:hanging="495"/>
        <w:spacing w:after="0" w:line="268" w:lineRule="auto"/>
        <w:tabs>
          <w:tab w:leader="none" w:pos="18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Overhang is calculated by dividing (a) the sum of (x) the number of shares subject to equity awards outstanding at the end of the fiscal year and (y) the number of shares available for future grants at the end of the fiscal year, by (b) the number of shares outstanding at the end of the fiscal year.</w:t>
      </w:r>
    </w:p>
    <w:p>
      <w:pPr>
        <w:spacing w:after="0" w:line="103" w:lineRule="exact"/>
        <w:rPr>
          <w:rFonts w:ascii="Arial" w:cs="Arial" w:eastAsia="Arial" w:hAnsi="Arial"/>
          <w:sz w:val="18"/>
          <w:szCs w:val="18"/>
          <w:color w:val="auto"/>
        </w:rPr>
      </w:pPr>
    </w:p>
    <w:p>
      <w:pPr>
        <w:ind w:left="1880" w:right="320" w:hanging="495"/>
        <w:spacing w:after="0" w:line="287" w:lineRule="auto"/>
        <w:tabs>
          <w:tab w:leader="none" w:pos="18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Shares Requested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considered several factors in determining to request 50 million additional shares for the Amended 2007 Plan:</w:t>
      </w:r>
    </w:p>
    <w:p>
      <w:pPr>
        <w:spacing w:after="0" w:line="252" w:lineRule="exact"/>
        <w:rPr>
          <w:sz w:val="20"/>
          <w:szCs w:val="20"/>
          <w:color w:val="auto"/>
        </w:rPr>
      </w:pPr>
    </w:p>
    <w:p>
      <w:pPr>
        <w:ind w:left="660" w:right="20" w:hanging="328"/>
        <w:spacing w:after="0" w:line="256"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Assuming shareholder approval of the Amended 2007 Plan, 79,756,034 shares will be available for future grants (which is the sum of the 50 million additional shares and the 29,756,034 shares available as of the Record Date). We expect this amount to last for approximately two years of awards. Such shares would represent approximately 7.3% of our total outstanding shares of Common Stock as of the Record Date. This estimate assumes that we continue our current practices of issuing grants. While we believe this modeling provides a reasonable estimate of how long such a share reserve would last, there are a number of factors that could impact our future actual equity share usage and the shares available under the Amended 2007 Plan may last longer or shorter than two years.</w:t>
      </w:r>
    </w:p>
    <w:p>
      <w:pPr>
        <w:spacing w:after="0" w:line="209" w:lineRule="exact"/>
        <w:rPr>
          <w:rFonts w:ascii="Arial" w:cs="Arial" w:eastAsia="Arial" w:hAnsi="Arial"/>
          <w:sz w:val="18"/>
          <w:szCs w:val="18"/>
          <w:color w:val="auto"/>
        </w:rPr>
      </w:pPr>
    </w:p>
    <w:p>
      <w:pPr>
        <w:ind w:left="660" w:right="8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overhang resulting from the share request, including awards outstanding under all of our equity plans, represents approximately 11.7% of the shares of Common Stock outstanding as of the Record Date.</w:t>
      </w:r>
    </w:p>
    <w:p>
      <w:pPr>
        <w:spacing w:after="0" w:line="179"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Given the significant institutional share ownership of Micron, we considered the stated policies of those institutions and of certain proxy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Shareholder Approval of Amended 2007 Plan</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shareholders approve the Amended 2007 Plan, it will replace, effective as of the date of such shareholder approval, the version of the 2007 Plan that was approved by shareholders at the Fiscal 2020 Annual Meeting. If shareholders do not approve the Amended 2007 Plan as described herein, we will continue to use the 2007 Plan as last approved by shareholders. However, as described above, without the share increase proposed above, the shares that remain available for issuance under the 2007 Plan may not be sufficient for us to be able to achieve our goals of attracting, motivating, and retaining our employees through grants of equity awards.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Individual Awards</w:t>
      </w:r>
    </w:p>
    <w:p>
      <w:pPr>
        <w:spacing w:after="0" w:line="25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maximum aggregate number of shares of our Common Stock subject to stock-based awards that may be granted under the Amended 2007 Plan during any one calendar year to any one participant is as follows:</w:t>
      </w:r>
    </w:p>
    <w:p>
      <w:pPr>
        <w:spacing w:after="0" w:line="280"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5880" w:type="dxa"/>
            <w:vAlign w:val="bottom"/>
            <w:shd w:val="clear" w:color="auto" w:fill="CBCBCB"/>
          </w:tcPr>
          <w:p>
            <w:pPr>
              <w:ind w:left="20"/>
              <w:spacing w:after="0"/>
              <w:rPr>
                <w:sz w:val="20"/>
                <w:szCs w:val="20"/>
                <w:color w:val="auto"/>
              </w:rPr>
            </w:pPr>
            <w:r>
              <w:rPr>
                <w:rFonts w:ascii="Arial" w:cs="Arial" w:eastAsia="Arial" w:hAnsi="Arial"/>
                <w:sz w:val="18"/>
                <w:szCs w:val="18"/>
                <w:color w:val="auto"/>
              </w:rPr>
              <w:t>Options and/or Stock Appreciation Rights (SARs)</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5,000,000</w:t>
            </w: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Other Stock-Based Awards (other than Options or SARs)</w:t>
            </w:r>
          </w:p>
        </w:tc>
        <w:tc>
          <w:tcPr>
            <w:tcW w:w="2200" w:type="dxa"/>
            <w:vAlign w:val="bottom"/>
          </w:tcPr>
          <w:p>
            <w:pPr>
              <w:jc w:val="right"/>
              <w:spacing w:after="0"/>
              <w:rPr>
                <w:sz w:val="20"/>
                <w:szCs w:val="20"/>
                <w:color w:val="auto"/>
              </w:rPr>
            </w:pPr>
            <w:r>
              <w:rPr>
                <w:rFonts w:ascii="Arial" w:cs="Arial" w:eastAsia="Arial" w:hAnsi="Arial"/>
                <w:sz w:val="18"/>
                <w:szCs w:val="18"/>
                <w:color w:val="auto"/>
              </w:rPr>
              <w:t>5,000,000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These limits are unchanged as compared to the 2007 Plan and are subject to anti-dilution adjustments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 of corporate events such as stock splits, mergers, consolidations, stock dividends, recapitalizations and similar transactions.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IMPORTANT PROVISIONS OF THE AMENDED 2007 PLAN</w:t>
      </w:r>
    </w:p>
    <w:p>
      <w:pPr>
        <w:spacing w:after="0" w:line="25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Amended 2007 Plan contains a number of provisions that we believe are consistent with the interests of shareholders and sound corporate governance practices, including:</w:t>
      </w:r>
    </w:p>
    <w:p>
      <w:pPr>
        <w:spacing w:after="0" w:line="180" w:lineRule="exact"/>
        <w:rPr>
          <w:sz w:val="20"/>
          <w:szCs w:val="20"/>
          <w:color w:val="auto"/>
        </w:rPr>
      </w:pPr>
    </w:p>
    <w:p>
      <w:pPr>
        <w:ind w:left="660" w:right="30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Amended 2007 Plan uses a fungible share pool under which each stock option and SAR counts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against the Amended 2007 Plan share reserve and each stock-based full-value award (which includes any stock-based or stock-settled award other than options or SARs) counts as two shares against the Amended 2007 Plan share reserve.</w:t>
      </w:r>
    </w:p>
    <w:p>
      <w:pPr>
        <w:spacing w:after="0" w:line="197" w:lineRule="exact"/>
        <w:rPr>
          <w:rFonts w:ascii="Arial" w:cs="Arial" w:eastAsia="Arial" w:hAnsi="Arial"/>
          <w:sz w:val="18"/>
          <w:szCs w:val="18"/>
          <w:color w:val="auto"/>
        </w:rPr>
      </w:pPr>
    </w:p>
    <w:p>
      <w:pPr>
        <w:jc w:val="both"/>
        <w:ind w:left="660" w:right="4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Amended 2007 Plan prohibits the reuse of shares withheld, repurchased,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or delivered to satisfy the exercise price or tax withholding requirements relating to a stock option or SAR. Accordingly, the Amended 2007 Plan prohibits “net share counting” upon the exercise of options or SARs.</w:t>
      </w:r>
    </w:p>
    <w:p>
      <w:pPr>
        <w:spacing w:after="0" w:line="197"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No Repricing of Stock Options or SARs</w:t>
      </w:r>
      <w:r>
        <w:rPr>
          <w:rFonts w:ascii="Arial" w:cs="Arial" w:eastAsia="Arial" w:hAnsi="Arial"/>
          <w:sz w:val="17"/>
          <w:szCs w:val="17"/>
          <w:color w:val="auto"/>
        </w:rPr>
        <w:t>. The Amended 2007 Plan generally prohibits the repricing of stock options or SARs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approval. As provided in the Amended 2007 Plan, the following actions are generally prohibited: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of an option or SAR for value (in cash or otherwise) if the current fair market value of the shares of Common Stock underlying the option or SAR is lower than the exercise price or base price per share of the option or SAR.</w:t>
      </w:r>
    </w:p>
    <w:p>
      <w:pPr>
        <w:spacing w:after="0" w:line="195" w:lineRule="exact"/>
        <w:rPr>
          <w:rFonts w:ascii="Arial" w:cs="Arial" w:eastAsia="Arial" w:hAnsi="Arial"/>
          <w:sz w:val="17"/>
          <w:szCs w:val="17"/>
          <w:color w:val="auto"/>
        </w:rPr>
      </w:pPr>
    </w:p>
    <w:p>
      <w:pPr>
        <w:ind w:left="660" w:right="36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underlying Common Stock on the date of grant (except when being granted in substitution for awards held by employees of companies acquired by us).</w:t>
      </w:r>
    </w:p>
    <w:p>
      <w:pPr>
        <w:spacing w:after="0" w:line="197" w:lineRule="exact"/>
        <w:rPr>
          <w:rFonts w:ascii="Arial" w:cs="Arial" w:eastAsia="Arial" w:hAnsi="Arial"/>
          <w:sz w:val="18"/>
          <w:szCs w:val="18"/>
          <w:color w:val="auto"/>
        </w:rPr>
      </w:pPr>
    </w:p>
    <w:p>
      <w:pPr>
        <w:ind w:left="660" w:right="340" w:hanging="328"/>
        <w:spacing w:after="0" w:line="282"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“Double-trigger” Change in Control Vesting</w:t>
      </w:r>
      <w:r>
        <w:rPr>
          <w:rFonts w:ascii="Arial" w:cs="Arial" w:eastAsia="Arial" w:hAnsi="Arial"/>
          <w:sz w:val="17"/>
          <w:szCs w:val="17"/>
          <w:color w:val="auto"/>
        </w:rPr>
        <w:t>. If awards granted under the Amended 2007 Plan are assumed by a successor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 Change in Control (as defined in the Amended 2007 Plan), such awards will not automatically vest and pay out solely as a result of the Change in Control. Instead, such awards will only vest in accordance with their existing vesting schedule, except that they will vest upon termination or resignation if within one year after the effective date of the Change in Control, the</w:t>
      </w:r>
    </w:p>
    <w:p>
      <w:pPr>
        <w:spacing w:after="0" w:line="200" w:lineRule="exact"/>
        <w:rPr>
          <w:sz w:val="20"/>
          <w:szCs w:val="20"/>
          <w:color w:val="auto"/>
        </w:rPr>
      </w:pPr>
    </w:p>
    <w:p>
      <w:pPr>
        <w:spacing w:after="0" w:line="3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65</w:t>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employment is terminated without cause or, in the case of certain participants, if the participant resigns for good reason.</w:t>
      </w:r>
    </w:p>
    <w:p>
      <w:pPr>
        <w:spacing w:after="0" w:line="252" w:lineRule="exact"/>
        <w:rPr>
          <w:sz w:val="20"/>
          <w:szCs w:val="20"/>
          <w:color w:val="auto"/>
        </w:rPr>
      </w:pPr>
    </w:p>
    <w:p>
      <w:pPr>
        <w:ind w:left="660" w:right="5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Award may be Transferred for Value</w:t>
      </w:r>
      <w:r>
        <w:rPr>
          <w:rFonts w:ascii="Arial" w:cs="Arial" w:eastAsia="Arial" w:hAnsi="Arial"/>
          <w:sz w:val="18"/>
          <w:szCs w:val="18"/>
          <w:color w:val="auto"/>
        </w:rPr>
        <w:t>. The Amended 2007 Plan prohibits the transfer of unexercised, unvested, or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third parties for value.</w:t>
      </w:r>
    </w:p>
    <w:p>
      <w:pPr>
        <w:spacing w:after="0" w:line="17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Amended 2007 Plan is not a “liberal”</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that would be activated on mere shareholder approval of a transaction.</w:t>
      </w:r>
    </w:p>
    <w:p>
      <w:pPr>
        <w:spacing w:after="0" w:line="179"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Minimum Vesting Requirements</w:t>
      </w:r>
      <w:r>
        <w:rPr>
          <w:rFonts w:ascii="Arial" w:cs="Arial" w:eastAsia="Arial" w:hAnsi="Arial"/>
          <w:sz w:val="18"/>
          <w:szCs w:val="18"/>
          <w:color w:val="auto"/>
        </w:rPr>
        <w:t>. Subject to certain limited exceptions, full-value awards granted under the Amended 2007 Plan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awards granted to non-employee directors) will either (i) be subject to a minimum vesting period of three years (which may include graduated vesting within such three-year period), or one year if the vesting is based on performance criteria other than continued service, or (ii) be granted solely in exchange for forgone cash compensation.</w:t>
      </w:r>
    </w:p>
    <w:p>
      <w:pPr>
        <w:spacing w:after="0" w:line="203"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Amended 2007 Plan can be made without shareholder approval.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an amendment that would materially increase the number of shares reserved under the Amended 2007 Plan, or that would diminish the prohibitions on repricing stock options or SARs, would require shareholder approval. The types of amendments that require shareholder approval are described in the Amended 2007 Plan.</w:t>
      </w:r>
    </w:p>
    <w:p>
      <w:pPr>
        <w:spacing w:after="0" w:line="200" w:lineRule="exact"/>
        <w:rPr>
          <w:sz w:val="20"/>
          <w:szCs w:val="20"/>
          <w:color w:val="auto"/>
        </w:rPr>
      </w:pPr>
    </w:p>
    <w:p>
      <w:pPr>
        <w:spacing w:after="0" w:line="245" w:lineRule="exact"/>
        <w:rPr>
          <w:sz w:val="20"/>
          <w:szCs w:val="20"/>
          <w:color w:val="auto"/>
        </w:rPr>
      </w:pPr>
    </w:p>
    <w:p>
      <w:pPr>
        <w:ind w:right="340"/>
        <w:spacing w:after="0" w:line="291" w:lineRule="auto"/>
        <w:rPr>
          <w:sz w:val="20"/>
          <w:szCs w:val="20"/>
          <w:color w:val="auto"/>
        </w:rPr>
      </w:pPr>
      <w:r>
        <w:rPr>
          <w:rFonts w:ascii="Arial" w:cs="Arial" w:eastAsia="Arial" w:hAnsi="Arial"/>
          <w:sz w:val="40"/>
          <w:szCs w:val="40"/>
          <w:b w:val="1"/>
          <w:bCs w:val="1"/>
          <w:color w:val="auto"/>
        </w:rPr>
        <w:t>SUMMARY OF THE AMENDED 2007 PLAN AS PROPOSED TO BE AMENDED AND RESTATED</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 xml:space="preserve">The following summary is qualified in its entirety by reference to the complete text of the Amended 2007 Plan, which is provided with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Purpose</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purpose of the Amended 2007 Plan is to promote our success and enhance our value by linking the personal interests of our employees, officers, directors, and consultants to those of our shareholders, and by providing participants with an incentive for outstanding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Permissible Awards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Amended 2007 Plan authorizes the grant of awards in any of the following forms:</w:t>
      </w:r>
    </w:p>
    <w:p>
      <w:pPr>
        <w:spacing w:after="0" w:line="252" w:lineRule="exact"/>
        <w:rPr>
          <w:sz w:val="20"/>
          <w:szCs w:val="20"/>
          <w:color w:val="auto"/>
        </w:rPr>
      </w:pPr>
    </w:p>
    <w:p>
      <w:pPr>
        <w:ind w:left="660" w:right="16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to purchase shares of Common Stock, which may be nonstatutory stock options or incentive stock options under the Code. The exercise price of an option granted under the Amended 2007 Plan may not be less than the fair market value of our Common Stock on the date of grant (except to the limited extent permitted by the Code when we issue options in substitution for options held by employees of companies acquired by us). Stock options granted under the Amended 2007 Plan may have a term of up to eight years.</w:t>
      </w:r>
    </w:p>
    <w:p>
      <w:pPr>
        <w:spacing w:after="0" w:line="206"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(except to the limited extent permitted by the Code when we issue SARs in substitution for SARs held by employees of companies acquired by us). SARs granted under the Amended 2007 Plan may have a term of up to eight years.</w:t>
      </w:r>
    </w:p>
    <w:p>
      <w:pPr>
        <w:spacing w:after="0" w:line="188" w:lineRule="exact"/>
        <w:rPr>
          <w:rFonts w:ascii="Arial" w:cs="Arial" w:eastAsia="Arial" w:hAnsi="Arial"/>
          <w:sz w:val="17"/>
          <w:szCs w:val="17"/>
          <w:color w:val="auto"/>
        </w:rPr>
      </w:pPr>
    </w:p>
    <w:p>
      <w:pPr>
        <w:ind w:left="660" w:right="18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committee administering the Amended 2007 Plan, which generally refers to the Compensation Committee of our Board (the “Committee”).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40" w:hanging="328"/>
        <w:spacing w:after="0" w:line="28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Restricted stock, which is shares of our Common Stock granted subject to restrictions on transferability and subject to forfeiture on terms set by the Committee.</w:t>
      </w:r>
    </w:p>
    <w:p>
      <w:pPr>
        <w:spacing w:after="0" w:line="179"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79"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awards will be evidenced by a written award document (an “award certificate”) between us and the participant, which will include such provisions as may be specified by the Committee and not inconsistent with the Amended 2007 Plan. Dividend equivalent rights, which entitle the participant to payments by reference to the amount of ordinary cash dividends or distributions paid on the shares of stock underlying an award, may not be granted with respect to options or SARs, but may be granted with other awards. Dividend equivalent rights may be deemed reinvested (in shares or otherwise) or may be paid out or distributed as accrued, as determined by the Committee, except that dividend equivalent rights on performance shares may not be paid out or distributed as accrued, and can be paid or distributed only if the performance-based vesting restrictions on the performance shares lapse. Unless determined otherwise by the Committee, dividend equivalent rights accruing on unvested awards will vest when the award vests and otherwise will be forfeited if the award on which the dividend equivalent rights accrued is forfeited.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Shares Available for Awards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proposed amendment of the 2007 Plan would increase the number of shares that may be issued under the Amended 2007 Plan by 50 million shares. If the shareholders approve the proposed amendment to the 2007 Plan, the aggregate number of shares of Common Stock reserved and available for issuance pursuant to awards granted under the Amended 2007 Plan will be 250 million. The maximum number of shares that may be issued to one person upon exercise of incentive stock options granted under the Amended 2007 Plan is 2 million. Each share issued pursuant to “full value” awards, such as restricted stock, unrestricted stock, restricted stock units, deferred stock units, performance shares, or other stock-based awards (other than options or stock appreciation rights) that is settled in stock, will reduce the number of shares available for grant by two shares.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2007 Plan, as of the Record Date, November 14, 2022, equity awards covering an aggregate of 101,965,768 shares had been granted, net of cancellations. As of that date, no awards had been granted under the Amended 2007 Plan, the amended and restated version of the 2007 Plan that is being submitted for shareholder approval. Due to the fungible share pool provision of the 2007 Plan and the Amended 2007 Plan (see “Important Provisions of the Amended 2007 Plan - Fungible Share Pool” above), the equity awards granted as of the Record Date counted as 170,243,966 shares against the 2007 Plan share reserve, resulting in 29,756,034 shares still available for grant as of November 14, 2022. As of the same date, equity awards covering an aggregate of 27,709,833 shares were outstanding under the 2007 Plan, of which 690,710 shares were subject to stock options, 23,544,631 shares were subject to restricted stock units, and 3,474,492 shares were subject to performance restricted stock units. The weighted-average remaining contractual term of the outstanding stock options as of the Record Date, was 1.17 years and the weighted-average exercise price per share of those stock options was $21.53. Any stock issued under the Amended 2007 Plan may consist of authorized and unissued shares of our Common Stock, treasury shares of our Common Stock, or shares of our Common Stock purchased on the open market.</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noted above, the maximum number of shares of Common Stock subject to awards that may be granted under the Amended 2007 Plan during any one calendar year to any one participant will be 5,000,000 with respect to options and/or SARs; and 5,000,000 with respect to awards of restricted stock, restricted stock units, deferred stock units, performance shares or other stock-based awards (other than options and SARs). In addition, the maximum number of shares of Common Stock subject to awards granted during any single fiscal year of ours to any non-employee director, taken together with any cash fees paid to such non-employee director during that fiscal</w:t>
      </w:r>
    </w:p>
    <w:p>
      <w:pPr>
        <w:spacing w:after="0" w:line="200" w:lineRule="exact"/>
        <w:rPr>
          <w:sz w:val="20"/>
          <w:szCs w:val="20"/>
          <w:color w:val="auto"/>
        </w:rPr>
      </w:pPr>
    </w:p>
    <w:p>
      <w:pPr>
        <w:spacing w:after="0" w:line="37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67</w:t>
      </w:r>
    </w:p>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year, will not exceed $750,000 in total value. For this purpose, the value of any such awards will be based on the grant date fair value as determined for financial reporting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 Counting</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subject to awards that terminate or expire unexercised, or are cancelled, forfeited or lapse for any reason, and shares underlying awards that are ultimately settled in cash, will become available for future grants of awards under the Amended 2007 Plan. The following shares of Common Stock may not again be made available for issuance as awards under the Amended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 If any part of a “full value” award (as defined in the “Shares Available for Awards” section immediately above) is cancelled, forfeited, or lapses for any reason, or the shares underlying the award are settled in cash, twice the number of such full value awards will be returned to the Amended 2007 Plan to correspond to the formula described above for reducing the number of shares available for grant under the Amended 2007 Plan when granting full value awards.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Minimum Vesting Requirements</w:t>
      </w: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Full-value awards granted under the Amended 2007 Plan will be subject to a minimum vesting period of three years (which may include graduated vesting) or one year if the vesting is performance-based, except to the limited extent provided in the Amended 2007 Plan. These exceptions include awards issued in substitution for awards in a business combination, awards issued for forgone cash compensation, accelerated vesting in the case of death, disability or retirement, or the occurrence of a Change in Control, awards covering 5% or fewer of the total number of shares of Common Stock authorized under the Amended 2007 Plan, and awards granted to non-employee directors.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Administration</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Amended 2007 Plan will be administered by the Committee. The Committee will have the authority to grant awards; designate participants; determine the type or types of awards to be granted to each participant and the number, terms and conditions thereof, including without limitation exercisability, exercise, base, or purchase prices, and any vesting requirements; amend award certificates (subject to the limitations under the Amended 2007 Plan); establish, adopt, or revise any rules and regulations as it may deem necessary or advisable to administer the Amended 2007 Plan; and make all other decisions and determinations that may be required under the Amended 2007 Plan or that the Committee deems necessary or advisable for administration of the Amended 2007 Plan. However, the Committee may not grant discretionary awards under the Amended 2007 Plan to our non-employee directors and our non-employee directors will be granted awards under the Amended 2007 Plan only in accordance with the terms, conditions, and parameters of a plan, program, or policy for compensating our non-employee directors as may be in effect from time to time. Our Board may at any time administer the Amended 2007 Plan. If it does so, it will have all the powers of the Committee under the Amended 2007 Plan.</w:t>
      </w:r>
    </w:p>
    <w:p>
      <w:pPr>
        <w:spacing w:after="0" w:line="212"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addition, our Board may expressly delegate to a special committee some or all of the Committee’s authority, within specified parameters, to grant awards to eligible participants who, at the time of grant, are not executive officers or members of the Board. The Board has delegated to our CEO limited authority to grant awards under the 2007 Plan to employees who are not executive officers of the Company. The CEO is authorized to grant awards to employees provided Equity Awards granted to any employee do not have a grant date value in excess $1,000,000, in the aggregate in any fiscal year of the Company. The Board at any time may revoke the authority of the CEO to grant these awards. The CEO is not authorized to grant awards to members of the Board or to executive officers of the Company.</w:t>
      </w:r>
    </w:p>
    <w:p>
      <w:pPr>
        <w:spacing w:after="0" w:line="2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Board has separately delegated to a committee consisting of the Chair of the Committee and our CEO limited authority to grant awards under the 2007 Plan to employees who are not officers of the Company subject to Section 16 of the Exchange Act. This committee is also not authorized to grant awards to members of the Board. The Board at any time may revoke the authority of this committee to grant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Eligibility</w:t>
      </w: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Employees (including officers) and non-employee directors of the Company or any affiliate of the Company, including its subsidiaries, are eligible to be selected to receive awards under the Amended 2007 Plan. These are the same groups of individuals eligible under the 2007 Plan. The actual number of individuals who will receive awards cannot be determined in advance because the Committee has the discretion to select the participants. As of November 14, 2022, approximately 48,937 persons, including approximately 48,930 employees, and 7 non-employee directors, were eligible to be selected to receive awards under the 2007 Plan and therefore, approximately the same number are expected to be eligible to be selected to receive awards under the Amended 2007 Plan. As of the same date, 27,400 persons, including 27,392 employees, and 8 current and former non-employee directors had outstanding awards under the 2007 Plan. Consultants of the Company or its affiliates also are eligible to be selected to receive awards under the Amended 2007 Plan.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Limitations on Transfer; Beneficiaries</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Acceleration Upon Certain Events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provided in an award certificate, any special plan document governing an award, or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participant, upon the occurrence of a “Change in Control” (as defined in the Amended 2007 Plan), awards that are assumed by the surviving entity will not automatically accelerate vesting or pay out. Awards that are not assumed by the surviving entity or otherwise equitably converted or substituted in connection with the Change in Control in a manner approved by the Committee or our Board, will be treated as follows:</w:t>
      </w:r>
    </w:p>
    <w:p>
      <w:pPr>
        <w:spacing w:after="0" w:line="206"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outstanding options, SARs, and other awards in the nature of rights that may be exercised will become fully exercisable;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time-based vesting restrictions on outstanding awards will lapse; and</w:t>
      </w:r>
    </w:p>
    <w:p>
      <w:pPr>
        <w:spacing w:after="0" w:line="25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payout opportunities attainable under all outstanding performance-based awards will vest based on target performance and the awards will pay out on a pro rata basis, based on the time within the performance period that has elapsed prior to the Change in Control.</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awards assumed by the surviving entity or otherwise equitably converted or substituted in connection with a Change in Control, if within one year after the effective date of the Change in Control, a participant’s employment is terminated without Cause (as defined in the Amended 2007 Plan, unless otherwise provided in an award certificate or any special plan document or other agreement governing an award) or the participant resigns for Good Reason (if and as defined in the award certificate, unless otherwise provided in any special plan document or other agreement governing an award), then:</w:t>
      </w:r>
    </w:p>
    <w:p>
      <w:pPr>
        <w:spacing w:after="0" w:line="206" w:lineRule="exact"/>
        <w:rPr>
          <w:sz w:val="20"/>
          <w:szCs w:val="20"/>
          <w:color w:val="auto"/>
        </w:rPr>
      </w:pPr>
    </w:p>
    <w:p>
      <w:pPr>
        <w:ind w:left="660" w:right="28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that participant’s outstanding options, SARs, and other awards in the nature of rights that may be exercised will become fully exercisable;</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time-based vesting restrictions on that participant’s outstanding awards will lapse;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69</w:t>
      </w:r>
    </w:p>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80" w:hanging="328"/>
        <w:spacing w:after="0" w:line="268"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payout opportunities attainable under all of that participant’s outstanding performance-based awards will vest based on target performance and the awards will pay out on a pro rata basis, based on the time within the performance period that has elapsed prior to the date of termination.</w:t>
      </w:r>
    </w:p>
    <w:p>
      <w:pPr>
        <w:spacing w:after="0" w:line="19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Death or Disability</w:t>
      </w:r>
      <w:r>
        <w:rPr>
          <w:rFonts w:ascii="Arial" w:cs="Arial" w:eastAsia="Arial" w:hAnsi="Arial"/>
          <w:sz w:val="17"/>
          <w:szCs w:val="17"/>
          <w:color w:val="auto"/>
        </w:rPr>
        <w:t>. Unless otherwise provided in an award certificate or other governing document, if a participant’s service terminates by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of death or disability, all of such participant’s outstanding options, SARs, and other awards in the nature of rights that may be exercised that are solely subject to time-based vesting restrictions will become fully exercisable for a period of up to 12 months following the termination of service,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9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Discretionary Acceleration</w:t>
      </w:r>
      <w:r>
        <w:rPr>
          <w:rFonts w:ascii="Arial" w:cs="Arial" w:eastAsia="Arial" w:hAnsi="Arial"/>
          <w:sz w:val="18"/>
          <w:szCs w:val="18"/>
          <w:color w:val="auto"/>
        </w:rPr>
        <w:t>. In addition, the Committee may in its discretion accelerate the vesting and (as applicable) exercisability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other reason, subject to the above described minimum vesting requirements. The Committee may discriminate among participants or among awards in exercising such discretion.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Adjustments</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nonreciprocal transaction between us and our shareholders occurs that causes the per-share value of the shares of Common Stock to change, such as a stock dividend, stock split, spin-off, rights offering, or large nonrecurring cash dividend, then the number of shares issuable under the Amended 2007 Plan and the per-participant share limits in the Amended 2007 Plan will be adjusted proportionately. The Committee will make other adjustments to the Amended 2007 Plan and awards granted under it that the Committee deems necessary to prevent dilution or enlargement of rights, including adjustments to the number and type of shares covered by outstanding awards or deliverable under the Amended 2007 Plan and the price per share of Common Stock covered by each outstanding award. Also, in the case of a stock split, stock dividend or stock consolidation, the share authorization limits under the Amended 2007 Plan and shares subject to, and terms of, outstanding awards will be adjusted proportionately. These adjustments may be made notwithstanding the other limits and restrictions of the Amended 2007 Plan.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Termination and Amendment</w:t>
      </w:r>
    </w:p>
    <w:p>
      <w:pPr>
        <w:spacing w:after="0" w:line="2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If the Amended 2007 Plan is approved by our shareholders at the Annual Meeting, it will be scheduled to terminate on January 12, 2033, unless we terminate it earlier. The 2007 Plan as originally adopted and as last approved by shareholders, and the Amended 2007 Plan, provide that the expiration date of the applicable plan automatically is extended to the 10th anniversary of shareholder approval of any addition of shares to the applicable plan. Therefore, the Amended 2007 Plan, if approved, will be scheduled to expire on January 12, 2033, which is the tenth anniversary of the Annual Meeting. If shareholders do not approve the Amended 2007 Plan, the 2007 Plan will expire on January 14, 2031, which is 10 years from the last shareholder approval of the 2007 Plan. Our Board or the Committee may, at any time and from time to time, terminate or amend the Amended 2007 Plan, but if an amendment to the Amended 2007 Plan would materially increase the number of shares of stock issuable under the Amended 2007 Plan, expand the types of awards provided under the Amended 2007 Plan, materially expand the class of participants eligible to participate in the Amended 2007 Plan, materially extend the term of the Amended 2007 Plan or otherwise constitute a material amendment requiring shareholder approval under applicable listing requirements, laws, policies, or regulations, then such amendment will be subject to shareholder approval. No termination or amendment of the Amended 2007 Plan may adversely affect any award previously granted under the Amended 2007 Plan without the written consent of the participant as provided in the Amended 2007 Plan.</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in certain circumstances. Also, unless approved by the shareholders or otherwise permitted by the anti-dilution or adjustment provisions of the Amended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a share of Common Stock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underlying the option or SAR is lower than the exercise price or base price per share of the option or SAR, and (iv) the original term of an option or SAR may not be extended.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Prohibition on Repricing</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indicated above under “Termination and Amendment,” outstanding stock options and SARs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Forfeiture of Awards</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Awards under the Amended 2007 Plan will be subject to any applicable compensation recoupment policy that we adopt from time to time, as required by law, or otherwise. In addition, the Committee may specify in an award certificate that a participant’s award will be subject to reduction, cancellation, forfeiture, or recoupment upon certain specified events, in addition to any otherwise applicable vesting or performance requirements. These event may include without limitation, termination for cause, violation of our material policies, breach of certain restrictive covenants, or other conduct by a participant detrimental to our business or reputation, or later determination that the vesting of or amount realized from a performance-based award was based on materially inaccurate financial statements or performance metric criteria, whether or not the participant caused or contributed to such material inaccuracy.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CERTAIN FEDERAL TAX EFFECTS</w:t>
      </w:r>
    </w:p>
    <w:p>
      <w:pPr>
        <w:spacing w:after="0" w:line="2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following discussion is limited to a summary of the U.S. federal income tax provisions relating to the grant, exercise, and vesting of awards under the Amended 2007 Plan and the subsequent sale of Common Stock acquired under the Amended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Generally, there will be no federal income tax consequences to the optionee upon the grant of a nonstatutory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under the Amended 2007 Plan. When the optionee exercises a nonstatutory stock option, however, he or she will recognize ordinary income in an amount equal to the excess of the fair market value of the Common Stock received upon exercise of the option at the time of exercise over the exercise price. Any gain that the optionee realizes when he or she later sells or disposes of the option shares will be short-term or long-term capital gain, depending on how long the shares were held.</w:t>
      </w:r>
    </w:p>
    <w:p>
      <w:pPr>
        <w:spacing w:after="0" w:line="20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There typically will be no federal income tax consequences to the optionee upon the grant or exercise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If the optionee holds the option shares for the required holding periods of more than two years after the date the option was granted and more than one year after exercise, the difference between the exercise price and the amount realized upon sale or disposition of the option shares will be long-term capital gain or loss. If the optionee disposes of the option shares in a sale, exchange, or other disqualifying disposition before either of the required holding periods ends, he or she will recognize taxable ordinary income in an amount equal to the excess of the fair market value of the option shares at the time of exercise (or, if less, the amount realized on the disposition of the shares) over the exercise price.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 unless the disposition of the exercised shares occurs in the same year as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71</w:t>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participant receiving a stock appreciation right generally will not recognize income at the time the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When the participant exercises the stock appreciation right, the amount of cash and the fair market value of any shares of Common Stock received will be ordinary income to the participant. Any gain that the participant realizes when he or she later sells or disposes of any such shares will be short-term or long-term capital gain, depending on how long the shares were held.</w:t>
      </w:r>
    </w:p>
    <w:p>
      <w:pPr>
        <w:spacing w:after="0" w:line="20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Unless a participant makes an election to accelerate recognition of income to the date of grant as described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generally will not recognize income at the time a restricted stock award is granted, provided that the award is subject to restrictions on transfer and is subject to a substantial risk of forfeiture. When the restrictions lapse, the participant generally will recognize ordinary income equal to the fair market value of the Common Stock as of that date, less any amount he or she paid for the stock.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Restricted or Deferred Stock Units, Performance Shares, and other Stock-Based Awards</w:t>
      </w:r>
      <w:r>
        <w:rPr>
          <w:rFonts w:ascii="Arial" w:cs="Arial" w:eastAsia="Arial" w:hAnsi="Arial"/>
          <w:sz w:val="18"/>
          <w:szCs w:val="18"/>
          <w:color w:val="auto"/>
        </w:rPr>
        <w:t>. A participant generally will not recognize income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an award of restricted or deferred stock units, performance shares, or other stock-based awards (other than those described above) is granted. Instead, the participant generally will be required to recognize ordinary income in an amount equal to the fair market value of shares or other payment issued to the participant at the end of the applicable vesting period or, if later, the settlement date of the award. Any additional gain or loss recognized upon any later disposition of any shares received would be capital gain or loss.</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i w:val="1"/>
          <w:iCs w:val="1"/>
          <w:color w:val="auto"/>
        </w:rPr>
        <w:t>Medicare Surtax</w:t>
      </w:r>
      <w:r>
        <w:rPr>
          <w:rFonts w:ascii="Arial" w:cs="Arial" w:eastAsia="Arial" w:hAnsi="Arial"/>
          <w:sz w:val="18"/>
          <w:szCs w:val="18"/>
          <w:color w:val="auto"/>
        </w:rPr>
        <w:t>. In addition, a participant’s annual “net investment income,” as defined in Code Section 1411, may be subject to a 3.8%</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surtax. Net investment income may include capital gain and/or loss arising from the disposition of shares issued pursuant to awards granted under the Amended 2007 Plan. Whether a participant’s net investment income will be subject to this surtax will depend on the participant’s level of annual income and other factors.</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provides certain requirements for non-qualified deferred compensation arrangements with respect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deferral and distribution elections and permissible distribution events. Awards granted under the Amended 2007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tax on compensation recognized as ordinary income, as well as interest on such deferred compensation.</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i w:val="1"/>
          <w:iCs w:val="1"/>
          <w:color w:val="auto"/>
        </w:rPr>
        <w:t>Tax Effect for the Company</w:t>
      </w:r>
      <w:r>
        <w:rPr>
          <w:rFonts w:ascii="Arial" w:cs="Arial" w:eastAsia="Arial" w:hAnsi="Arial"/>
          <w:sz w:val="18"/>
          <w:szCs w:val="18"/>
          <w:color w:val="auto"/>
        </w:rPr>
        <w:t>. The Company generally will be entitled to a tax deduction in connection with an award under the Amended 2007</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an amount equal to the ordinary income recognized by a participant and at the time that the participant recognizes such income (for example, the exercise of a nonqualified stock option), except as follows. Under Section 162(m) of the Code, the deductibility of compensation paid to certain individuals is limited to $1,000,000 per person per year. These individuals include our CEO, Chief Financial Officer and certain other individuals (including, but not necessarily limited to, our next three other most highly compensated named executive officers other than the CEO and Chief Financial Officer and certain individuals who were subject to Section 162(m) while employees at Micron). Under a special Code Section 162(m) transition rule, compensation received from the exercise of nonqualified stock options that we granted prior to November 2, 2017, is expected to be fully deductible although this tax treatment is not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NEW PLAN BENEFITS</w:t>
      </w: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number and type of equity awards that a service provider may receive under the Amended 2007 Plan (if any) is in the discretion of the Committee. Therefore, the amount that may be received by any individual under the Amended 2007 Plan cannot be determined in advance. Our executive officers and non-employee directors will be eligible to receive awards under the Amended 2007 Plan, and therefore, our executive officers and non-employee directors have an interest in the approval of the Amended 2007 Plan by shareholders. For purposes of illustration only, the following table sets forth information with respect to the awards that were granted under the 2007 Plan during fiscal 2022 to the executive officers named in the Summary Compensation Table, to all current executive officers as a group, to all non-employee directors as a group, and to all non-executive officer employees as a group. Additional awards may be granted under the Amended 2007 Plan to these individuals and groups in the future, as determined in the discretion of the Committee. No stock options, SARs, or performance-based restricted stock awards were granted under the 2007 Plan in fiscal 2022. See “Grants of Plan-Based Awards in Fiscal 2022” and “Director Compensation - Equity Award” above. As of November 14, 2022, the closing price of our Common Stock was $61.78.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Position</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Number of Shares Subject</w:t>
            </w:r>
          </w:p>
        </w:tc>
        <w:tc>
          <w:tcPr>
            <w:tcW w:w="0" w:type="dxa"/>
            <w:vAlign w:val="bottom"/>
          </w:tcPr>
          <w:p>
            <w:pPr>
              <w:spacing w:after="0"/>
              <w:rPr>
                <w:sz w:val="1"/>
                <w:szCs w:val="1"/>
                <w:color w:val="auto"/>
              </w:rPr>
            </w:pPr>
          </w:p>
        </w:tc>
      </w:tr>
      <w:tr>
        <w:trPr>
          <w:trHeight w:val="235"/>
        </w:trPr>
        <w:tc>
          <w:tcPr>
            <w:tcW w:w="8560" w:type="dxa"/>
            <w:vAlign w:val="bottom"/>
            <w:tcBorders>
              <w:bottom w:val="single" w:sz="8" w:color="0090DA"/>
            </w:tcBorders>
            <w:vMerge w:val="continue"/>
          </w:tcPr>
          <w:p>
            <w:pPr>
              <w:spacing w:after="0"/>
              <w:rPr>
                <w:sz w:val="20"/>
                <w:szCs w:val="20"/>
                <w:color w:val="auto"/>
              </w:rPr>
            </w:pPr>
          </w:p>
        </w:tc>
        <w:tc>
          <w:tcPr>
            <w:tcW w:w="268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to Stock Awards</w:t>
            </w:r>
          </w:p>
        </w:tc>
        <w:tc>
          <w:tcPr>
            <w:tcW w:w="0" w:type="dxa"/>
            <w:vAlign w:val="bottom"/>
          </w:tcPr>
          <w:p>
            <w:pPr>
              <w:spacing w:after="0"/>
              <w:rPr>
                <w:sz w:val="1"/>
                <w:szCs w:val="1"/>
                <w:color w:val="auto"/>
              </w:rPr>
            </w:pPr>
          </w:p>
        </w:tc>
      </w:tr>
      <w:tr>
        <w:trPr>
          <w:trHeight w:val="34"/>
        </w:trPr>
        <w:tc>
          <w:tcPr>
            <w:tcW w:w="8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 President and Chief Executive Officer</w:t>
            </w:r>
          </w:p>
        </w:tc>
        <w:tc>
          <w:tcPr>
            <w:tcW w:w="26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338,109</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Mark J. Murphy, Executive Vice President and Chief Financial Officer</w:t>
            </w:r>
          </w:p>
        </w:tc>
        <w:tc>
          <w:tcPr>
            <w:tcW w:w="2680" w:type="dxa"/>
            <w:vAlign w:val="bottom"/>
          </w:tcPr>
          <w:p>
            <w:pPr>
              <w:jc w:val="right"/>
              <w:spacing w:after="0"/>
              <w:rPr>
                <w:sz w:val="20"/>
                <w:szCs w:val="20"/>
                <w:color w:val="auto"/>
              </w:rPr>
            </w:pPr>
            <w:r>
              <w:rPr>
                <w:rFonts w:ascii="Arial" w:cs="Arial" w:eastAsia="Arial" w:hAnsi="Arial"/>
                <w:sz w:val="18"/>
                <w:szCs w:val="18"/>
                <w:color w:val="auto"/>
              </w:rPr>
              <w:t>172,473</w:t>
            </w:r>
          </w:p>
        </w:tc>
        <w:tc>
          <w:tcPr>
            <w:tcW w:w="0" w:type="dxa"/>
            <w:vAlign w:val="bottom"/>
          </w:tcPr>
          <w:p>
            <w:pPr>
              <w:spacing w:after="0"/>
              <w:rPr>
                <w:sz w:val="1"/>
                <w:szCs w:val="1"/>
                <w:color w:val="auto"/>
              </w:rPr>
            </w:pPr>
          </w:p>
        </w:tc>
      </w:tr>
      <w:tr>
        <w:trPr>
          <w:trHeight w:val="230"/>
        </w:trPr>
        <w:tc>
          <w:tcPr>
            <w:tcW w:w="8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 Executive Vice President, Global Operations</w:t>
            </w:r>
          </w:p>
        </w:tc>
        <w:tc>
          <w:tcPr>
            <w:tcW w:w="26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115,101</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Michael W. Bokan, Senior Vice President, Worldwide Sales</w:t>
            </w:r>
          </w:p>
        </w:tc>
        <w:tc>
          <w:tcPr>
            <w:tcW w:w="2680" w:type="dxa"/>
            <w:vAlign w:val="bottom"/>
          </w:tcPr>
          <w:p>
            <w:pPr>
              <w:jc w:val="right"/>
              <w:spacing w:after="0"/>
              <w:rPr>
                <w:sz w:val="20"/>
                <w:szCs w:val="20"/>
                <w:color w:val="auto"/>
              </w:rPr>
            </w:pPr>
            <w:r>
              <w:rPr>
                <w:rFonts w:ascii="Arial" w:cs="Arial" w:eastAsia="Arial" w:hAnsi="Arial"/>
                <w:sz w:val="18"/>
                <w:szCs w:val="18"/>
                <w:color w:val="auto"/>
              </w:rPr>
              <w:t>64,745</w:t>
            </w:r>
          </w:p>
        </w:tc>
        <w:tc>
          <w:tcPr>
            <w:tcW w:w="0" w:type="dxa"/>
            <w:vAlign w:val="bottom"/>
          </w:tcPr>
          <w:p>
            <w:pPr>
              <w:spacing w:after="0"/>
              <w:rPr>
                <w:sz w:val="1"/>
                <w:szCs w:val="1"/>
                <w:color w:val="auto"/>
              </w:rPr>
            </w:pPr>
          </w:p>
        </w:tc>
      </w:tr>
      <w:tr>
        <w:trPr>
          <w:trHeight w:val="230"/>
        </w:trPr>
        <w:tc>
          <w:tcPr>
            <w:tcW w:w="8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Scott J. DeBoer, Executive Vice President, Technology and Products</w:t>
            </w:r>
          </w:p>
        </w:tc>
        <w:tc>
          <w:tcPr>
            <w:tcW w:w="26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89,922</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Sumit Sadana, Executive Vice President and Chief Business Officer</w:t>
            </w:r>
          </w:p>
        </w:tc>
        <w:tc>
          <w:tcPr>
            <w:tcW w:w="2680" w:type="dxa"/>
            <w:vAlign w:val="bottom"/>
          </w:tcPr>
          <w:p>
            <w:pPr>
              <w:jc w:val="right"/>
              <w:spacing w:after="0"/>
              <w:rPr>
                <w:sz w:val="20"/>
                <w:szCs w:val="20"/>
                <w:color w:val="auto"/>
              </w:rPr>
            </w:pPr>
            <w:r>
              <w:rPr>
                <w:rFonts w:ascii="Arial" w:cs="Arial" w:eastAsia="Arial" w:hAnsi="Arial"/>
                <w:sz w:val="18"/>
                <w:szCs w:val="18"/>
                <w:color w:val="auto"/>
              </w:rPr>
              <w:t>118,698</w:t>
            </w:r>
          </w:p>
        </w:tc>
        <w:tc>
          <w:tcPr>
            <w:tcW w:w="0" w:type="dxa"/>
            <w:vAlign w:val="bottom"/>
          </w:tcPr>
          <w:p>
            <w:pPr>
              <w:spacing w:after="0"/>
              <w:rPr>
                <w:sz w:val="1"/>
                <w:szCs w:val="1"/>
                <w:color w:val="auto"/>
              </w:rPr>
            </w:pPr>
          </w:p>
        </w:tc>
      </w:tr>
      <w:tr>
        <w:trPr>
          <w:trHeight w:val="229"/>
        </w:trPr>
        <w:tc>
          <w:tcPr>
            <w:tcW w:w="8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David A. Zinsner, Former Executive Vice President and Chief Financial Officer</w:t>
            </w:r>
          </w:p>
        </w:tc>
        <w:tc>
          <w:tcPr>
            <w:tcW w:w="26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100,714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All Current Executive Officers as a Group</w:t>
            </w:r>
          </w:p>
        </w:tc>
        <w:tc>
          <w:tcPr>
            <w:tcW w:w="2680" w:type="dxa"/>
            <w:vAlign w:val="bottom"/>
          </w:tcPr>
          <w:p>
            <w:pPr>
              <w:jc w:val="right"/>
              <w:spacing w:after="0"/>
              <w:rPr>
                <w:sz w:val="20"/>
                <w:szCs w:val="20"/>
                <w:color w:val="auto"/>
              </w:rPr>
            </w:pPr>
            <w:r>
              <w:rPr>
                <w:rFonts w:ascii="Arial" w:cs="Arial" w:eastAsia="Arial" w:hAnsi="Arial"/>
                <w:sz w:val="18"/>
                <w:szCs w:val="18"/>
                <w:color w:val="auto"/>
              </w:rPr>
              <w:t>1,011,392</w:t>
            </w:r>
          </w:p>
        </w:tc>
        <w:tc>
          <w:tcPr>
            <w:tcW w:w="0" w:type="dxa"/>
            <w:vAlign w:val="bottom"/>
          </w:tcPr>
          <w:p>
            <w:pPr>
              <w:spacing w:after="0"/>
              <w:rPr>
                <w:sz w:val="1"/>
                <w:szCs w:val="1"/>
                <w:color w:val="auto"/>
              </w:rPr>
            </w:pPr>
          </w:p>
        </w:tc>
      </w:tr>
      <w:tr>
        <w:trPr>
          <w:trHeight w:val="229"/>
        </w:trPr>
        <w:tc>
          <w:tcPr>
            <w:tcW w:w="8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All Non-Executive Officer Employees as a Group (Including all Officers who are not Executive Officers)</w:t>
            </w:r>
          </w:p>
        </w:tc>
        <w:tc>
          <w:tcPr>
            <w:tcW w:w="26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10,867,997</w:t>
            </w: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Arial" w:cs="Arial" w:eastAsia="Arial" w:hAnsi="Arial"/>
                <w:sz w:val="18"/>
                <w:szCs w:val="18"/>
                <w:color w:val="auto"/>
              </w:rPr>
              <w:t>All Directors who are not Executive Officers as a Group</w:t>
            </w:r>
          </w:p>
        </w:tc>
        <w:tc>
          <w:tcPr>
            <w:tcW w:w="2680" w:type="dxa"/>
            <w:vAlign w:val="bottom"/>
          </w:tcPr>
          <w:p>
            <w:pPr>
              <w:jc w:val="right"/>
              <w:spacing w:after="0"/>
              <w:rPr>
                <w:sz w:val="20"/>
                <w:szCs w:val="20"/>
                <w:color w:val="auto"/>
              </w:rPr>
            </w:pPr>
            <w:r>
              <w:rPr>
                <w:rFonts w:ascii="Arial" w:cs="Arial" w:eastAsia="Arial" w:hAnsi="Arial"/>
                <w:sz w:val="18"/>
                <w:szCs w:val="18"/>
                <w:color w:val="auto"/>
              </w:rPr>
              <w:t>26,229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4911725"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approval of the Amended 2007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73</w:t>
      </w:r>
    </w:p>
    <w:p>
      <w:pPr>
        <w:sectPr>
          <w:pgSz w:w="11900" w:h="16838" w:orient="portrait"/>
          <w:cols w:equalWidth="0" w:num="1">
            <w:col w:w="11240"/>
          </w:cols>
          <w:pgMar w:left="320" w:top="12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0090DA"/>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5829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66" w:lineRule="exact"/>
        <w:rPr>
          <w:sz w:val="20"/>
          <w:szCs w:val="20"/>
          <w:color w:val="auto"/>
        </w:rPr>
      </w:pPr>
    </w:p>
    <w:p>
      <w:pPr>
        <w:ind w:left="20" w:right="2100"/>
        <w:spacing w:after="0" w:line="284" w:lineRule="auto"/>
        <w:rPr>
          <w:sz w:val="20"/>
          <w:szCs w:val="20"/>
          <w:color w:val="auto"/>
        </w:rPr>
      </w:pPr>
      <w:r>
        <w:rPr>
          <w:rFonts w:ascii="Arial" w:cs="Arial" w:eastAsia="Arial" w:hAnsi="Arial"/>
          <w:sz w:val="36"/>
          <w:szCs w:val="36"/>
          <w:b w:val="1"/>
          <w:bCs w:val="1"/>
          <w:color w:val="FFFFFF"/>
        </w:rPr>
        <w:t>PROPOSAL 4 – RATIFICATION OF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of the Board has retained PricewaterhouseCoopers LLP (“PwC”) as our Independent Registered Public Accounting Firm to audit our consolidated financial statements for the fiscal year ending August 31, 2023. PwC has been our Independent Registered Public Accounting Firm since 1984.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will have the opportunity to make a statement if they so desire, and are expected to be available to respond following the Annual Meeting to appropriate questions submitted before or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91172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voting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the ratification of the appointment of PricewaterhouseCoopers LLP.</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Fees Paid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40" w:type="dxa"/>
            <w:vAlign w:val="bottom"/>
          </w:tcPr>
          <w:p>
            <w:pPr>
              <w:spacing w:after="0"/>
              <w:rPr>
                <w:sz w:val="20"/>
                <w:szCs w:val="20"/>
                <w:color w:val="auto"/>
              </w:rPr>
            </w:pPr>
            <w:r>
              <w:rPr>
                <w:rFonts w:ascii="Arial" w:cs="Arial" w:eastAsia="Arial" w:hAnsi="Arial"/>
                <w:sz w:val="18"/>
                <w:szCs w:val="18"/>
                <w:color w:val="auto"/>
              </w:rPr>
              <w:t>Fees charged for services performed by PwC for fiscal 2022 and 2021 were as follows: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2"/>
        </w:trPr>
        <w:tc>
          <w:tcPr>
            <w:tcW w:w="8540" w:type="dxa"/>
            <w:vAlign w:val="bottom"/>
          </w:tcPr>
          <w:p>
            <w:pPr>
              <w:spacing w:after="0"/>
              <w:rPr>
                <w:sz w:val="21"/>
                <w:szCs w:val="21"/>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0090DA"/>
            </w:tcBorders>
          </w:tcPr>
          <w:p>
            <w:pPr>
              <w:spacing w:after="0"/>
              <w:rPr>
                <w:sz w:val="21"/>
                <w:szCs w:val="21"/>
                <w:color w:val="auto"/>
              </w:rPr>
            </w:pPr>
          </w:p>
        </w:tc>
      </w:tr>
      <w:tr>
        <w:trPr>
          <w:trHeight w:val="223"/>
        </w:trPr>
        <w:tc>
          <w:tcPr>
            <w:tcW w:w="8540" w:type="dxa"/>
            <w:vAlign w:val="bottom"/>
            <w:tcBorders>
              <w:bottom w:val="single" w:sz="8" w:color="0090DA"/>
            </w:tcBorders>
          </w:tcPr>
          <w:p>
            <w:pPr>
              <w:spacing w:after="0"/>
              <w:rPr>
                <w:sz w:val="19"/>
                <w:szCs w:val="19"/>
                <w:color w:val="auto"/>
              </w:rPr>
            </w:pPr>
          </w:p>
        </w:tc>
        <w:tc>
          <w:tcPr>
            <w:tcW w:w="232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380" w:type="dxa"/>
            <w:vAlign w:val="bottom"/>
            <w:tcBorders>
              <w:bottom w:val="single" w:sz="8" w:color="0090DA"/>
            </w:tcBorders>
          </w:tcPr>
          <w:p>
            <w:pPr>
              <w:spacing w:after="0"/>
              <w:rPr>
                <w:sz w:val="19"/>
                <w:szCs w:val="19"/>
                <w:color w:val="auto"/>
              </w:rPr>
            </w:pPr>
          </w:p>
        </w:tc>
      </w:tr>
      <w:tr>
        <w:trPr>
          <w:trHeight w:val="34"/>
        </w:trPr>
        <w:tc>
          <w:tcPr>
            <w:tcW w:w="8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Audit fees(1)</w:t>
            </w:r>
          </w:p>
        </w:tc>
        <w:tc>
          <w:tcPr>
            <w:tcW w:w="900" w:type="dxa"/>
            <w:vAlign w:val="bottom"/>
            <w:shd w:val="clear" w:color="auto" w:fill="D1D2D4"/>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1000" w:type="dxa"/>
            <w:vAlign w:val="bottom"/>
            <w:shd w:val="clear" w:color="auto" w:fill="D1D2D4"/>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Tax fees(3)</w:t>
            </w:r>
          </w:p>
        </w:tc>
        <w:tc>
          <w:tcPr>
            <w:tcW w:w="900" w:type="dxa"/>
            <w:vAlign w:val="bottom"/>
            <w:shd w:val="clear" w:color="auto" w:fill="D1D2D4"/>
          </w:tcPr>
          <w:p>
            <w:pPr>
              <w:spacing w:after="0"/>
              <w:rPr>
                <w:sz w:val="19"/>
                <w:szCs w:val="19"/>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000" w:type="dxa"/>
            <w:vAlign w:val="bottom"/>
            <w:shd w:val="clear" w:color="auto" w:fill="D1D2D4"/>
          </w:tcPr>
          <w:p>
            <w:pPr>
              <w:spacing w:after="0"/>
              <w:rPr>
                <w:sz w:val="19"/>
                <w:szCs w:val="19"/>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5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All other fees(4)</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40" w:type="dxa"/>
            <w:vAlign w:val="bottom"/>
            <w:tcBorders>
              <w:bottom w:val="single" w:sz="8" w:color="D1D2D4"/>
            </w:tcBorders>
            <w:shd w:val="clear" w:color="auto" w:fill="D1D2D4"/>
          </w:tcPr>
          <w:p>
            <w:pPr>
              <w:spacing w:after="0"/>
              <w:rPr>
                <w:sz w:val="21"/>
                <w:szCs w:val="21"/>
                <w:color w:val="auto"/>
              </w:rPr>
            </w:pPr>
          </w:p>
        </w:tc>
        <w:tc>
          <w:tcPr>
            <w:tcW w:w="900" w:type="dxa"/>
            <w:vAlign w:val="bottom"/>
            <w:tcBorders>
              <w:bottom w:val="single" w:sz="8" w:color="auto"/>
            </w:tcBorders>
            <w:shd w:val="clear" w:color="auto" w:fill="D1D2D4"/>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1000" w:type="dxa"/>
            <w:vAlign w:val="bottom"/>
            <w:tcBorders>
              <w:bottom w:val="single" w:sz="8" w:color="auto"/>
            </w:tcBorders>
            <w:shd w:val="clear" w:color="auto" w:fill="D1D2D4"/>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8540" w:type="dxa"/>
            <w:vAlign w:val="bottom"/>
            <w:tcBorders>
              <w:top w:val="single" w:sz="8" w:color="D1D2D4"/>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340" w:right="40" w:hanging="332"/>
        <w:spacing w:after="0" w:line="268" w:lineRule="auto"/>
        <w:tabs>
          <w:tab w:leader="none" w:pos="3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tax compliance, and tax audit defense.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Reflects fees for services not included in the categories above, including a subscription to accounting research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4911725"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2022 and 2021, all audit, non-audit, tax services, and all other fees for services provided by PwC were approved by the Audit Committee in advance of services being provided.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4911725"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report has been prepared by members of the Audit Committee of the Board. The Board determined that each Audit Committee member qualified as an “audit committee financial expert” for purposes of the rules and regulations of the SEC. The Board also determined that during their period of service on the Audit Committee, each member satisfied the independence requirements of applicable federal laws and the Listing Rules of Nasdaq.</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purpose of the Audit Committee is to assist the Board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and (v) our compliance with legal and regulatory requirements.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2022,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the applicable requirements of the Public Company Accounting Oversight Board. PwC has provided to the Audit Committee the written disclosures and the letter required by the applicable requirements of the Public Company Accounting Oversight Board. The Audit Committee and PwC also discussed PwC’s independence, including the non-audit services PwC provided to us as described above, and concluded that PwC was independent for fiscal 2022.</w:t>
      </w:r>
    </w:p>
    <w:p>
      <w:pPr>
        <w:spacing w:after="0" w:line="2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that they include our audited consolidated financial statements in our Annual Report on Form 10-K for fiscal 2022, appointed PwC as our Independent Registered Public Accounting Firm for the fiscal year ending August 31, 2023, and approved and authorized PwC to carry out and perform certain specified non-audit services for us in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spacing w:after="0" w:line="27" w:lineRule="exact"/>
        <w:rPr>
          <w:sz w:val="20"/>
          <w:szCs w:val="20"/>
          <w:color w:val="auto"/>
        </w:rPr>
      </w:pPr>
    </w:p>
    <w:p>
      <w:pPr>
        <w:ind w:right="100" w:firstLine="8"/>
        <w:spacing w:after="0" w:line="255" w:lineRule="auto"/>
        <w:tabs>
          <w:tab w:leader="none" w:pos="2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ind w:left="4880"/>
        <w:spacing w:after="0" w:line="232" w:lineRule="auto"/>
        <w:rPr>
          <w:sz w:val="20"/>
          <w:szCs w:val="20"/>
          <w:color w:val="auto"/>
        </w:rPr>
      </w:pPr>
      <w:r>
        <w:rPr>
          <w:rFonts w:ascii="Arial" w:cs="Arial" w:eastAsia="Arial" w:hAnsi="Arial"/>
          <w:sz w:val="18"/>
          <w:szCs w:val="18"/>
          <w:color w:val="auto"/>
        </w:rPr>
        <w:t>The Audit Committee</w:t>
      </w:r>
    </w:p>
    <w:p>
      <w:pPr>
        <w:ind w:left="4880"/>
        <w:spacing w:after="0" w:line="203" w:lineRule="auto"/>
        <w:rPr>
          <w:sz w:val="20"/>
          <w:szCs w:val="20"/>
          <w:color w:val="auto"/>
        </w:rPr>
      </w:pPr>
      <w:r>
        <w:rPr>
          <w:rFonts w:ascii="Arial" w:cs="Arial" w:eastAsia="Arial" w:hAnsi="Arial"/>
          <w:sz w:val="18"/>
          <w:szCs w:val="18"/>
          <w:color w:val="auto"/>
        </w:rPr>
        <w:t>Lynn A. Dugle</w:t>
      </w:r>
    </w:p>
    <w:p>
      <w:pPr>
        <w:ind w:left="4880"/>
        <w:spacing w:after="0" w:line="219" w:lineRule="auto"/>
        <w:rPr>
          <w:sz w:val="20"/>
          <w:szCs w:val="20"/>
          <w:color w:val="auto"/>
        </w:rPr>
      </w:pPr>
      <w:r>
        <w:rPr>
          <w:rFonts w:ascii="Arial" w:cs="Arial" w:eastAsia="Arial" w:hAnsi="Arial"/>
          <w:sz w:val="18"/>
          <w:szCs w:val="18"/>
          <w:color w:val="auto"/>
        </w:rPr>
        <w:t>Steven J. Gomo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Mary Pat McCarthy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75</w:t>
      </w:r>
    </w:p>
    <w:p>
      <w:pPr>
        <w:sectPr>
          <w:pgSz w:w="11900" w:h="16838" w:orient="portrait"/>
          <w:cols w:equalWidth="0" w:num="1">
            <w:col w:w="11240"/>
          </w:cols>
          <w:pgMar w:left="32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PRINCIPAL SHAREHOLDERS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Security Ownership of Certain Beneficial Owners and Management</w:t>
      </w:r>
    </w:p>
    <w:p>
      <w:pPr>
        <w:spacing w:after="0" w:line="243"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The following table sets forth security beneficial ownership information of our Common Stock as of the Record Date,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tbl>
      <w:tblPr>
        <w:tblLayout w:type="fixed"/>
        <w:tblInd w:w="0" w:type="dxa"/>
        <w:tblCellMar>
          <w:top w:w="0" w:type="dxa"/>
          <w:left w:w="0" w:type="dxa"/>
          <w:bottom w:w="0" w:type="dxa"/>
          <w:right w:w="0" w:type="dxa"/>
        </w:tblCellMar>
      </w:tblPr>
      <w:tr>
        <w:trPr>
          <w:trHeight w:val="191"/>
        </w:trPr>
        <w:tc>
          <w:tcPr>
            <w:tcW w:w="5240" w:type="dxa"/>
            <w:vAlign w:val="bottom"/>
          </w:tcPr>
          <w:p>
            <w:pPr>
              <w:spacing w:after="0"/>
              <w:rPr>
                <w:sz w:val="16"/>
                <w:szCs w:val="16"/>
                <w:color w:val="auto"/>
              </w:rPr>
            </w:pPr>
          </w:p>
        </w:tc>
        <w:tc>
          <w:tcPr>
            <w:tcW w:w="176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4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7"/>
              </w:rPr>
              <w:t>Total</w:t>
            </w: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81"/>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760" w:type="dxa"/>
            <w:vAlign w:val="bottom"/>
          </w:tcPr>
          <w:p>
            <w:pPr>
              <w:jc w:val="center"/>
              <w:ind w:left="110"/>
              <w:spacing w:after="0" w:line="181"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vMerge w:val="continue"/>
          </w:tcPr>
          <w:p>
            <w:pPr>
              <w:spacing w:after="0"/>
              <w:rPr>
                <w:sz w:val="15"/>
                <w:szCs w:val="15"/>
                <w:color w:val="auto"/>
              </w:rPr>
            </w:pPr>
          </w:p>
        </w:tc>
        <w:tc>
          <w:tcPr>
            <w:tcW w:w="14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rPr>
              <w:t>Beneficial</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0090DA"/>
            </w:tcBorders>
            <w:vMerge w:val="continue"/>
          </w:tcPr>
          <w:p>
            <w:pPr>
              <w:spacing w:after="0"/>
              <w:rPr>
                <w:sz w:val="19"/>
                <w:szCs w:val="19"/>
                <w:color w:val="auto"/>
              </w:rPr>
            </w:pPr>
          </w:p>
        </w:tc>
        <w:tc>
          <w:tcPr>
            <w:tcW w:w="1760" w:type="dxa"/>
            <w:vAlign w:val="bottom"/>
            <w:tcBorders>
              <w:bottom w:val="single" w:sz="8" w:color="0090DA"/>
            </w:tcBorders>
          </w:tcPr>
          <w:p>
            <w:pPr>
              <w:jc w:val="center"/>
              <w:ind w:left="130"/>
              <w:spacing w:after="0"/>
              <w:rPr>
                <w:sz w:val="20"/>
                <w:szCs w:val="20"/>
                <w:color w:val="auto"/>
              </w:rPr>
            </w:pPr>
            <w:r>
              <w:rPr>
                <w:rFonts w:ascii="Arial" w:cs="Arial" w:eastAsia="Arial" w:hAnsi="Arial"/>
                <w:sz w:val="18"/>
                <w:szCs w:val="18"/>
                <w:b w:val="1"/>
                <w:bCs w:val="1"/>
                <w:color w:val="auto"/>
                <w:w w:val="99"/>
              </w:rPr>
              <w:t>Owned(1)</w:t>
            </w:r>
          </w:p>
        </w:tc>
        <w:tc>
          <w:tcPr>
            <w:tcW w:w="138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Acquire(2)</w:t>
            </w:r>
          </w:p>
        </w:tc>
        <w:tc>
          <w:tcPr>
            <w:tcW w:w="144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rPr>
              <w:t>Ownership</w:t>
            </w:r>
          </w:p>
        </w:tc>
        <w:tc>
          <w:tcPr>
            <w:tcW w:w="142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Class(3)</w:t>
            </w:r>
          </w:p>
        </w:tc>
        <w:tc>
          <w:tcPr>
            <w:tcW w:w="0" w:type="dxa"/>
            <w:vAlign w:val="bottom"/>
          </w:tcPr>
          <w:p>
            <w:pPr>
              <w:spacing w:after="0"/>
              <w:rPr>
                <w:sz w:val="1"/>
                <w:szCs w:val="1"/>
                <w:color w:val="auto"/>
              </w:rPr>
            </w:pPr>
          </w:p>
        </w:tc>
      </w:tr>
      <w:tr>
        <w:trPr>
          <w:trHeight w:val="34"/>
        </w:trPr>
        <w:tc>
          <w:tcPr>
            <w:tcW w:w="5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The Vanguard Group, Inc.(4)</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89,470,520</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89,470,520</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BlackRock, Inc.(5)</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84,819,452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84,819,452</w:t>
            </w:r>
          </w:p>
        </w:tc>
        <w:tc>
          <w:tcPr>
            <w:tcW w:w="142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Richard M. Beyer</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99,660</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99,660</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309,942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53,317</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363,259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Michael W. Bokan(6)</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191,972</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40,456</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232,428</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268,340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8,770</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277,110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Lynn A. Dugle</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14,066</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14,066</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Steven J. Gomo</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23,839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23,839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Linnie M. Haynesworth</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10,047</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10,047</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23,839</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23,839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Mehrotra(7)</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1,184,119</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612,284</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1,796,403</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Mark J. Murphy</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163,521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163,521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Sadana(8)</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301,154</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14,031</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315,185</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69,842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69,842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MaryAnn Wright</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19,748</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19,748</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David A. Zinsner(9)</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84,228</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84,228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directors and executive officers as a group (16 persons)</w:t>
            </w:r>
          </w:p>
        </w:tc>
        <w:tc>
          <w:tcPr>
            <w:tcW w:w="17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2,912,424</w:t>
            </w:r>
          </w:p>
        </w:tc>
        <w:tc>
          <w:tcPr>
            <w:tcW w:w="13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732,415</w:t>
            </w:r>
          </w:p>
        </w:tc>
        <w:tc>
          <w:tcPr>
            <w:tcW w:w="14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3,644,839</w:t>
            </w: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171" w:lineRule="exact"/>
        <w:rPr>
          <w:sz w:val="20"/>
          <w:szCs w:val="20"/>
          <w:color w:val="auto"/>
        </w:rPr>
      </w:pPr>
    </w:p>
    <w:p>
      <w:pPr>
        <w:ind w:left="340" w:right="660" w:hanging="332"/>
        <w:spacing w:after="0" w:line="287"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unvested shares of restricted stock and excludes shares that may be acquired through the exercise of outstanding stock options.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144" w:lineRule="exact"/>
        <w:rPr>
          <w:rFonts w:ascii="Arial" w:cs="Arial" w:eastAsia="Arial" w:hAnsi="Arial"/>
          <w:sz w:val="18"/>
          <w:szCs w:val="18"/>
          <w:color w:val="auto"/>
        </w:rPr>
      </w:pPr>
    </w:p>
    <w:p>
      <w:pPr>
        <w:ind w:left="340" w:right="240" w:hanging="332"/>
        <w:spacing w:after="0" w:line="287"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85" w:lineRule="exact"/>
        <w:rPr>
          <w:rFonts w:ascii="Arial" w:cs="Arial" w:eastAsia="Arial" w:hAnsi="Arial"/>
          <w:sz w:val="18"/>
          <w:szCs w:val="18"/>
          <w:color w:val="auto"/>
        </w:rPr>
      </w:pPr>
    </w:p>
    <w:p>
      <w:pPr>
        <w:jc w:val="both"/>
        <w:ind w:left="340" w:right="340" w:hanging="332"/>
        <w:spacing w:after="0" w:line="268"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December 31, 2021, The Vanguard Group, Inc. (“Vanguard”) had sole dispositive power as to 84,923,745 shares, shared voting power as to 1,809,904 shares, and shared dispositive power as to 4,546,775 shares. This information was taken from Schedule 13G filed on February 10, 2022. Vanguard’s business address is 100 Vanguard Blvd., Malvern, PA 19355.</w:t>
      </w:r>
    </w:p>
    <w:p>
      <w:pPr>
        <w:spacing w:after="0" w:line="103" w:lineRule="exact"/>
        <w:rPr>
          <w:rFonts w:ascii="Arial" w:cs="Arial" w:eastAsia="Arial" w:hAnsi="Arial"/>
          <w:sz w:val="18"/>
          <w:szCs w:val="18"/>
          <w:color w:val="auto"/>
        </w:rPr>
      </w:pPr>
    </w:p>
    <w:p>
      <w:pPr>
        <w:jc w:val="both"/>
        <w:ind w:left="340" w:right="200" w:hanging="332"/>
        <w:spacing w:after="0" w:line="268" w:lineRule="auto"/>
        <w:tabs>
          <w:tab w:leader="none" w:pos="3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December 31, 2021, BlackRock, Inc. had sole voting power as to 75,475,135 shares and sole dispositive power as to 84,819,452 shares. This information was taken from Schedule 13G filed on March 11, 2022. BlackRock’s business address is 55 East 52nd Street, New York, NY 10055.</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17,201 shares held by Michael W. Bokan in JTWROS account with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200" w:hanging="332"/>
        <w:spacing w:after="0" w:line="268"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36,789 shares held by the Sangeeta Mehrotra 2020 Grantor Retained Annuity Trust II, 15,272 shares held by the Sangeeta Mehrotra 2021 Grantor Retained Annuity Trust II, 170,000 shares held by the Sangeeta Mehrotra 2021 Grantor Retained Annuity Trust V and 60,000 shares held by the Sangeeta Mehrotra 2022 Grantor Retained Annuity Trust II.</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32,500 shares held by the S. Sadana and S. Sadana Trustee Sadana Living Trust held with spouse.</w:t>
      </w:r>
    </w:p>
    <w:p>
      <w:pPr>
        <w:spacing w:after="0" w:line="144" w:lineRule="exact"/>
        <w:rPr>
          <w:rFonts w:ascii="Arial" w:cs="Arial" w:eastAsia="Arial" w:hAnsi="Arial"/>
          <w:sz w:val="18"/>
          <w:szCs w:val="18"/>
          <w:color w:val="auto"/>
        </w:rPr>
      </w:pPr>
    </w:p>
    <w:p>
      <w:pPr>
        <w:ind w:left="340" w:right="560" w:hanging="332"/>
        <w:spacing w:after="0" w:line="287"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Zinsner resigned as our Executive Vice President and Chief Financial Officer effective as of January 10, 2022. Includes 55,387 shares held by the DZHS Community Property Trust.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60"/>
        <w:spacing w:after="0" w:line="291" w:lineRule="auto"/>
        <w:rPr>
          <w:sz w:val="20"/>
          <w:szCs w:val="20"/>
          <w:color w:val="auto"/>
        </w:rPr>
      </w:pPr>
      <w:r>
        <w:rPr>
          <w:rFonts w:ascii="Arial" w:cs="Arial" w:eastAsia="Arial" w:hAnsi="Arial"/>
          <w:sz w:val="40"/>
          <w:szCs w:val="40"/>
          <w:b w:val="1"/>
          <w:bCs w:val="1"/>
          <w:color w:val="auto"/>
        </w:rPr>
        <w:t>NOTICE OF ELECTRONIC AVAILABILITY OF PROXY MATERIALS</w:t>
      </w:r>
    </w:p>
    <w:p>
      <w:pPr>
        <w:spacing w:after="0" w:line="9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12, 2023. The Proxy Statement and Annual Report on Form 10-K are available at www.proxyvote.com.</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 OF CERTAIN FINANCIAL INFORMATION</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incorporate by reference in this Proxy Statement the “Equity Plans” note to our Consolidated Financial Statements included in our Annual Report on Form 10-K for fiscal 2022. The Annual Report on Form 10-K for fiscal 2022 accompanies this Proxy Statement. </w:t>
      </w:r>
      <w:r>
        <w:rPr>
          <w:rFonts w:ascii="Arial" w:cs="Arial" w:eastAsia="Arial" w:hAnsi="Arial"/>
          <w:sz w:val="18"/>
          <w:szCs w:val="18"/>
          <w:b w:val="1"/>
          <w:bCs w:val="1"/>
          <w:color w:val="auto"/>
        </w:rPr>
        <w:t>Copies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Annual Report on Form 10-K for fiscal 2022 may be obtained without charge by sending a written request to: Micron</w:t>
      </w:r>
    </w:p>
    <w:p>
      <w:pPr>
        <w:spacing w:after="0" w:line="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Technology, Inc., Attn.: Corporate Secretary, 8000 South Federal Way, Boise, Idaho 83716. </w:t>
      </w:r>
      <w:r>
        <w:rPr>
          <w:rFonts w:ascii="Arial" w:cs="Arial" w:eastAsia="Arial" w:hAnsi="Arial"/>
          <w:sz w:val="18"/>
          <w:szCs w:val="18"/>
          <w:color w:val="auto"/>
        </w:rPr>
        <w:t>Our Annual Report on Form 10-K also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in the “Investor Relations” section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STATEMENTS AND ANNUAL REPORTS</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2022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you share an address with other registered shareholders and your household receives one copy of the Notice of Internet availability or of this Proxy Statement and 2022 Annual Report on Form 10-K and you decide you want a separate copy of this Proxy Statement and 2022 Annual Report on Form 10-K through the date of the Annual Meeting, we will promptly deliver your separate copy if you contact us at Micron Technology, Inc., Attn.: Corporate Secretary, 8000 South Federal Way, Boise, Idaho 83716-9632 or corporatesecretary@micron.com or</w:t>
      </w:r>
    </w:p>
    <w:p>
      <w:pPr>
        <w:spacing w:after="0" w:line="2" w:lineRule="exact"/>
        <w:rPr>
          <w:sz w:val="20"/>
          <w:szCs w:val="20"/>
          <w:color w:val="auto"/>
        </w:rPr>
      </w:pPr>
    </w:p>
    <w:p>
      <w:pPr>
        <w:ind w:right="960" w:firstLine="8"/>
        <w:spacing w:after="0" w:line="266" w:lineRule="auto"/>
        <w:tabs>
          <w:tab w:leader="none" w:pos="4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368-4000. Additionally, for registered shareholders to resume the mailing of individual copies of future annual reports, proxy statements, proxy statements combined with a prospectus, and information statements to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77</w:t>
      </w:r>
    </w:p>
    <w:p>
      <w:pPr>
        <w:sectPr>
          <w:pgSz w:w="11900" w:h="16838" w:orient="portrait"/>
          <w:cols w:equalWidth="0" w:num="1">
            <w:col w:w="11240"/>
          </w:cols>
          <w:pgMar w:left="320" w:top="125" w:right="3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particular shareholder, you may contact EQ Shareowner Services, Attn.: Householding, P.O. Box 64854, St. Paul, Minnesota 55164-0874 and your request will be effective within 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2022 Annual Report on Form 10-K by contacting your bank, broker, or other nominee.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43"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However, the absence of these words or similar expressions does not mean that a statement is not forward-looking. Specific forward-looking statements include, but are not limited to, statements such as those made regarding our plans for capacity expansion; ramp of our 1-beta DRAM node; expected capital expenditures; our expected results for fiscal 2023; our DEI commitments; our sustainability commitments, goals, and expected improvements; the outlook for our industry; the usage rate of our Amended 2007 Plan; and estimated payments to our Named Executive Officers upon termination or Change in Control. These forward-looking statements are subject to a number of risks and uncertainties that could cause actual events to differ materially. Please refer to the documents we file with the SEC, including our most recent Annual Report on Form 10-K. These documents contain and identify important factors that could cause our actual results to differ materially from those contained in the forward-looking statements.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SHAREHOLDER PROPOSALS FOR FISCAL 2023 ANNUAL MEETING</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Proposals by our shareholders which are intended to be presented at our Fiscal 2023 Annual Meeting of Shareholders, including proposals submitted pursuant to Exchange Act Rule 14a-8 as well as for director nominees, must be received by us at our principal executive offices located at 8000 South Federal Way, Boise, Idaho 83716-9632, Attn.: Corporate Secretary, no later than August 4, 2023, and must also be in compliance with our Restated Certificate of Incorporation, our Amended and Restated Bylaws, and applicable laws and regulations in order to be included in the proxy statement and proxy card relating to that meeting. Proposals which are received after August 4, 2023, will be untimely and will not be considered at the meeting. In addition, to comply with the universal proxy rules, shareholders who intend to solicit proxies in support of director nominees other than the Company’s nominees must set forth the information required by Rule 14a-19 under the Exchange Act of 1934 when providing notice to the Company no later than November 13, 2023.</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 2022</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A</w:t>
      </w:r>
    </w:p>
    <w:p>
      <w:pPr>
        <w:spacing w:after="0" w:line="2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[Subject to shareholder approval]</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AMENDED AND RESTATED 2007 EQUITY INCENTIVE PLAN</w:t>
      </w:r>
    </w:p>
    <w:p>
      <w:pPr>
        <w:spacing w:after="0" w:line="2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(January 12, 2023 Amendment and Restatement)</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PURPOSE</w:t>
      </w:r>
    </w:p>
    <w:p>
      <w:pPr>
        <w:spacing w:after="0" w:line="207"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GENERAL</w:t>
      </w:r>
      <w:r>
        <w:rPr>
          <w:rFonts w:ascii="Arial" w:cs="Arial" w:eastAsia="Arial" w:hAnsi="Arial"/>
          <w:sz w:val="17"/>
          <w:szCs w:val="17"/>
          <w:color w:val="auto"/>
        </w:rPr>
        <w:t>. The purpose of the Micron Technology, Inc. Amended and Restated 2007 Equity Incentive Plan (the “Plan”) is to promote the success, and enhance the value, of Micron Technology, Inc. (the “Company”), by linking the personal interests of employees, officers,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non-employee directors and consultants upon whose judgment, interest, and special effort the successful conduct of the Company’s operation is largely dependent. Accordingly, the Plan permits the grant of incentive awards from time to time to selected employees, officers, non-employee directors and consultants of the Company and its Affiliates.</w:t>
      </w:r>
    </w:p>
    <w:p>
      <w:pPr>
        <w:spacing w:after="0" w:line="27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71" w:lineRule="exact"/>
        <w:rPr>
          <w:sz w:val="20"/>
          <w:szCs w:val="20"/>
          <w:color w:val="auto"/>
        </w:rPr>
      </w:pPr>
    </w:p>
    <w:p>
      <w:pPr>
        <w:ind w:right="500" w:firstLine="1304"/>
        <w:spacing w:after="0" w:line="287" w:lineRule="auto"/>
        <w:tabs>
          <w:tab w:leader="none" w:pos="19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52" w:lineRule="exact"/>
        <w:rPr>
          <w:rFonts w:ascii="Arial" w:cs="Arial" w:eastAsia="Arial" w:hAnsi="Arial"/>
          <w:sz w:val="18"/>
          <w:szCs w:val="18"/>
          <w:color w:val="auto"/>
        </w:rPr>
      </w:pPr>
    </w:p>
    <w:p>
      <w:pPr>
        <w:ind w:right="60" w:firstLine="1304"/>
        <w:spacing w:after="0" w:line="268" w:lineRule="auto"/>
        <w:tabs>
          <w:tab w:leader="none" w:pos="19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Other Stock-Based Award, or any other right or interest relating to Stock or cash, granted to a Participant under the Plan.</w:t>
      </w:r>
    </w:p>
    <w:p>
      <w:pPr>
        <w:spacing w:after="0" w:line="170" w:lineRule="exact"/>
        <w:rPr>
          <w:rFonts w:ascii="Arial" w:cs="Arial" w:eastAsia="Arial" w:hAnsi="Arial"/>
          <w:sz w:val="18"/>
          <w:szCs w:val="18"/>
          <w:color w:val="auto"/>
        </w:rPr>
      </w:pPr>
    </w:p>
    <w:p>
      <w:pPr>
        <w:ind w:right="20" w:firstLine="1304"/>
        <w:spacing w:after="0" w:line="259" w:lineRule="auto"/>
        <w:tabs>
          <w:tab w:leader="none" w:pos="19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79" w:lineRule="exact"/>
        <w:rPr>
          <w:rFonts w:ascii="Arial" w:cs="Arial" w:eastAsia="Arial" w:hAnsi="Arial"/>
          <w:sz w:val="18"/>
          <w:szCs w:val="18"/>
          <w:color w:val="auto"/>
        </w:rPr>
      </w:pPr>
    </w:p>
    <w:p>
      <w:pPr>
        <w:ind w:left="1940" w:hanging="636"/>
        <w:spacing w:after="0"/>
        <w:tabs>
          <w:tab w:leader="none" w:pos="1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right="60" w:firstLine="1304"/>
        <w:spacing w:after="0" w:line="262" w:lineRule="auto"/>
        <w:tabs>
          <w:tab w:leader="none" w:pos="19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“Cause”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Certificate, “Cause” shall mean any of the following acts by the Participant, as determined by the</w:t>
      </w:r>
    </w:p>
    <w:p>
      <w:pPr>
        <w:spacing w:after="0" w:line="200" w:lineRule="exact"/>
        <w:rPr>
          <w:sz w:val="20"/>
          <w:szCs w:val="20"/>
          <w:color w:val="auto"/>
        </w:rPr>
      </w:pPr>
    </w:p>
    <w:p>
      <w:pPr>
        <w:spacing w:after="0" w:line="35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79</w:t>
      </w:r>
    </w:p>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Committee: (i)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(ii) the Participant’s engaging in any other act of dishonesty, fraud, intentional misrepresentation, moral turpitude, illegality or harassment, whether or not such act was committed in connection with the business of the Company or any of its Affiliates; (iii) the willful and repeated failure by the Participant to follow the lawful directives of the Board or the Participant’s supervisor; (iv) any material violation of the Company’s written policies; (v) any intentional misconduct by the Participant in connection with the Company and any of its Affiliate’s business or relating to the Participant’s duties, or any willful violation of any laws, rules or regulations; or (vi) the Participant’s material breach of any employment, severance, non-competition, non-solicitation, confidential information, or restrictive covenant agreement, or similar agreement, with the Company or an Affiliate. The determination of the Committee as to the existence of “Cause” shall be conclusive on the Participant and the Company.</w:t>
      </w:r>
    </w:p>
    <w:p>
      <w:pPr>
        <w:spacing w:after="0" w:line="185" w:lineRule="exact"/>
        <w:rPr>
          <w:sz w:val="20"/>
          <w:szCs w:val="20"/>
          <w:color w:val="auto"/>
        </w:rPr>
      </w:pPr>
    </w:p>
    <w:p>
      <w:pPr>
        <w:ind w:left="1940" w:hanging="636"/>
        <w:spacing w:after="0"/>
        <w:tabs>
          <w:tab w:leader="none" w:pos="19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660" w:right="60" w:firstLine="1292"/>
        <w:spacing w:after="0" w:line="255" w:lineRule="auto"/>
        <w:tabs>
          <w:tab w:leader="none" w:pos="2602" w:val="left"/>
        </w:tabs>
        <w:numPr>
          <w:ilvl w:val="2"/>
          <w:numId w:val="85"/>
        </w:numPr>
        <w:rPr>
          <w:rFonts w:ascii="Arial" w:cs="Arial" w:eastAsia="Arial" w:hAnsi="Arial"/>
          <w:sz w:val="18"/>
          <w:szCs w:val="18"/>
          <w:color w:val="auto"/>
        </w:rPr>
      </w:pPr>
      <w:r>
        <w:rPr>
          <w:rFonts w:ascii="Arial" w:cs="Arial" w:eastAsia="Arial" w:hAnsi="Arial"/>
          <w:sz w:val="18"/>
          <w:szCs w:val="18"/>
          <w:color w:val="auto"/>
        </w:rPr>
        <w:t xml:space="preserve">individuals who, on November 30, 2022, constitute the Board (the “Incumbent Directors”) cease for any reason to constitute at least a majority of such Board, provided that any person becoming a director after November 30, 2022 and whose election or nomination for election was approved by a vote of at least a majority of the Incumbent Directors then on the Board shall be an Incumbent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84" w:lineRule="exact"/>
        <w:rPr>
          <w:rFonts w:ascii="Arial" w:cs="Arial" w:eastAsia="Arial" w:hAnsi="Arial"/>
          <w:sz w:val="18"/>
          <w:szCs w:val="18"/>
          <w:color w:val="auto"/>
        </w:rPr>
      </w:pPr>
    </w:p>
    <w:p>
      <w:pPr>
        <w:ind w:left="660" w:firstLine="1292"/>
        <w:spacing w:after="0" w:line="276" w:lineRule="auto"/>
        <w:tabs>
          <w:tab w:leader="none" w:pos="2601" w:val="left"/>
        </w:tabs>
        <w:numPr>
          <w:ilvl w:val="2"/>
          <w:numId w:val="85"/>
        </w:numPr>
        <w:rPr>
          <w:rFonts w:ascii="Arial" w:cs="Arial" w:eastAsia="Arial" w:hAnsi="Arial"/>
          <w:sz w:val="17"/>
          <w:szCs w:val="17"/>
          <w:color w:val="auto"/>
        </w:rPr>
      </w:pPr>
      <w:r>
        <w:rPr>
          <w:rFonts w:ascii="Arial" w:cs="Arial" w:eastAsia="Arial" w:hAnsi="Arial"/>
          <w:sz w:val="17"/>
          <w:szCs w:val="17"/>
          <w:color w:val="auto"/>
        </w:rPr>
        <w:t>any person is or becomes a “beneficial owner” (as defined in Rule 13d-3 under the 1934 Act), directly or indirectly, of either (A) 35% or more of the then-outstanding shares of common stock of the Company (“Company Common Stock”) or</w:t>
      </w:r>
    </w:p>
    <w:p>
      <w:pPr>
        <w:ind w:left="660" w:hanging="4"/>
        <w:spacing w:after="0" w:line="272" w:lineRule="auto"/>
        <w:tabs>
          <w:tab w:leader="none" w:pos="95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securities of the Company representing 35% or more of the combined voting power of the Company’s then outstanding securities eligible to vote for the election of directors (the “Company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subsection (ii), the following acquisitions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spacing w:after="0" w:line="170" w:lineRule="exact"/>
        <w:rPr>
          <w:rFonts w:ascii="Arial" w:cs="Arial" w:eastAsia="Arial" w:hAnsi="Arial"/>
          <w:sz w:val="17"/>
          <w:szCs w:val="17"/>
          <w:color w:val="auto"/>
        </w:rPr>
      </w:pPr>
    </w:p>
    <w:p>
      <w:pPr>
        <w:ind w:left="660" w:right="20" w:firstLine="1292"/>
        <w:spacing w:after="0" w:line="252" w:lineRule="auto"/>
        <w:tabs>
          <w:tab w:leader="none" w:pos="2601"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Corporation were Incumbent Directors at the time of the Board’s approval of the execution of the initial agreement providing for such Reorganization, Sale or Acquisition (any Reorganization, Sale or Acquisition which satisfies all of the criteria specified in (A), (B) and</w:t>
      </w:r>
    </w:p>
    <w:p>
      <w:pPr>
        <w:ind w:left="960" w:hanging="30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above shall be deemed to be a “Non-Qualifying Transaction”); or</w:t>
      </w:r>
    </w:p>
    <w:p>
      <w:pPr>
        <w:spacing w:after="0" w:line="207" w:lineRule="exact"/>
        <w:rPr>
          <w:rFonts w:ascii="Arial" w:cs="Arial" w:eastAsia="Arial" w:hAnsi="Arial"/>
          <w:sz w:val="18"/>
          <w:szCs w:val="18"/>
          <w:color w:val="auto"/>
        </w:rPr>
      </w:pPr>
    </w:p>
    <w:p>
      <w:pPr>
        <w:ind w:left="2600" w:hanging="648"/>
        <w:spacing w:after="0"/>
        <w:tabs>
          <w:tab w:leader="none" w:pos="260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right="40" w:firstLine="1304"/>
        <w:spacing w:after="0" w:line="268" w:lineRule="auto"/>
        <w:tabs>
          <w:tab w:leader="none" w:pos="1934"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40" w:firstLine="1304"/>
        <w:spacing w:after="0" w:line="254" w:lineRule="auto"/>
        <w:tabs>
          <w:tab w:leader="none" w:pos="1942"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85" w:lineRule="exact"/>
        <w:rPr>
          <w:rFonts w:ascii="Arial" w:cs="Arial" w:eastAsia="Arial" w:hAnsi="Arial"/>
          <w:sz w:val="18"/>
          <w:szCs w:val="18"/>
          <w:color w:val="auto"/>
        </w:rPr>
      </w:pPr>
    </w:p>
    <w:p>
      <w:pPr>
        <w:ind w:right="60" w:firstLine="1304"/>
        <w:spacing w:after="0" w:line="262" w:lineRule="auto"/>
        <w:tabs>
          <w:tab w:leader="none" w:pos="19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“Disability” or “Disabled” means the applicable authorized party under the long-term disability plan (the “LTD Plan”) maintained by the Participant’s employer (either the Company or an Affiliate) has provided written notification that the Participant qualifies for disability benefits under the LTD Plan (a “Disability Notice”). If the Participant is not eligible for disability benefits under any applicable LTD Plan, then the Participant shall not qualify as Disabled under this Plan.</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“Dividend Equivalent” means a right granted with respect to an Award, as provided in Article 12.</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“Eligible Participant” means an employee, officer, non-employee director or consultant of the Company or any</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Affiliate.</w:t>
      </w:r>
    </w:p>
    <w:p>
      <w:pPr>
        <w:spacing w:after="0" w:line="207" w:lineRule="exact"/>
        <w:rPr>
          <w:rFonts w:ascii="Arial" w:cs="Arial" w:eastAsia="Arial" w:hAnsi="Arial"/>
          <w:sz w:val="18"/>
          <w:szCs w:val="18"/>
          <w:color w:val="auto"/>
        </w:rPr>
      </w:pPr>
    </w:p>
    <w:p>
      <w:pPr>
        <w:ind w:left="1940" w:hanging="636"/>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“Exchange” means any national securities exchange or national market system on which the Stock may from time to</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be listed or traded.</w:t>
      </w:r>
    </w:p>
    <w:p>
      <w:pPr>
        <w:spacing w:after="0" w:line="207" w:lineRule="exact"/>
        <w:rPr>
          <w:rFonts w:ascii="Arial" w:cs="Arial" w:eastAsia="Arial" w:hAnsi="Arial"/>
          <w:sz w:val="18"/>
          <w:szCs w:val="18"/>
          <w:color w:val="auto"/>
        </w:rPr>
      </w:pPr>
    </w:p>
    <w:p>
      <w:pPr>
        <w:ind w:right="60" w:firstLine="1304"/>
        <w:spacing w:after="0" w:line="257" w:lineRule="auto"/>
        <w:tabs>
          <w:tab w:leader="none" w:pos="1934" w:val="left"/>
        </w:tabs>
        <w:numPr>
          <w:ilvl w:val="1"/>
          <w:numId w:val="87"/>
        </w:numPr>
        <w:rPr>
          <w:rFonts w:ascii="Arial" w:cs="Arial" w:eastAsia="Arial" w:hAnsi="Arial"/>
          <w:sz w:val="18"/>
          <w:szCs w:val="18"/>
          <w:color w:val="auto"/>
        </w:rPr>
      </w:pPr>
      <w:r>
        <w:rPr>
          <w:rFonts w:ascii="Arial" w:cs="Arial" w:eastAsia="Arial" w:hAnsi="Arial"/>
          <w:sz w:val="18"/>
          <w:szCs w:val="18"/>
          <w:color w:val="auto"/>
        </w:rPr>
        <w:t>“Fair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Bloomberg L.P.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w:t>
      </w:r>
    </w:p>
    <w:p>
      <w:pPr>
        <w:spacing w:after="0" w:line="200" w:lineRule="exact"/>
        <w:rPr>
          <w:sz w:val="20"/>
          <w:szCs w:val="20"/>
          <w:color w:val="auto"/>
        </w:rPr>
      </w:pPr>
    </w:p>
    <w:p>
      <w:pPr>
        <w:spacing w:after="0" w:line="36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81</w:t>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Bloomberg L.P.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71" w:lineRule="exact"/>
        <w:rPr>
          <w:sz w:val="20"/>
          <w:szCs w:val="20"/>
          <w:color w:val="auto"/>
        </w:rPr>
      </w:pPr>
    </w:p>
    <w:p>
      <w:pPr>
        <w:ind w:right="40" w:firstLine="1304"/>
        <w:spacing w:after="0" w:line="287" w:lineRule="auto"/>
        <w:tabs>
          <w:tab w:leader="none" w:pos="19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 (or at the discretion of the Committee, settled in cash valued by reference to Stock value).</w:t>
      </w:r>
    </w:p>
    <w:p>
      <w:pPr>
        <w:spacing w:after="0" w:line="152" w:lineRule="exact"/>
        <w:rPr>
          <w:rFonts w:ascii="Arial" w:cs="Arial" w:eastAsia="Arial" w:hAnsi="Arial"/>
          <w:sz w:val="18"/>
          <w:szCs w:val="18"/>
          <w:color w:val="auto"/>
        </w:rPr>
      </w:pPr>
    </w:p>
    <w:p>
      <w:pPr>
        <w:ind w:right="120" w:firstLine="1304"/>
        <w:spacing w:after="0" w:line="287" w:lineRule="auto"/>
        <w:tabs>
          <w:tab w:leader="none" w:pos="19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“Good Reason” shall have the meaning, if any, given such term in the applicable Award Certificate. If not defined in the applicable Award Certificate, the term “Good Reason” as used herein shall not apply to a particular Award.</w:t>
      </w:r>
    </w:p>
    <w:p>
      <w:pPr>
        <w:spacing w:after="0" w:line="152" w:lineRule="exact"/>
        <w:rPr>
          <w:rFonts w:ascii="Arial" w:cs="Arial" w:eastAsia="Arial" w:hAnsi="Arial"/>
          <w:sz w:val="18"/>
          <w:szCs w:val="18"/>
          <w:color w:val="auto"/>
        </w:rPr>
      </w:pPr>
    </w:p>
    <w:p>
      <w:pPr>
        <w:ind w:right="100" w:firstLine="1304"/>
        <w:spacing w:after="0" w:line="268" w:lineRule="auto"/>
        <w:tabs>
          <w:tab w:leader="none" w:pos="19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70" w:lineRule="exact"/>
        <w:rPr>
          <w:rFonts w:ascii="Arial" w:cs="Arial" w:eastAsia="Arial" w:hAnsi="Arial"/>
          <w:sz w:val="18"/>
          <w:szCs w:val="18"/>
          <w:color w:val="auto"/>
        </w:rPr>
      </w:pPr>
    </w:p>
    <w:p>
      <w:pPr>
        <w:ind w:right="1020" w:firstLine="1304"/>
        <w:spacing w:after="0" w:line="287" w:lineRule="auto"/>
        <w:tabs>
          <w:tab w:leader="none" w:pos="19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Code Section 422 or any successor provision thereto.</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 Affiliate.</w:t>
      </w:r>
    </w:p>
    <w:p>
      <w:pPr>
        <w:spacing w:after="0" w:line="207" w:lineRule="exact"/>
        <w:rPr>
          <w:rFonts w:ascii="Arial" w:cs="Arial" w:eastAsia="Arial" w:hAnsi="Arial"/>
          <w:sz w:val="18"/>
          <w:szCs w:val="18"/>
          <w:color w:val="auto"/>
        </w:rPr>
      </w:pPr>
    </w:p>
    <w:p>
      <w:pPr>
        <w:ind w:left="1940" w:hanging="636"/>
        <w:spacing w:after="0"/>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right="440" w:firstLine="1304"/>
        <w:spacing w:after="0" w:line="287" w:lineRule="auto"/>
        <w:tabs>
          <w:tab w:leader="none" w:pos="19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52" w:lineRule="exact"/>
        <w:rPr>
          <w:rFonts w:ascii="Arial" w:cs="Arial" w:eastAsia="Arial" w:hAnsi="Arial"/>
          <w:sz w:val="18"/>
          <w:szCs w:val="18"/>
          <w:color w:val="auto"/>
        </w:rPr>
      </w:pPr>
    </w:p>
    <w:p>
      <w:pPr>
        <w:ind w:right="340" w:firstLine="1304"/>
        <w:spacing w:after="0" w:line="287" w:lineRule="auto"/>
        <w:tabs>
          <w:tab w:leader="none" w:pos="19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52" w:lineRule="exact"/>
        <w:rPr>
          <w:rFonts w:ascii="Arial" w:cs="Arial" w:eastAsia="Arial" w:hAnsi="Arial"/>
          <w:sz w:val="18"/>
          <w:szCs w:val="18"/>
          <w:color w:val="auto"/>
        </w:rPr>
      </w:pPr>
    </w:p>
    <w:p>
      <w:pPr>
        <w:ind w:right="80" w:firstLine="1304"/>
        <w:spacing w:after="0" w:line="268" w:lineRule="auto"/>
        <w:tabs>
          <w:tab w:leader="none" w:pos="19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Code Section 424(e).</w:t>
      </w:r>
    </w:p>
    <w:p>
      <w:pPr>
        <w:spacing w:after="0" w:line="171" w:lineRule="exact"/>
        <w:rPr>
          <w:sz w:val="20"/>
          <w:szCs w:val="20"/>
          <w:color w:val="auto"/>
        </w:rPr>
      </w:pPr>
    </w:p>
    <w:p>
      <w:pPr>
        <w:jc w:val="both"/>
        <w:ind w:firstLine="1304"/>
        <w:spacing w:after="0" w:line="262" w:lineRule="auto"/>
        <w:tabs>
          <w:tab w:leader="none" w:pos="1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76" w:lineRule="exact"/>
        <w:rPr>
          <w:rFonts w:ascii="Arial" w:cs="Arial" w:eastAsia="Arial" w:hAnsi="Arial"/>
          <w:sz w:val="18"/>
          <w:szCs w:val="18"/>
          <w:color w:val="auto"/>
        </w:rPr>
      </w:pPr>
    </w:p>
    <w:p>
      <w:pPr>
        <w:ind w:right="160" w:firstLine="1304"/>
        <w:spacing w:after="0" w:line="268" w:lineRule="auto"/>
        <w:tabs>
          <w:tab w:leader="none" w:pos="18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70" w:lineRule="exact"/>
        <w:rPr>
          <w:rFonts w:ascii="Arial" w:cs="Arial" w:eastAsia="Arial" w:hAnsi="Arial"/>
          <w:sz w:val="18"/>
          <w:szCs w:val="18"/>
          <w:color w:val="auto"/>
        </w:rPr>
      </w:pPr>
    </w:p>
    <w:p>
      <w:pPr>
        <w:ind w:right="240" w:firstLine="1304"/>
        <w:spacing w:after="0" w:line="287" w:lineRule="auto"/>
        <w:tabs>
          <w:tab w:leader="none" w:pos="17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52" w:lineRule="exact"/>
        <w:rPr>
          <w:rFonts w:ascii="Arial" w:cs="Arial" w:eastAsia="Arial" w:hAnsi="Arial"/>
          <w:sz w:val="18"/>
          <w:szCs w:val="18"/>
          <w:color w:val="auto"/>
        </w:rPr>
      </w:pPr>
    </w:p>
    <w:p>
      <w:pPr>
        <w:ind w:left="1820" w:hanging="516"/>
        <w:spacing w:after="0"/>
        <w:tabs>
          <w:tab w:leader="none" w:pos="1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“Plan” means the Micron Technology, Inc. Amended and Restated 2007 Equity Incentive Plan, as amended from time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time.</w:t>
      </w:r>
    </w:p>
    <w:p>
      <w:pPr>
        <w:spacing w:after="0" w:line="207" w:lineRule="exact"/>
        <w:rPr>
          <w:rFonts w:ascii="Arial" w:cs="Arial" w:eastAsia="Arial" w:hAnsi="Arial"/>
          <w:sz w:val="18"/>
          <w:szCs w:val="18"/>
          <w:color w:val="auto"/>
        </w:rPr>
      </w:pPr>
    </w:p>
    <w:p>
      <w:pPr>
        <w:ind w:right="260" w:firstLine="1304"/>
        <w:spacing w:after="0" w:line="287" w:lineRule="auto"/>
        <w:tabs>
          <w:tab w:leader="none" w:pos="18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Stock Award” means Stock granted to a Participant under Article 10 that is subject to certain restrictions and to risk of forfeiture.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20" w:firstLine="1304"/>
        <w:spacing w:after="0" w:line="268" w:lineRule="auto"/>
        <w:tabs>
          <w:tab w:leader="none" w:pos="1713"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70" w:lineRule="exact"/>
        <w:rPr>
          <w:rFonts w:ascii="Arial" w:cs="Arial" w:eastAsia="Arial" w:hAnsi="Arial"/>
          <w:sz w:val="18"/>
          <w:szCs w:val="18"/>
          <w:color w:val="auto"/>
        </w:rPr>
      </w:pPr>
    </w:p>
    <w:p>
      <w:pPr>
        <w:ind w:right="200" w:firstLine="1304"/>
        <w:spacing w:after="0" w:line="268" w:lineRule="auto"/>
        <w:tabs>
          <w:tab w:leader="none" w:pos="18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70" w:lineRule="exact"/>
        <w:rPr>
          <w:rFonts w:ascii="Arial" w:cs="Arial" w:eastAsia="Arial" w:hAnsi="Arial"/>
          <w:sz w:val="18"/>
          <w:szCs w:val="18"/>
          <w:color w:val="auto"/>
        </w:rPr>
      </w:pPr>
    </w:p>
    <w:p>
      <w:pPr>
        <w:ind w:right="240" w:firstLine="1304"/>
        <w:spacing w:after="0" w:line="287" w:lineRule="auto"/>
        <w:tabs>
          <w:tab w:leader="none" w:pos="18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52" w:lineRule="exact"/>
        <w:rPr>
          <w:rFonts w:ascii="Arial" w:cs="Arial" w:eastAsia="Arial" w:hAnsi="Arial"/>
          <w:sz w:val="18"/>
          <w:szCs w:val="18"/>
          <w:color w:val="auto"/>
        </w:rPr>
      </w:pPr>
    </w:p>
    <w:p>
      <w:pPr>
        <w:ind w:right="20" w:firstLine="1304"/>
        <w:spacing w:after="0" w:line="268" w:lineRule="auto"/>
        <w:tabs>
          <w:tab w:leader="none" w:pos="16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70" w:lineRule="exact"/>
        <w:rPr>
          <w:rFonts w:ascii="Arial" w:cs="Arial" w:eastAsia="Arial" w:hAnsi="Arial"/>
          <w:sz w:val="18"/>
          <w:szCs w:val="18"/>
          <w:color w:val="auto"/>
        </w:rPr>
      </w:pPr>
    </w:p>
    <w:p>
      <w:pPr>
        <w:ind w:right="100" w:firstLine="1304"/>
        <w:spacing w:after="0" w:line="268" w:lineRule="auto"/>
        <w:tabs>
          <w:tab w:leader="none" w:pos="16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Code Section 424(f).</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EFFECTIVE TERM OF PLAN</w:t>
      </w:r>
    </w:p>
    <w:p>
      <w:pPr>
        <w:spacing w:after="0" w:line="20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originally was adopted by the Board effective as of October 9, 2007 (the “Effective Date”), and last was amended and restated effective as of January 14, 2021. This amended and restated version of the Plan is effective as of January 12, 2023.</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after November 30, 2032.</w:t>
      </w:r>
    </w:p>
    <w:p>
      <w:pPr>
        <w:spacing w:after="0" w:line="28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ADMINISTRATION</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that any such members of the Committee who do not so qualify shall abstain from participating in any decision to make or administer Awards that are made to Eligible Participants who at the time of consideration for such Award are persons subject to the short-swing profit rules of Section 16 of the 1934 Act.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83</w:t>
      </w:r>
    </w:p>
    <w:p>
      <w:pPr>
        <w:sectPr>
          <w:pgSz w:w="11900" w:h="16838" w:orient="portrait"/>
          <w:cols w:equalWidth="0" w:num="1">
            <w:col w:w="11240"/>
          </w:cols>
          <w:pgMar w:left="320" w:top="125" w:right="3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herein to the Committee (other than in this Section 4.1) shall include the Board. To the extent any action of the Board under the Plan conflicts with actions taken by the Committee, the actions of the Board shall control.</w:t>
      </w:r>
    </w:p>
    <w:p>
      <w:pPr>
        <w:spacing w:after="0" w:line="15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ACTION AND INTERPRETATIONS BY THE COMMITTEE</w:t>
      </w:r>
      <w:r>
        <w:rPr>
          <w:rFonts w:ascii="Arial" w:cs="Arial" w:eastAsia="Arial" w:hAnsi="Arial"/>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i w:val="1"/>
          <w:iCs w:val="1"/>
          <w:color w:val="auto"/>
        </w:rPr>
        <w:t>AUTHORITY OF COMMITTEE</w:t>
      </w:r>
      <w:r>
        <w:rPr>
          <w:rFonts w:ascii="Arial" w:cs="Arial" w:eastAsia="Arial" w:hAnsi="Arial"/>
          <w:sz w:val="17"/>
          <w:szCs w:val="17"/>
          <w:color w:val="auto"/>
        </w:rPr>
        <w:t>. Except as provided below, the Committee has the exclusive power, authority and discretion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7" w:lineRule="exact"/>
        <w:rPr>
          <w:sz w:val="20"/>
          <w:szCs w:val="20"/>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relate;</w:t>
      </w:r>
    </w:p>
    <w:p>
      <w:pPr>
        <w:spacing w:after="0" w:line="207" w:lineRule="exact"/>
        <w:rPr>
          <w:sz w:val="20"/>
          <w:szCs w:val="20"/>
          <w:color w:val="auto"/>
        </w:rPr>
      </w:pPr>
    </w:p>
    <w:p>
      <w:pPr>
        <w:ind w:right="40" w:firstLine="1304"/>
        <w:spacing w:after="0" w:line="262" w:lineRule="auto"/>
        <w:tabs>
          <w:tab w:leader="none" w:pos="19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76" w:lineRule="exact"/>
        <w:rPr>
          <w:rFonts w:ascii="Arial" w:cs="Arial" w:eastAsia="Arial" w:hAnsi="Arial"/>
          <w:sz w:val="18"/>
          <w:szCs w:val="18"/>
          <w:color w:val="auto"/>
        </w:rPr>
      </w:pPr>
    </w:p>
    <w:p>
      <w:pPr>
        <w:ind w:right="60" w:firstLine="1304"/>
        <w:spacing w:after="0" w:line="287" w:lineRule="auto"/>
        <w:tabs>
          <w:tab w:leader="none" w:pos="19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52" w:lineRule="exact"/>
        <w:rPr>
          <w:rFonts w:ascii="Arial" w:cs="Arial" w:eastAsia="Arial" w:hAnsi="Arial"/>
          <w:sz w:val="18"/>
          <w:szCs w:val="18"/>
          <w:color w:val="auto"/>
        </w:rPr>
      </w:pPr>
    </w:p>
    <w:p>
      <w:pPr>
        <w:ind w:right="80" w:firstLine="1304"/>
        <w:spacing w:after="0" w:line="287" w:lineRule="auto"/>
        <w:tabs>
          <w:tab w:leader="none" w:pos="19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 adopt or revise any rules, regulations, guidelines or procedures as it may deem necessary or advisable to</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administer the Plan;</w:t>
      </w:r>
    </w:p>
    <w:p>
      <w:pPr>
        <w:spacing w:after="0" w:line="207" w:lineRule="exact"/>
        <w:rPr>
          <w:rFonts w:ascii="Arial" w:cs="Arial" w:eastAsia="Arial" w:hAnsi="Arial"/>
          <w:sz w:val="18"/>
          <w:szCs w:val="18"/>
          <w:color w:val="auto"/>
        </w:rPr>
      </w:pPr>
    </w:p>
    <w:p>
      <w:pPr>
        <w:ind w:right="600" w:firstLine="1304"/>
        <w:spacing w:after="0" w:line="287" w:lineRule="auto"/>
        <w:tabs>
          <w:tab w:leader="none" w:pos="19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jc w:val="both"/>
        <w:ind w:right="120" w:firstLine="1304"/>
        <w:spacing w:after="0" w:line="268" w:lineRule="auto"/>
        <w:tabs>
          <w:tab w:leader="none" w:pos="19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7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w:t>
      </w:r>
    </w:p>
    <w:p>
      <w:pPr>
        <w:spacing w:after="0" w:line="1" w:lineRule="exact"/>
        <w:rPr>
          <w:sz w:val="20"/>
          <w:szCs w:val="20"/>
          <w:color w:val="auto"/>
        </w:rPr>
      </w:pPr>
    </w:p>
    <w:p>
      <w:pPr>
        <w:ind w:right="200" w:firstLine="8"/>
        <w:spacing w:after="0" w:line="254" w:lineRule="auto"/>
        <w:tabs>
          <w:tab w:leader="none" w:pos="2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determine the number of such Awards to be received by any such Participants; provided, however, that such delegation of duties and responsibilities to an officer of the Company may not be made with respect to the grant of Awards to eligible participants who are subject to Section 16(a) of the 1934 Act at the Grant Date. The acts of such delegates shall be treated hereunder as acts of the Board and such delegates shall report regularly to the Board and the Committee regarding the delegated duties and responsibilities and any Awards so granted.</w:t>
      </w:r>
    </w:p>
    <w:p>
      <w:pPr>
        <w:spacing w:after="0" w:line="183"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26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SHARES SUBJECT TO THE PLAN</w:t>
      </w:r>
    </w:p>
    <w:p>
      <w:pPr>
        <w:spacing w:after="0" w:line="20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250,000,000;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76"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Shares covered by an Award shall be subtracted from the Plan share reserve as of the date of grant, but shall be added back to the Plan share reserve in accordance with this Section 5.2.</w:t>
      </w:r>
    </w:p>
    <w:p>
      <w:pPr>
        <w:spacing w:after="0" w:line="153" w:lineRule="exact"/>
        <w:rPr>
          <w:sz w:val="20"/>
          <w:szCs w:val="20"/>
          <w:color w:val="auto"/>
        </w:rPr>
      </w:pPr>
    </w:p>
    <w:p>
      <w:pPr>
        <w:ind w:right="120" w:firstLine="1304"/>
        <w:spacing w:after="0" w:line="268" w:lineRule="auto"/>
        <w:tabs>
          <w:tab w:leader="none" w:pos="19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70" w:lineRule="exact"/>
        <w:rPr>
          <w:rFonts w:ascii="Arial" w:cs="Arial" w:eastAsia="Arial" w:hAnsi="Arial"/>
          <w:sz w:val="18"/>
          <w:szCs w:val="18"/>
          <w:color w:val="auto"/>
        </w:rPr>
      </w:pPr>
    </w:p>
    <w:p>
      <w:pPr>
        <w:ind w:right="360" w:firstLine="1304"/>
        <w:spacing w:after="0" w:line="287" w:lineRule="auto"/>
        <w:tabs>
          <w:tab w:leader="none" w:pos="19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subject to Awards settled in cash will be added back to the Plan share reserve and again be available for issuance pursuant to Awards granted under the Plan.</w:t>
      </w:r>
    </w:p>
    <w:p>
      <w:pPr>
        <w:spacing w:after="0" w:line="152" w:lineRule="exact"/>
        <w:rPr>
          <w:rFonts w:ascii="Arial" w:cs="Arial" w:eastAsia="Arial" w:hAnsi="Arial"/>
          <w:sz w:val="18"/>
          <w:szCs w:val="18"/>
          <w:color w:val="auto"/>
        </w:rPr>
      </w:pPr>
    </w:p>
    <w:p>
      <w:pPr>
        <w:ind w:right="600" w:firstLine="1304"/>
        <w:spacing w:after="0" w:line="287" w:lineRule="auto"/>
        <w:tabs>
          <w:tab w:leader="none" w:pos="19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Substitute Awards granted pursuant to Section 14.13 of the Plan shall not count against the Shares otherwise available for issuance under the Plan under Section 5.1.</w:t>
      </w:r>
    </w:p>
    <w:p>
      <w:pPr>
        <w:spacing w:after="0" w:line="152" w:lineRule="exact"/>
        <w:rPr>
          <w:rFonts w:ascii="Arial" w:cs="Arial" w:eastAsia="Arial" w:hAnsi="Arial"/>
          <w:sz w:val="18"/>
          <w:szCs w:val="18"/>
          <w:color w:val="auto"/>
        </w:rPr>
      </w:pPr>
    </w:p>
    <w:p>
      <w:pPr>
        <w:jc w:val="both"/>
        <w:ind w:right="20" w:firstLine="1304"/>
        <w:spacing w:after="0" w:line="262" w:lineRule="auto"/>
        <w:tabs>
          <w:tab w:leader="none" w:pos="19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76"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i w:val="1"/>
          <w:iCs w:val="1"/>
          <w:color w:val="auto"/>
        </w:rPr>
        <w:t>LIMITATION ON AWARDS</w:t>
      </w:r>
      <w:r>
        <w:rPr>
          <w:rFonts w:ascii="Arial" w:cs="Arial" w:eastAsia="Arial" w:hAnsi="Arial"/>
          <w:sz w:val="17"/>
          <w:szCs w:val="17"/>
          <w:color w:val="auto"/>
        </w:rPr>
        <w:t>.</w:t>
      </w:r>
    </w:p>
    <w:p>
      <w:pPr>
        <w:spacing w:after="0" w:line="225" w:lineRule="exact"/>
        <w:rPr>
          <w:sz w:val="20"/>
          <w:szCs w:val="20"/>
          <w:color w:val="auto"/>
        </w:rPr>
      </w:pPr>
    </w:p>
    <w:p>
      <w:pPr>
        <w:ind w:right="60" w:firstLine="1304"/>
        <w:spacing w:after="0" w:line="259" w:lineRule="auto"/>
        <w:tabs>
          <w:tab w:leader="none" w:pos="19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Stock-Based Awards (other than Options or SARs) granted in any one calendar year to any one Participant shall be 5,000,000.</w:t>
      </w:r>
    </w:p>
    <w:p>
      <w:pPr>
        <w:spacing w:after="0" w:line="200" w:lineRule="exact"/>
        <w:rPr>
          <w:sz w:val="20"/>
          <w:szCs w:val="20"/>
          <w:color w:val="auto"/>
        </w:rPr>
      </w:pPr>
    </w:p>
    <w:p>
      <w:pPr>
        <w:spacing w:after="0" w:line="36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85</w:t>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20" w:firstLine="1304"/>
        <w:spacing w:after="0" w:line="291" w:lineRule="auto"/>
        <w:tabs>
          <w:tab w:leader="none" w:pos="193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maximum number of Shares subject to Awards granted during a single fiscal year to any Non-Employee Director, taken together with any cash fees paid to such Non-Employee Director during the fiscal year, shall not exceed $750,000 in total value (calculating the value of any such Awards based on the grant date fair value of such Awards for financial reporting purposes).</w:t>
      </w:r>
    </w:p>
    <w:p>
      <w:pPr>
        <w:spacing w:after="0" w:line="15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14.13,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forgone cash compensation. Notwithstanding the foregoing, (i) the Committee may at its discretion permit and authorize acceleration of vesting of such Full-Value Awards in the event of the Participant’s death, Disability, or retirement, or the occurrence of a Change in Control,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 and (iii) this Section 5.5 shall not apply to Awards granted to Non-Employee Directors.</w:t>
      </w: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ELIGIBILITY</w:t>
      </w:r>
    </w:p>
    <w:p>
      <w:pPr>
        <w:spacing w:after="0" w:line="207"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Code Sections 424(e) and (f).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8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i w:val="1"/>
          <w:iCs w:val="1"/>
          <w:color w:val="auto"/>
        </w:rPr>
        <w:t>GENERAL</w:t>
      </w:r>
      <w:r>
        <w:rPr>
          <w:rFonts w:ascii="Arial" w:cs="Arial" w:eastAsia="Arial" w:hAnsi="Arial"/>
          <w:sz w:val="17"/>
          <w:szCs w:val="17"/>
          <w:color w:val="auto"/>
        </w:rPr>
        <w:t>. The Committee is authorized to grant Options to Participants on the following terms and conditions:</w:t>
      </w:r>
    </w:p>
    <w:p>
      <w:pPr>
        <w:spacing w:after="0" w:line="225" w:lineRule="exact"/>
        <w:rPr>
          <w:sz w:val="20"/>
          <w:szCs w:val="20"/>
          <w:color w:val="auto"/>
        </w:rPr>
      </w:pPr>
    </w:p>
    <w:p>
      <w:pPr>
        <w:ind w:firstLine="1304"/>
        <w:spacing w:after="0" w:line="268" w:lineRule="auto"/>
        <w:tabs>
          <w:tab w:leader="none" w:pos="19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14.13) shall not be less than the Fair Market Value as of the Grant Date.</w:t>
      </w:r>
    </w:p>
    <w:p>
      <w:pPr>
        <w:spacing w:after="0" w:line="170" w:lineRule="exact"/>
        <w:rPr>
          <w:rFonts w:ascii="Arial" w:cs="Arial" w:eastAsia="Arial" w:hAnsi="Arial"/>
          <w:sz w:val="18"/>
          <w:szCs w:val="18"/>
          <w:color w:val="auto"/>
        </w:rPr>
      </w:pPr>
    </w:p>
    <w:p>
      <w:pPr>
        <w:ind w:right="260" w:firstLine="1304"/>
        <w:spacing w:after="0" w:line="259" w:lineRule="auto"/>
        <w:tabs>
          <w:tab w:leader="none" w:pos="19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79" w:lineRule="exact"/>
        <w:rPr>
          <w:rFonts w:ascii="Arial" w:cs="Arial" w:eastAsia="Arial" w:hAnsi="Arial"/>
          <w:sz w:val="18"/>
          <w:szCs w:val="18"/>
          <w:color w:val="auto"/>
        </w:rPr>
      </w:pPr>
    </w:p>
    <w:p>
      <w:pPr>
        <w:ind w:right="80" w:firstLine="1304"/>
        <w:spacing w:after="0" w:line="268" w:lineRule="auto"/>
        <w:tabs>
          <w:tab w:leader="none" w:pos="19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70" w:lineRule="exact"/>
        <w:rPr>
          <w:rFonts w:ascii="Arial" w:cs="Arial" w:eastAsia="Arial" w:hAnsi="Arial"/>
          <w:sz w:val="18"/>
          <w:szCs w:val="18"/>
          <w:color w:val="auto"/>
        </w:rPr>
      </w:pPr>
    </w:p>
    <w:p>
      <w:pPr>
        <w:ind w:right="180" w:firstLine="1304"/>
        <w:spacing w:after="0" w:line="257" w:lineRule="auto"/>
        <w:tabs>
          <w:tab w:leader="none" w:pos="19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40" w:hanging="636"/>
        <w:spacing w:after="0"/>
        <w:tabs>
          <w:tab w:leader="none" w:pos="1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eight (8) years from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7" w:lineRule="exact"/>
        <w:rPr>
          <w:sz w:val="20"/>
          <w:szCs w:val="20"/>
          <w:color w:val="auto"/>
        </w:rPr>
      </w:pPr>
    </w:p>
    <w:p>
      <w:pPr>
        <w:ind w:right="200" w:firstLine="1304"/>
        <w:spacing w:after="0" w:line="287" w:lineRule="auto"/>
        <w:tabs>
          <w:tab w:leader="none" w:pos="19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DIVIDEND EQUIVALENTS. No Option shall provide for Dividend Equivalents.</w:t>
      </w:r>
    </w:p>
    <w:p>
      <w:pPr>
        <w:spacing w:after="0" w:line="225" w:lineRule="exact"/>
        <w:rPr>
          <w:sz w:val="20"/>
          <w:szCs w:val="20"/>
          <w:color w:val="auto"/>
        </w:rPr>
      </w:pPr>
    </w:p>
    <w:p>
      <w:pPr>
        <w:jc w:val="both"/>
        <w:ind w:right="460" w:firstLine="648"/>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The terms of any Incentive Stock Options granted under the Plan must comply with the requirements of Code Section 422. If all of the requirements of Code Section 422 are not met, the Option shall automatically become a Nonstatutory Stock Option.</w:t>
      </w: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STOCK APPRECIATION RIGHTS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i w:val="1"/>
          <w:iCs w:val="1"/>
          <w:color w:val="auto"/>
        </w:rPr>
        <w:t>GRANT OF STOCK APPRECIATION RIGHTS</w:t>
      </w:r>
      <w:r>
        <w:rPr>
          <w:rFonts w:ascii="Arial" w:cs="Arial" w:eastAsia="Arial" w:hAnsi="Arial"/>
          <w:sz w:val="17"/>
          <w:szCs w:val="17"/>
          <w:color w:val="auto"/>
        </w:rPr>
        <w:t>. The Committee is authorized to grant Stock Appreciation Rights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on the following terms and conditions:</w:t>
      </w:r>
    </w:p>
    <w:p>
      <w:pPr>
        <w:spacing w:after="0" w:line="207" w:lineRule="exact"/>
        <w:rPr>
          <w:sz w:val="20"/>
          <w:szCs w:val="20"/>
          <w:color w:val="auto"/>
        </w:rPr>
      </w:pPr>
    </w:p>
    <w:p>
      <w:pPr>
        <w:ind w:right="40" w:firstLine="1304"/>
        <w:spacing w:after="0" w:line="287" w:lineRule="auto"/>
        <w:tabs>
          <w:tab w:leader="none" w:pos="19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52" w:lineRule="exact"/>
        <w:rPr>
          <w:rFonts w:ascii="Arial" w:cs="Arial" w:eastAsia="Arial" w:hAnsi="Arial"/>
          <w:sz w:val="18"/>
          <w:szCs w:val="18"/>
          <w:color w:val="auto"/>
        </w:rPr>
      </w:pPr>
    </w:p>
    <w:p>
      <w:pPr>
        <w:ind w:left="2600" w:hanging="648"/>
        <w:spacing w:after="0"/>
        <w:tabs>
          <w:tab w:leader="none" w:pos="26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right="380" w:firstLine="1952"/>
        <w:spacing w:after="0" w:line="287" w:lineRule="auto"/>
        <w:tabs>
          <w:tab w:leader="none" w:pos="258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52" w:lineRule="exact"/>
        <w:rPr>
          <w:rFonts w:ascii="Arial" w:cs="Arial" w:eastAsia="Arial" w:hAnsi="Arial"/>
          <w:sz w:val="18"/>
          <w:szCs w:val="18"/>
          <w:color w:val="auto"/>
        </w:rPr>
      </w:pPr>
    </w:p>
    <w:p>
      <w:pPr>
        <w:ind w:right="100" w:firstLine="1304"/>
        <w:spacing w:after="0" w:line="272" w:lineRule="auto"/>
        <w:tabs>
          <w:tab w:leader="none" w:pos="193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w:t>
      </w:r>
    </w:p>
    <w:p>
      <w:pPr>
        <w:spacing w:after="0" w:line="1" w:lineRule="exact"/>
        <w:rPr>
          <w:rFonts w:ascii="Arial" w:cs="Arial" w:eastAsia="Arial" w:hAnsi="Arial"/>
          <w:sz w:val="17"/>
          <w:szCs w:val="17"/>
          <w:color w:val="auto"/>
        </w:rPr>
      </w:pPr>
    </w:p>
    <w:p>
      <w:pPr>
        <w:ind w:right="60" w:firstLine="8"/>
        <w:spacing w:after="0" w:line="266" w:lineRule="auto"/>
        <w:tabs>
          <w:tab w:leader="none" w:pos="2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may not repurchase a SAR for value (in cash or otherwise) from a Participant if the current Fair Market Value of the Shares underlying the SAR is lower than the base price per share of the SAR.</w:t>
      </w:r>
    </w:p>
    <w:p>
      <w:pPr>
        <w:spacing w:after="0" w:line="171" w:lineRule="exact"/>
        <w:rPr>
          <w:rFonts w:ascii="Arial" w:cs="Arial" w:eastAsia="Arial" w:hAnsi="Arial"/>
          <w:sz w:val="18"/>
          <w:szCs w:val="18"/>
          <w:color w:val="auto"/>
        </w:rPr>
      </w:pPr>
    </w:p>
    <w:p>
      <w:pPr>
        <w:ind w:right="100" w:firstLine="1304"/>
        <w:spacing w:after="0" w:line="287" w:lineRule="auto"/>
        <w:tabs>
          <w:tab w:leader="none" w:pos="193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52" w:lineRule="exact"/>
        <w:rPr>
          <w:rFonts w:ascii="Arial" w:cs="Arial" w:eastAsia="Arial" w:hAnsi="Arial"/>
          <w:sz w:val="18"/>
          <w:szCs w:val="18"/>
          <w:color w:val="auto"/>
        </w:rPr>
      </w:pPr>
    </w:p>
    <w:p>
      <w:pPr>
        <w:ind w:right="380" w:firstLine="1304"/>
        <w:spacing w:after="0" w:line="287" w:lineRule="auto"/>
        <w:tabs>
          <w:tab w:leader="none" w:pos="193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DIVIDEND EQUIVALENTS. No SAR shall provide for Dividend Equivalents.</w:t>
      </w:r>
    </w:p>
    <w:p>
      <w:pPr>
        <w:spacing w:after="0" w:line="225" w:lineRule="exact"/>
        <w:rPr>
          <w:rFonts w:ascii="Arial" w:cs="Arial" w:eastAsia="Arial" w:hAnsi="Arial"/>
          <w:sz w:val="18"/>
          <w:szCs w:val="18"/>
          <w:color w:val="auto"/>
        </w:rPr>
      </w:pPr>
    </w:p>
    <w:p>
      <w:pPr>
        <w:jc w:val="both"/>
        <w:ind w:firstLine="1304"/>
        <w:spacing w:after="0" w:line="262" w:lineRule="auto"/>
        <w:tabs>
          <w:tab w:leader="none" w:pos="193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8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PERFORMANCE SHARES</w:t>
      </w:r>
    </w:p>
    <w:p>
      <w:pPr>
        <w:spacing w:after="0" w:line="20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87</w:t>
      </w:r>
    </w:p>
    <w:p>
      <w:pPr>
        <w:sectPr>
          <w:pgSz w:w="11900" w:h="16838" w:orient="portrait"/>
          <w:cols w:equalWidth="0" w:num="1">
            <w:col w:w="11240"/>
          </w:cols>
          <w:pgMar w:left="320" w:top="125" w:right="3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Committee, pursuant to which Performance Shares are awarded under the Plan under uniform terms, conditions and restrictions set forth in such written program.</w:t>
      </w:r>
    </w:p>
    <w:p>
      <w:pPr>
        <w:spacing w:after="0" w:line="15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79"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07"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shareholder with respect to the Restricted Stock, and the Participant shall have none of the rights of a shareholder with respect to Restricted Stock Units until such time as Shares of Stock are paid in settlement of the Restricted Stock Units.</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color w:val="auto"/>
        </w:rPr>
        <w:t>FORFEITURE</w:t>
      </w:r>
      <w:r>
        <w:rPr>
          <w:rFonts w:ascii="Arial" w:cs="Arial" w:eastAsia="Arial" w:hAnsi="Arial"/>
          <w:sz w:val="17"/>
          <w:szCs w:val="17"/>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68"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DEFERRED STOCK UNITS</w:t>
      </w:r>
    </w:p>
    <w:p>
      <w:pPr>
        <w:spacing w:after="0" w:line="20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DIVIDEND EQUIVALENTS</w:t>
      </w:r>
    </w:p>
    <w:p>
      <w:pPr>
        <w:spacing w:after="0" w:line="2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200" w:lineRule="exact"/>
        <w:rPr>
          <w:sz w:val="20"/>
          <w:szCs w:val="20"/>
          <w:color w:val="auto"/>
        </w:rPr>
      </w:pPr>
    </w:p>
    <w:p>
      <w:pPr>
        <w:spacing w:after="0" w:line="36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89</w:t>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STOCK OR OTHER STOCK-BASED AWARDS</w:t>
      </w:r>
    </w:p>
    <w:p>
      <w:pPr>
        <w:spacing w:after="0" w:line="20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PROVISIONS APPLICABLE TO AWARDS</w:t>
      </w:r>
    </w:p>
    <w:p>
      <w:pPr>
        <w:spacing w:after="0" w:line="207"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7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eight years from its Grant Date.</w:t>
      </w:r>
    </w:p>
    <w:p>
      <w:pPr>
        <w:spacing w:after="0" w:line="17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Code Section 414(p)(1)(A)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BENEFICIARIES</w:t>
      </w:r>
      <w:r>
        <w:rPr>
          <w:rFonts w:ascii="Arial" w:cs="Arial" w:eastAsia="Arial" w:hAnsi="Arial"/>
          <w:sz w:val="18"/>
          <w:szCs w:val="18"/>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8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quotation system on which the Stock is listed, quoted, or traded. The Committee may place legends on any Stock certificate or issue instructions to the transfer agent to reference restrictions applicable to the Stock.</w:t>
      </w:r>
    </w:p>
    <w:p>
      <w:pPr>
        <w:spacing w:after="0" w:line="153"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EFFECT OF A CHANGE IN CONTROL</w:t>
      </w:r>
      <w:r>
        <w:rPr>
          <w:rFonts w:ascii="Arial" w:cs="Arial" w:eastAsia="Arial" w:hAnsi="Arial"/>
          <w:sz w:val="18"/>
          <w:szCs w:val="18"/>
          <w:color w:val="auto"/>
        </w:rPr>
        <w:t>. The provisions of this Section 14.7 shall apply in the case of a Change in Control, unless otherwise provided in the Award Certificate or any special Plan document or separate agreement with a Participant governing an Award.</w:t>
      </w:r>
    </w:p>
    <w:p>
      <w:pPr>
        <w:spacing w:after="0" w:line="171" w:lineRule="exact"/>
        <w:rPr>
          <w:sz w:val="20"/>
          <w:szCs w:val="20"/>
          <w:color w:val="auto"/>
        </w:rPr>
      </w:pPr>
    </w:p>
    <w:p>
      <w:pPr>
        <w:ind w:right="120" w:firstLine="1304"/>
        <w:spacing w:after="0" w:line="262" w:lineRule="auto"/>
        <w:tabs>
          <w:tab w:leader="none" w:pos="19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AWARDS ASSUMED OR SUBSTITUTED BY SURVIVING CORPORATION. With respect to Awards assumed by the Surviving Corporation or otherwise equitably converted or substituted in connection with a Change in Control: if within one year after the effective date of the Change in Control, a Participant’s employment is terminated without Cause or the Participant resigns for Good Reason, then:</w:t>
      </w:r>
    </w:p>
    <w:p>
      <w:pPr>
        <w:spacing w:after="0" w:line="176" w:lineRule="exact"/>
        <w:rPr>
          <w:rFonts w:ascii="Arial" w:cs="Arial" w:eastAsia="Arial" w:hAnsi="Arial"/>
          <w:sz w:val="18"/>
          <w:szCs w:val="18"/>
          <w:color w:val="auto"/>
        </w:rPr>
      </w:pPr>
    </w:p>
    <w:p>
      <w:pPr>
        <w:ind w:left="660" w:right="220" w:firstLine="1292"/>
        <w:spacing w:after="0" w:line="268" w:lineRule="auto"/>
        <w:tabs>
          <w:tab w:leader="none" w:pos="260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70" w:lineRule="exact"/>
        <w:rPr>
          <w:rFonts w:ascii="Arial" w:cs="Arial" w:eastAsia="Arial" w:hAnsi="Arial"/>
          <w:sz w:val="18"/>
          <w:szCs w:val="18"/>
          <w:color w:val="auto"/>
        </w:rPr>
      </w:pPr>
    </w:p>
    <w:p>
      <w:pPr>
        <w:ind w:left="660" w:right="240" w:firstLine="1292"/>
        <w:spacing w:after="0" w:line="287" w:lineRule="auto"/>
        <w:tabs>
          <w:tab w:leader="none" w:pos="26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of that Participant’s outstanding Awards other than Options and SARs that are subject to time-based vesting restrictions shall become vested and such restrictions shall lapse as of the date of termination; and</w:t>
      </w:r>
    </w:p>
    <w:p>
      <w:pPr>
        <w:spacing w:after="0" w:line="152" w:lineRule="exact"/>
        <w:rPr>
          <w:rFonts w:ascii="Arial" w:cs="Arial" w:eastAsia="Arial" w:hAnsi="Arial"/>
          <w:sz w:val="18"/>
          <w:szCs w:val="18"/>
          <w:color w:val="auto"/>
        </w:rPr>
      </w:pPr>
    </w:p>
    <w:p>
      <w:pPr>
        <w:ind w:left="660" w:right="40" w:firstLine="1292"/>
        <w:spacing w:after="0" w:line="259" w:lineRule="auto"/>
        <w:tabs>
          <w:tab w:leader="none" w:pos="26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30 days following the date of termination of employment (unless a later date is required by Section 17.3 hereof), based upon the length of time within the performance period that has elapsed prior to the date of termination of employment.</w:t>
      </w:r>
    </w:p>
    <w:p>
      <w:pPr>
        <w:spacing w:after="0" w:line="179"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With regard to each Award, a Participant shall not be considered to have resigned for Good Reason unless the Award Certificate includes such provision. To the extent that this provision causes Incentive Stock Options to exceed the dollar limitation set forth in Code Section 422(d), the excess Options shall be deemed to be Nonstatutory Stock Options.</w:t>
      </w:r>
    </w:p>
    <w:p>
      <w:pPr>
        <w:spacing w:after="0" w:line="171" w:lineRule="exact"/>
        <w:rPr>
          <w:sz w:val="20"/>
          <w:szCs w:val="20"/>
          <w:color w:val="auto"/>
        </w:rPr>
      </w:pPr>
    </w:p>
    <w:p>
      <w:pPr>
        <w:ind w:right="20" w:firstLine="1304"/>
        <w:spacing w:after="0" w:line="268" w:lineRule="auto"/>
        <w:tabs>
          <w:tab w:leader="none" w:pos="193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AWARDS NOT ASSUMED OR SUBSTITUTED BY SURVIVING CORPORATION. Upon the occurrence of a Change in Control, and except with respect to any Awards assumed by the Surviving Corporation or otherwise equitably converted or substituted in connection with the Change in Control in a manner approved by the Committee or the Board:</w:t>
      </w:r>
    </w:p>
    <w:p>
      <w:pPr>
        <w:spacing w:after="0" w:line="170" w:lineRule="exact"/>
        <w:rPr>
          <w:rFonts w:ascii="Arial" w:cs="Arial" w:eastAsia="Arial" w:hAnsi="Arial"/>
          <w:sz w:val="18"/>
          <w:szCs w:val="18"/>
          <w:color w:val="auto"/>
        </w:rPr>
      </w:pPr>
    </w:p>
    <w:p>
      <w:pPr>
        <w:jc w:val="both"/>
        <w:ind w:left="660" w:right="540" w:firstLine="1292"/>
        <w:spacing w:after="0" w:line="268" w:lineRule="auto"/>
        <w:tabs>
          <w:tab w:leader="none" w:pos="260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70" w:lineRule="exact"/>
        <w:rPr>
          <w:rFonts w:ascii="Arial" w:cs="Arial" w:eastAsia="Arial" w:hAnsi="Arial"/>
          <w:sz w:val="18"/>
          <w:szCs w:val="18"/>
          <w:color w:val="auto"/>
        </w:rPr>
      </w:pPr>
    </w:p>
    <w:p>
      <w:pPr>
        <w:ind w:left="660" w:right="60" w:firstLine="1292"/>
        <w:spacing w:after="0" w:line="287" w:lineRule="auto"/>
        <w:tabs>
          <w:tab w:leader="none" w:pos="260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outstanding Awards other than Options and SARs that are subject to time-based vesting restrictions shall become vested and such restrictions shall lapse as of the effective date of the Change in Control, and</w:t>
      </w:r>
    </w:p>
    <w:p>
      <w:pPr>
        <w:spacing w:after="0" w:line="152" w:lineRule="exact"/>
        <w:rPr>
          <w:rFonts w:ascii="Arial" w:cs="Arial" w:eastAsia="Arial" w:hAnsi="Arial"/>
          <w:sz w:val="18"/>
          <w:szCs w:val="18"/>
          <w:color w:val="auto"/>
        </w:rPr>
      </w:pPr>
    </w:p>
    <w:p>
      <w:pPr>
        <w:ind w:left="660" w:right="40" w:firstLine="1292"/>
        <w:spacing w:after="0" w:line="259" w:lineRule="auto"/>
        <w:tabs>
          <w:tab w:leader="none" w:pos="260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17.3 hereof), based upon the length of time within the performance period that has elapsed prior to the Change in Control.</w:t>
      </w:r>
    </w:p>
    <w:p>
      <w:pPr>
        <w:spacing w:after="0" w:line="179"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To the extent that this provision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33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91</w:t>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Except as otherwise provided in the Award Certificate or any special Plan document governing an Award, upon the termination of a Participant’s Continuous Status as a Participant by reason of his or her death or Disability:</w:t>
      </w:r>
    </w:p>
    <w:p>
      <w:pPr>
        <w:spacing w:after="0" w:line="171" w:lineRule="exact"/>
        <w:rPr>
          <w:sz w:val="20"/>
          <w:szCs w:val="20"/>
          <w:color w:val="auto"/>
        </w:rPr>
      </w:pPr>
    </w:p>
    <w:p>
      <w:pPr>
        <w:ind w:left="660" w:right="160" w:firstLine="1292"/>
        <w:spacing w:after="0" w:line="257" w:lineRule="auto"/>
        <w:tabs>
          <w:tab w:leader="none" w:pos="260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such Participant’s outstanding Options, SARs, and other Awards in the nature of rights that may be exercised that are solely subject to time-based vesting requirements shall become vested and fully exercisable as of the date of termination of Continuous Status as a Participant, and shall thereafter remain exercisable for a period of twelve (12) months or until the earlier expiration of the original term of the Option, SAR or other Award; provided, however, the to the extent that an Incentive Stock Option is exercised more than three (3) months after a Participant’s Continuous Status as a Participant terminates by reason of his or her Disability, the Option shall be deemed to be a Nonstatutory Stock Option,</w:t>
      </w:r>
    </w:p>
    <w:p>
      <w:pPr>
        <w:spacing w:after="0" w:line="182" w:lineRule="exact"/>
        <w:rPr>
          <w:rFonts w:ascii="Arial" w:cs="Arial" w:eastAsia="Arial" w:hAnsi="Arial"/>
          <w:sz w:val="18"/>
          <w:szCs w:val="18"/>
          <w:color w:val="auto"/>
        </w:rPr>
      </w:pPr>
    </w:p>
    <w:p>
      <w:pPr>
        <w:ind w:left="660" w:right="540" w:firstLine="1292"/>
        <w:spacing w:after="0" w:line="287" w:lineRule="auto"/>
        <w:tabs>
          <w:tab w:leader="none" w:pos="26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time-based vesting restrictions on the Participant’s outstanding Awards shall lapse as of the date of termination of Continuous Status as a Participant, and</w:t>
      </w:r>
    </w:p>
    <w:p>
      <w:pPr>
        <w:spacing w:after="0" w:line="152" w:lineRule="exact"/>
        <w:rPr>
          <w:rFonts w:ascii="Arial" w:cs="Arial" w:eastAsia="Arial" w:hAnsi="Arial"/>
          <w:sz w:val="18"/>
          <w:szCs w:val="18"/>
          <w:color w:val="auto"/>
        </w:rPr>
      </w:pPr>
    </w:p>
    <w:p>
      <w:pPr>
        <w:ind w:left="660" w:right="20" w:firstLine="1292"/>
        <w:spacing w:after="0" w:line="257" w:lineRule="auto"/>
        <w:tabs>
          <w:tab w:leader="none" w:pos="26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target payout opportunities attainable under all of such Participant’s outstanding performance-based Awards shall be deemed to have been fully earned as of the date of termination of Continuous Status as a Participant based upon an assumed achievement of all relevant performance goals at the “target” level and there shall be a prorata payout to the Participant or his or her estate within 30 days following the date of termination (or any later date required by Section 17.3 of the Plan) based upon the length of time within the performance period that has elapsed prior to the date of termination of Continuous Status as a Participant.</w:t>
      </w:r>
    </w:p>
    <w:p>
      <w:pPr>
        <w:spacing w:after="0" w:line="18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Except as otherwise provided in this Section 14.8, any Awards shall thereafter continue or lapse in accordance with the other provisions of the Plan and the Awards Certificate. Notwithstanding the foregoing, in the case of a Participant’s termination of Continuous Status as a Participant by reason of Disability, this Section 14.8 shall apply to such Participant only if the designated person in the Participant’s employer’s Human Resources Department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18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Regardless of whether an event has occurred as described in Section 14.7 or 14.8 above, and subject to Section 5.5 as to Full-Value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i w:val="1"/>
          <w:iCs w:val="1"/>
          <w:color w:val="auto"/>
        </w:rPr>
        <w:t>EFFECT OF ACCELERATION</w:t>
      </w:r>
      <w:r>
        <w:rPr>
          <w:rFonts w:ascii="Arial" w:cs="Arial" w:eastAsia="Arial" w:hAnsi="Arial"/>
          <w:sz w:val="18"/>
          <w:szCs w:val="18"/>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81"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Code Sections 424(e) and 424(f), the Options held by such Participant shall be deemed to be Nonstatutory Stock Options.</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FORFEITURE EVENTS</w:t>
      </w:r>
      <w:r>
        <w:rPr>
          <w:rFonts w:ascii="Arial" w:cs="Arial" w:eastAsia="Arial" w:hAnsi="Arial"/>
          <w:sz w:val="18"/>
          <w:szCs w:val="18"/>
          <w:color w:val="auto"/>
        </w:rPr>
        <w:t>.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SUBSTITUTE AWARDS</w:t>
      </w:r>
      <w:r>
        <w:rPr>
          <w:rFonts w:ascii="Arial" w:cs="Arial" w:eastAsia="Arial" w:hAnsi="Arial"/>
          <w:sz w:val="18"/>
          <w:szCs w:val="18"/>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8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CHANGES IN CAPITAL STRUCTURE</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MANDATORY ADJUSTMENTS</w:t>
      </w:r>
      <w:r>
        <w:rPr>
          <w:rFonts w:ascii="Arial" w:cs="Arial" w:eastAsia="Arial" w:hAnsi="Arial"/>
          <w:sz w:val="18"/>
          <w:szCs w:val="18"/>
          <w:color w:val="auto"/>
        </w:rPr>
        <w:t>.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6" w:lineRule="exact"/>
        <w:rPr>
          <w:sz w:val="20"/>
          <w:szCs w:val="20"/>
          <w:color w:val="auto"/>
        </w:rPr>
      </w:pPr>
    </w:p>
    <w:p>
      <w:pPr>
        <w:ind w:right="40" w:firstLine="8"/>
        <w:spacing w:after="0" w:line="254" w:lineRule="auto"/>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1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w:t>
      </w:r>
    </w:p>
    <w:p>
      <w:pPr>
        <w:spacing w:after="0" w:line="200" w:lineRule="exact"/>
        <w:rPr>
          <w:sz w:val="20"/>
          <w:szCs w:val="20"/>
          <w:color w:val="auto"/>
        </w:rPr>
      </w:pPr>
    </w:p>
    <w:p>
      <w:pPr>
        <w:spacing w:after="0" w:line="36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93</w:t>
      </w:r>
    </w:p>
    <w:p>
      <w:pPr>
        <w:sectPr>
          <w:pgSz w:w="11900" w:h="16838" w:orient="portrait"/>
          <w:cols w:equalWidth="0" w:num="1">
            <w:col w:w="11240"/>
          </w:cols>
          <w:pgMar w:left="320" w:top="12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of the Award, (v) that performance targets and performance periods for Performance Shares will be modified, or (vi) any combination of the foregoing. The Committee’s determination need not be uniform and may be different for different Participants whether or not such Participants are similarly situated.</w:t>
      </w:r>
    </w:p>
    <w:p>
      <w:pPr>
        <w:spacing w:after="0" w:line="171"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The Board or the Committee may, at any time and from time to time, amend, modify or terminate the Plan without shareholder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shareholder approval under applicable laws, policies or regulations or the applicable listing or other requirements of an Exchange, then such amendment shall be subject to shareholder approval; and provided, further, that the Board or Committee may condition any other amendment or modification on the approval of shareholders of the Company for any reason, including by reason of such approval being necessary or deemed advisable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85"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53" w:lineRule="exact"/>
        <w:rPr>
          <w:sz w:val="20"/>
          <w:szCs w:val="20"/>
          <w:color w:val="auto"/>
        </w:rPr>
      </w:pPr>
    </w:p>
    <w:p>
      <w:pPr>
        <w:ind w:firstLine="1304"/>
        <w:spacing w:after="0" w:line="259" w:lineRule="auto"/>
        <w:tabs>
          <w:tab w:leader="none" w:pos="19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79" w:lineRule="exact"/>
        <w:rPr>
          <w:rFonts w:ascii="Arial" w:cs="Arial" w:eastAsia="Arial" w:hAnsi="Arial"/>
          <w:sz w:val="18"/>
          <w:szCs w:val="18"/>
          <w:color w:val="auto"/>
        </w:rPr>
      </w:pPr>
    </w:p>
    <w:p>
      <w:pPr>
        <w:ind w:right="380" w:firstLine="1304"/>
        <w:spacing w:after="0" w:line="287" w:lineRule="auto"/>
        <w:tabs>
          <w:tab w:leader="none" w:pos="19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original term of an Option or Stock Appreciation Right may not be extended without the prior approval of the shareholders of the Company;</w:t>
      </w:r>
    </w:p>
    <w:p>
      <w:pPr>
        <w:spacing w:after="0" w:line="152" w:lineRule="exact"/>
        <w:rPr>
          <w:rFonts w:ascii="Arial" w:cs="Arial" w:eastAsia="Arial" w:hAnsi="Arial"/>
          <w:sz w:val="18"/>
          <w:szCs w:val="18"/>
          <w:color w:val="auto"/>
        </w:rPr>
      </w:pPr>
    </w:p>
    <w:p>
      <w:pPr>
        <w:ind w:right="100" w:firstLine="1304"/>
        <w:spacing w:after="0" w:line="257" w:lineRule="auto"/>
        <w:tabs>
          <w:tab w:leader="none" w:pos="19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82" w:lineRule="exact"/>
        <w:rPr>
          <w:rFonts w:ascii="Arial" w:cs="Arial" w:eastAsia="Arial" w:hAnsi="Arial"/>
          <w:sz w:val="18"/>
          <w:szCs w:val="18"/>
          <w:color w:val="auto"/>
        </w:rPr>
      </w:pPr>
    </w:p>
    <w:p>
      <w:pPr>
        <w:ind w:right="20" w:firstLine="1304"/>
        <w:spacing w:after="0" w:line="259" w:lineRule="auto"/>
        <w:tabs>
          <w:tab w:leader="none" w:pos="19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purpose being calculated as the excess, if any, of the Fair Market Value as of the date of such amendment over the exercise or base price of such Award).</w:t>
      </w:r>
    </w:p>
    <w:p>
      <w:pPr>
        <w:spacing w:after="0" w:line="15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COMPLIANCE AMENDMENTS</w:t>
      </w:r>
      <w:r>
        <w:rPr>
          <w:rFonts w:ascii="Arial" w:cs="Arial" w:eastAsia="Arial" w:hAnsi="Arial"/>
          <w:sz w:val="18"/>
          <w:szCs w:val="18"/>
          <w:color w:val="auto"/>
        </w:rPr>
        <w:t>.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Code Section 409A),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6"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SHAREHOLDER RIGHTS</w:t>
      </w:r>
      <w:r>
        <w:rPr>
          <w:rFonts w:ascii="Arial" w:cs="Arial" w:eastAsia="Arial" w:hAnsi="Arial"/>
          <w:sz w:val="18"/>
          <w:szCs w:val="18"/>
          <w:color w:val="auto"/>
        </w:rPr>
        <w:t>. No Award gives a Participant any of the rights of a shareholder of the Company unless and until Shares are in fact issued to such person in connection with such Award.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i w:val="1"/>
          <w:iCs w:val="1"/>
          <w:color w:val="auto"/>
        </w:rPr>
        <w:t>SPECIAL PROVISIONS RELATED TO CODE SECTION 409A</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57" w:lineRule="auto"/>
        <w:tabs>
          <w:tab w:leader="none" w:pos="19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is intended that the payments and benefits provided under the Plan and any Award shall either be exempt from the application of, or comply with, the requirements of Code Section 409A.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82" w:lineRule="exact"/>
        <w:rPr>
          <w:rFonts w:ascii="Arial" w:cs="Arial" w:eastAsia="Arial" w:hAnsi="Arial"/>
          <w:sz w:val="18"/>
          <w:szCs w:val="18"/>
          <w:color w:val="auto"/>
        </w:rPr>
      </w:pPr>
    </w:p>
    <w:p>
      <w:pPr>
        <w:ind w:right="20" w:firstLine="1304"/>
        <w:spacing w:after="0" w:line="253" w:lineRule="auto"/>
        <w:tabs>
          <w:tab w:leader="none" w:pos="19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to the extent that any amount or benefit that would constitute non-exempt “deferred compensation” for purposes of Code Section 409A (“</w:t>
      </w:r>
      <w:r>
        <w:rPr>
          <w:rFonts w:ascii="Arial" w:cs="Arial" w:eastAsia="Arial" w:hAnsi="Arial"/>
          <w:sz w:val="18"/>
          <w:szCs w:val="18"/>
          <w:u w:val="single" w:color="auto"/>
          <w:color w:val="auto"/>
        </w:rPr>
        <w:t>Non-Exempt Deferred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Code Section 409A and applicable regulations (without giving effect to any elective provisions that may be available under such definition). This provision does not prohibit the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9" w:lineRule="exact"/>
        <w:rPr>
          <w:rFonts w:ascii="Arial" w:cs="Arial" w:eastAsia="Arial" w:hAnsi="Arial"/>
          <w:sz w:val="18"/>
          <w:szCs w:val="18"/>
          <w:color w:val="auto"/>
        </w:rPr>
      </w:pPr>
    </w:p>
    <w:p>
      <w:pPr>
        <w:jc w:val="both"/>
        <w:ind w:right="260" w:firstLine="1304"/>
        <w:spacing w:after="0" w:line="262" w:lineRule="auto"/>
        <w:tabs>
          <w:tab w:leader="none" w:pos="19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176" w:lineRule="exact"/>
        <w:rPr>
          <w:rFonts w:ascii="Arial" w:cs="Arial" w:eastAsia="Arial" w:hAnsi="Arial"/>
          <w:sz w:val="18"/>
          <w:szCs w:val="18"/>
          <w:color w:val="auto"/>
        </w:rPr>
      </w:pPr>
    </w:p>
    <w:p>
      <w:pPr>
        <w:ind w:right="200" w:firstLine="1304"/>
        <w:spacing w:after="0" w:line="287" w:lineRule="auto"/>
        <w:tabs>
          <w:tab w:leader="none" w:pos="19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w:t>
      </w:r>
    </w:p>
    <w:p>
      <w:pPr>
        <w:spacing w:after="0" w:line="200" w:lineRule="exact"/>
        <w:rPr>
          <w:sz w:val="20"/>
          <w:szCs w:val="20"/>
          <w:color w:val="auto"/>
        </w:rPr>
      </w:pPr>
    </w:p>
    <w:p>
      <w:pPr>
        <w:spacing w:after="0" w:line="33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95</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53" w:lineRule="exact"/>
        <w:rPr>
          <w:sz w:val="20"/>
          <w:szCs w:val="20"/>
          <w:color w:val="auto"/>
        </w:rPr>
      </w:pPr>
    </w:p>
    <w:p>
      <w:pPr>
        <w:ind w:left="660" w:right="200" w:firstLine="1292"/>
        <w:spacing w:after="0" w:line="268" w:lineRule="auto"/>
        <w:tabs>
          <w:tab w:leader="none" w:pos="26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70" w:lineRule="exact"/>
        <w:rPr>
          <w:rFonts w:ascii="Arial" w:cs="Arial" w:eastAsia="Arial" w:hAnsi="Arial"/>
          <w:sz w:val="18"/>
          <w:szCs w:val="18"/>
          <w:color w:val="auto"/>
        </w:rPr>
      </w:pPr>
    </w:p>
    <w:p>
      <w:pPr>
        <w:ind w:left="660" w:right="100" w:firstLine="1292"/>
        <w:spacing w:after="0" w:line="257" w:lineRule="auto"/>
        <w:tabs>
          <w:tab w:leader="none" w:pos="26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8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For purposes of this Plan, the term “Specified Employee” has the meaning given such term in Code Section 409A and the final regulations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79" w:lineRule="exact"/>
        <w:rPr>
          <w:sz w:val="20"/>
          <w:szCs w:val="20"/>
          <w:color w:val="auto"/>
        </w:rPr>
      </w:pPr>
    </w:p>
    <w:p>
      <w:pPr>
        <w:ind w:right="160" w:firstLine="1304"/>
        <w:spacing w:after="0" w:line="262" w:lineRule="auto"/>
        <w:tabs>
          <w:tab w:leader="none" w:pos="19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76" w:lineRule="exact"/>
        <w:rPr>
          <w:rFonts w:ascii="Arial" w:cs="Arial" w:eastAsia="Arial" w:hAnsi="Arial"/>
          <w:sz w:val="18"/>
          <w:szCs w:val="18"/>
          <w:color w:val="auto"/>
        </w:rPr>
      </w:pPr>
    </w:p>
    <w:p>
      <w:pPr>
        <w:ind w:right="200" w:firstLine="1304"/>
        <w:spacing w:after="0" w:line="268" w:lineRule="auto"/>
        <w:tabs>
          <w:tab w:leader="none" w:pos="19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70" w:lineRule="exact"/>
        <w:rPr>
          <w:rFonts w:ascii="Arial" w:cs="Arial" w:eastAsia="Arial" w:hAnsi="Arial"/>
          <w:sz w:val="18"/>
          <w:szCs w:val="18"/>
          <w:color w:val="auto"/>
        </w:rPr>
      </w:pPr>
    </w:p>
    <w:p>
      <w:pPr>
        <w:ind w:right="120" w:firstLine="1304"/>
        <w:spacing w:after="0" w:line="255" w:lineRule="auto"/>
        <w:tabs>
          <w:tab w:leader="none" w:pos="19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Code Section 409A,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i w:val="1"/>
          <w:iCs w:val="1"/>
          <w:color w:val="auto"/>
        </w:rPr>
        <w:t>WITHHOLDING</w:t>
      </w:r>
      <w:r>
        <w:rPr>
          <w:rFonts w:ascii="Arial" w:cs="Arial" w:eastAsia="Arial" w:hAnsi="Arial"/>
          <w:sz w:val="17"/>
          <w:szCs w:val="17"/>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(or, if permitted by the Committee, up to an amount calculated using applicable maximum individual tax rates) required to be withheld for tax purposes, all in accordance with such procedures as the Committee establishes. All such elections shall be subject to any restrictions or limitations that the Committee, in its sole discretion, deems appropriate.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without giving rise to any liability on the part of the Company or an of its Affiliates.</w:t>
      </w:r>
    </w:p>
    <w:p>
      <w:pPr>
        <w:spacing w:after="0" w:line="183"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i w:val="1"/>
          <w:iCs w:val="1"/>
          <w:color w:val="auto"/>
        </w:rPr>
        <w:t>UNFUNDED STATUS OF AWARDS</w:t>
      </w:r>
      <w:r>
        <w:rPr>
          <w:rFonts w:ascii="Arial" w:cs="Arial" w:eastAsia="Arial" w:hAnsi="Arial"/>
          <w:sz w:val="18"/>
          <w:szCs w:val="18"/>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7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i w:val="1"/>
          <w:iCs w:val="1"/>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rFonts w:ascii="Arial" w:cs="Arial" w:eastAsia="Arial" w:hAnsi="Arial"/>
          <w:sz w:val="18"/>
          <w:szCs w:val="18"/>
          <w:color w:val="auto"/>
        </w:rPr>
        <w:t>. The expenses of administering the Plan shall be borne by the Company and its Affiliates.</w:t>
      </w:r>
    </w:p>
    <w:p>
      <w:pPr>
        <w:spacing w:after="0" w:line="225"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53"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53"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i w:val="1"/>
          <w:iCs w:val="1"/>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59" w:lineRule="auto"/>
        <w:tabs>
          <w:tab w:leader="none" w:pos="193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9" w:lineRule="exact"/>
        <w:rPr>
          <w:rFonts w:ascii="Arial" w:cs="Arial" w:eastAsia="Arial" w:hAnsi="Arial"/>
          <w:sz w:val="18"/>
          <w:szCs w:val="18"/>
          <w:color w:val="auto"/>
        </w:rPr>
      </w:pPr>
    </w:p>
    <w:p>
      <w:pPr>
        <w:ind w:right="20" w:firstLine="1304"/>
        <w:spacing w:after="0" w:line="254" w:lineRule="auto"/>
        <w:tabs>
          <w:tab w:leader="none" w:pos="193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00" w:lineRule="exact"/>
        <w:rPr>
          <w:sz w:val="20"/>
          <w:szCs w:val="20"/>
          <w:color w:val="auto"/>
        </w:rPr>
      </w:pPr>
    </w:p>
    <w:p>
      <w:pPr>
        <w:spacing w:after="0" w:line="36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97</w:t>
      </w:r>
    </w:p>
    <w:p>
      <w:pPr>
        <w:sectPr>
          <w:pgSz w:w="11900" w:h="16838" w:orient="portrait"/>
          <w:cols w:equalWidth="0" w:num="1">
            <w:col w:w="11240"/>
          </w:cols>
          <w:pgMar w:left="320" w:top="12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firstLine="648"/>
        <w:spacing w:after="0" w:line="28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To the extent not governed by federal law, the Plan and all Award Certificates shall be construed in accordance with and governed by the laws of the State of Delaware (but without regard to its conflict of laws provisions).</w:t>
      </w:r>
    </w:p>
    <w:p>
      <w:pPr>
        <w:spacing w:after="0" w:line="153" w:lineRule="exact"/>
        <w:rPr>
          <w:sz w:val="20"/>
          <w:szCs w:val="20"/>
          <w:color w:val="auto"/>
        </w:rPr>
      </w:pPr>
    </w:p>
    <w:p>
      <w:pPr>
        <w:ind w:right="300" w:firstLine="648"/>
        <w:spacing w:after="0" w:line="28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15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i w:val="1"/>
          <w:iCs w:val="1"/>
          <w:color w:val="auto"/>
        </w:rPr>
        <w:t>NO LIMITATIONS ON RIGHTS OF COMPANY</w:t>
      </w:r>
      <w:r>
        <w:rPr>
          <w:rFonts w:ascii="Arial" w:cs="Arial" w:eastAsia="Arial" w:hAnsi="Arial"/>
          <w:sz w:val="18"/>
          <w:szCs w:val="18"/>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i w:val="1"/>
          <w:iCs w:val="1"/>
          <w:color w:val="auto"/>
        </w:rPr>
        <w:t>INDEMNIFICATION</w:t>
      </w:r>
      <w:r>
        <w:rPr>
          <w:rFonts w:ascii="Arial" w:cs="Arial" w:eastAsia="Arial" w:hAnsi="Arial"/>
          <w:sz w:val="18"/>
          <w:szCs w:val="18"/>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2"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Proxy Statement</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603250</wp:posOffset>
            </wp:positionV>
            <wp:extent cx="5812155" cy="7517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603250</wp:posOffset>
            </wp:positionV>
            <wp:extent cx="5812155" cy="7517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243205</wp:posOffset>
            </wp:positionV>
            <wp:extent cx="6849110" cy="892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849110" cy="8923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lvl w:ilvl="1">
      <w:lvlJc w:val="left"/>
      <w:lvlText w:val="◦"/>
      <w:numFmt w:val="bullet"/>
      <w:start w:val="1"/>
    </w:lvl>
  </w:abstractNum>
  <w:abstractNum w:abstractNumId="36">
    <w:nsid w:val="661E3F1E"/>
    <w:multiLevelType w:val="hybridMultilevel"/>
    <w:lvl w:ilvl="0">
      <w:lvlJc w:val="left"/>
      <w:lvlText w:val="◦"/>
      <w:numFmt w:val="bullet"/>
      <w:start w:val="1"/>
    </w:lvl>
    <w:lvl w:ilvl="1">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û"/>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
      <w:numFmt w:val="bullet"/>
      <w:start w:val="1"/>
    </w:lvl>
    <w:lvl w:ilvl="1">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2"/>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1)"/>
      <w:numFmt w:val="decimal"/>
      <w:start w:val="1"/>
    </w:lvl>
  </w:abstractNum>
  <w:abstractNum w:abstractNumId="54">
    <w:nsid w:val="7FFFCA11"/>
    <w:multiLevelType w:val="hybridMultilevel"/>
    <w:lvl w:ilvl="0">
      <w:lvlJc w:val="left"/>
      <w:lvlText w:val="(%1)"/>
      <w:numFmt w:val="decimal"/>
      <w:start w:val="5"/>
    </w:lvl>
    <w:lvl w:ilvl="1">
      <w:lvlJc w:val="left"/>
      <w:lvlText w:val="•"/>
      <w:numFmt w:val="bullet"/>
      <w:start w:val="1"/>
    </w:lvl>
  </w:abstractNum>
  <w:abstractNum w:abstractNumId="55">
    <w:nsid w:val="1A27709E"/>
    <w:multiLevelType w:val="hybridMultilevel"/>
    <w:lvl w:ilvl="0">
      <w:lvlJc w:val="left"/>
      <w:lvlText w:val="(%1)"/>
      <w:numFmt w:val="decimal"/>
      <w:start w:val="8"/>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5"/>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1)"/>
      <w:numFmt w:val="lowerRoman"/>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decimal"/>
      <w:start w:val="7"/>
    </w:lvl>
  </w:abstractNum>
  <w:abstractNum w:abstractNumId="82">
    <w:nsid w:val="5FB8370B"/>
    <w:multiLevelType w:val="hybridMultilevel"/>
    <w:lvl w:ilvl="0">
      <w:lvlJc w:val="left"/>
      <w:lvlText w:val="(%1)"/>
      <w:numFmt w:val="decimal"/>
      <w:start w:val="208"/>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85">
    <w:nsid w:val="5FB8011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6">
    <w:nsid w:val="6AA78F7F"/>
    <w:multiLevelType w:val="hybridMultilevel"/>
    <w:lvl w:ilvl="0">
      <w:lvlJc w:val="left"/>
      <w:lvlText w:val="(%1)"/>
      <w:numFmt w:val="upperLetter"/>
      <w:start w:val="3"/>
    </w:lvl>
    <w:lvl w:ilvl="1">
      <w:lvlJc w:val="left"/>
      <w:lvlText w:val="(%2)"/>
      <w:numFmt w:val="lowerLetter"/>
      <w:start w:val="6"/>
    </w:lvl>
    <w:lvl w:ilvl="2">
      <w:lvlJc w:val="left"/>
      <w:lvlText w:val="(%3)"/>
      <w:numFmt w:val="lowerRoman"/>
      <w:start w:val="4"/>
    </w:lvl>
  </w:abstractNum>
  <w:abstractNum w:abstractNumId="87">
    <w:nsid w:val="7672BD23"/>
    <w:multiLevelType w:val="hybridMultilevel"/>
    <w:lvl w:ilvl="0">
      <w:lvlJc w:val="left"/>
      <w:lvlText w:val="(%1)"/>
      <w:numFmt w:val="lowerLetter"/>
      <w:start w:val="18"/>
    </w:lvl>
  </w:abstractNum>
  <w:abstractNum w:abstractNumId="88">
    <w:nsid w:val="6FC75AF8"/>
    <w:multiLevelType w:val="hybridMultilevel"/>
    <w:lvl w:ilvl="0">
      <w:lvlJc w:val="left"/>
      <w:lvlText w:val="(%1)"/>
      <w:numFmt w:val="lowerLetter"/>
      <w:start w:val="27"/>
    </w:lvl>
  </w:abstractNum>
  <w:abstractNum w:abstractNumId="89">
    <w:nsid w:val="6A5F7029"/>
    <w:multiLevelType w:val="hybridMultilevel"/>
    <w:lvl w:ilvl="0">
      <w:lvlJc w:val="left"/>
      <w:lvlText w:val="(%1)"/>
      <w:numFmt w:val="lowerLetter"/>
      <w:start w:val="32"/>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5"/>
    </w:lvl>
  </w:abstractNum>
  <w:abstractNum w:abstractNumId="92">
    <w:nsid w:val="73A1821B"/>
    <w:multiLevelType w:val="hybridMultilevel"/>
    <w:lvl w:ilvl="0">
      <w:lvlJc w:val="left"/>
      <w:lvlText w:val="(%1)"/>
      <w:numFmt w:val="lowerRoman"/>
      <w:start w:val="2"/>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2"/>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1)"/>
      <w:numFmt w:val="lowerLetter"/>
      <w:start w:val="5"/>
    </w:lvl>
  </w:abstractNum>
  <w:abstractNum w:abstractNumId="98">
    <w:nsid w:val="71C91298"/>
    <w:multiLevelType w:val="hybridMultilevel"/>
    <w:lvl w:ilvl="0">
      <w:lvlJc w:val="left"/>
      <w:lvlText w:val="(%1)"/>
      <w:numFmt w:val="lowerLetter"/>
      <w:start w:val="6"/>
    </w:lvl>
  </w:abstractNum>
  <w:abstractNum w:abstractNumId="99">
    <w:nsid w:val="9DAF63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00">
    <w:nsid w:val="53299938"/>
    <w:multiLevelType w:val="hybridMultilevel"/>
    <w:lvl w:ilvl="0">
      <w:lvlJc w:val="left"/>
      <w:lvlText w:val="(%1)"/>
      <w:numFmt w:val="lowerLetter"/>
      <w:start w:val="61"/>
    </w:lvl>
    <w:lvl w:ilvl="1">
      <w:lvlJc w:val="left"/>
      <w:lvlText w:val="(%2)"/>
      <w:numFmt w:val="lowerLetter"/>
      <w:start w:val="3"/>
    </w:lvl>
    <w:lvl w:ilvl="2">
      <w:lvlJc w:val="left"/>
      <w:lvlText w:val="%3"/>
      <w:numFmt w:val="decimal"/>
      <w:start w:val="1"/>
    </w:lvl>
  </w:abstractNum>
  <w:abstractNum w:abstractNumId="101">
    <w:nsid w:val="1FBFE8E0"/>
    <w:multiLevelType w:val="hybridMultilevel"/>
    <w:lvl w:ilvl="0">
      <w:lvlJc w:val="left"/>
      <w:lvlText w:val="(%1)"/>
      <w:numFmt w:val="lowerLetter"/>
      <w:start w:val="1"/>
    </w:lvl>
    <w:lvl w:ilvl="1">
      <w:lvlJc w:val="left"/>
      <w:lvlText w:val="(%2)"/>
      <w:numFmt w:val="lowerRoman"/>
      <w:start w:val="1"/>
    </w:lvl>
  </w:abstractNum>
  <w:abstractNum w:abstractNumId="102">
    <w:nsid w:val="5092CA79"/>
    <w:multiLevelType w:val="hybridMultilevel"/>
    <w:lvl w:ilvl="0">
      <w:lvlJc w:val="left"/>
      <w:lvlText w:val="(%1)"/>
      <w:numFmt w:val="lowerLetter"/>
      <w:start w:val="2"/>
    </w:lvl>
    <w:lvl w:ilvl="1">
      <w:lvlJc w:val="left"/>
      <w:lvlText w:val="(%2)"/>
      <w:numFmt w:val="lowerRoman"/>
      <w:start w:val="1"/>
    </w:lvl>
  </w:abstractNum>
  <w:abstractNum w:abstractNumId="103">
    <w:nsid w:val="1D545C4D"/>
    <w:multiLevelType w:val="hybridMultilevel"/>
    <w:lvl w:ilvl="0">
      <w:lvlJc w:val="left"/>
      <w:lvlText w:val="(%1)"/>
      <w:numFmt w:val="lowerRoman"/>
      <w:start w:val="1"/>
    </w:lvl>
  </w:abstractNum>
  <w:abstractNum w:abstractNumId="104">
    <w:nsid w:val="59ADEA3D"/>
    <w:multiLevelType w:val="hybridMultilevel"/>
    <w:lvl w:ilvl="0">
      <w:lvlJc w:val="left"/>
      <w:lvlText w:val="(%1)"/>
      <w:numFmt w:val="lowerRoman"/>
      <w:start w:val="5"/>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lowerRoman"/>
      <w:start w:val="1"/>
    </w:lvl>
  </w:abstractNum>
  <w:abstractNum w:abstractNumId="108">
    <w:nsid w:val="97E1B4E"/>
    <w:multiLevelType w:val="hybridMultilevel"/>
    <w:lvl w:ilvl="0">
      <w:lvlJc w:val="left"/>
      <w:lvlText w:val="(%1)"/>
      <w:numFmt w:val="lowerLetter"/>
      <w:start w:val="5"/>
    </w:lvl>
  </w:abstractNum>
  <w:abstractNum w:abstractNumId="109">
    <w:nsid w:val="5108827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2022-12-02T16:39:19Z</dcterms:created>
  <dcterms:modified xsi:type="dcterms:W3CDTF">2022-12-02T16:39:19Z</dcterms:modified>
</cp:coreProperties>
</file>