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23, 2011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0"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On March 23, 2011, the Company announced its financial results for the second quarter ended March 3, 2011. The full text of the press release issued in connection with the announcement is attached as Exhibit 99.1 to this Current Report on Form 8-K.</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360" w:type="dxa"/>
            <w:vAlign w:val="bottom"/>
            <w:gridSpan w:val="3"/>
          </w:tcPr>
          <w:p>
            <w:pPr>
              <w:ind w:left="2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360" w:type="dxa"/>
            <w:vAlign w:val="bottom"/>
            <w:gridSpan w:val="3"/>
          </w:tcPr>
          <w:p>
            <w:pPr>
              <w:ind w:left="200"/>
              <w:spacing w:after="0"/>
              <w:rPr>
                <w:sz w:val="20"/>
                <w:szCs w:val="20"/>
                <w:color w:val="auto"/>
              </w:rPr>
            </w:pPr>
            <w:r>
              <w:rPr>
                <w:rFonts w:ascii="Arial" w:cs="Arial" w:eastAsia="Arial" w:hAnsi="Arial"/>
                <w:sz w:val="18"/>
                <w:szCs w:val="18"/>
                <w:color w:val="auto"/>
              </w:rPr>
              <w:t>(d) Exhibits.</w:t>
            </w:r>
          </w:p>
        </w:tc>
      </w:tr>
      <w:tr>
        <w:trPr>
          <w:trHeight w:val="682"/>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200" w:type="dxa"/>
            <w:vAlign w:val="bottom"/>
          </w:tcPr>
          <w:p>
            <w:pPr>
              <w:spacing w:after="0"/>
              <w:rPr>
                <w:sz w:val="24"/>
                <w:szCs w:val="24"/>
                <w:color w:val="auto"/>
              </w:rPr>
            </w:pPr>
          </w:p>
        </w:tc>
        <w:tc>
          <w:tcPr>
            <w:tcW w:w="10160" w:type="dxa"/>
            <w:vAlign w:val="bottom"/>
            <w:gridSpan w:val="2"/>
          </w:tcPr>
          <w:p>
            <w:pPr>
              <w:ind w:left="24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20" w:type="dxa"/>
            <w:vAlign w:val="bottom"/>
          </w:tcPr>
          <w:p>
            <w:pPr>
              <w:spacing w:after="0"/>
              <w:rPr>
                <w:sz w:val="20"/>
                <w:szCs w:val="20"/>
                <w:color w:val="auto"/>
              </w:rPr>
            </w:pPr>
          </w:p>
        </w:tc>
        <w:tc>
          <w:tcPr>
            <w:tcW w:w="10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99.1</w:t>
            </w:r>
          </w:p>
        </w:tc>
        <w:tc>
          <w:tcPr>
            <w:tcW w:w="2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issued on March 23, 2011</w:t>
            </w:r>
          </w:p>
        </w:tc>
      </w:tr>
      <w:tr>
        <w:trPr>
          <w:trHeight w:val="860"/>
        </w:trPr>
        <w:tc>
          <w:tcPr>
            <w:tcW w:w="20" w:type="dxa"/>
            <w:vAlign w:val="bottom"/>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7520" w:type="dxa"/>
            <w:vAlign w:val="bottom"/>
            <w:gridSpan w:val="2"/>
          </w:tcPr>
          <w:p>
            <w:pPr>
              <w:ind w:left="218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3900" w:type="dxa"/>
            <w:vAlign w:val="bottom"/>
          </w:tcPr>
          <w:p>
            <w:pPr>
              <w:spacing w:after="0"/>
              <w:rPr>
                <w:sz w:val="20"/>
                <w:szCs w:val="20"/>
                <w:color w:val="auto"/>
              </w:rPr>
            </w:pPr>
            <w:r>
              <w:rPr>
                <w:rFonts w:ascii="Arial" w:cs="Arial" w:eastAsia="Arial" w:hAnsi="Arial"/>
                <w:sz w:val="18"/>
                <w:szCs w:val="18"/>
                <w:color w:val="auto"/>
              </w:rPr>
              <w:t>Date:  March 23, 2011</w:t>
            </w:r>
          </w:p>
        </w:tc>
        <w:tc>
          <w:tcPr>
            <w:tcW w:w="2840" w:type="dxa"/>
            <w:vAlign w:val="bottom"/>
          </w:tcPr>
          <w:p>
            <w:pPr>
              <w:ind w:left="218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3900" w:type="dxa"/>
            <w:vAlign w:val="bottom"/>
          </w:tcPr>
          <w:p>
            <w:pPr>
              <w:spacing w:after="0"/>
              <w:rPr>
                <w:sz w:val="17"/>
                <w:szCs w:val="17"/>
                <w:color w:val="auto"/>
              </w:rPr>
            </w:pPr>
          </w:p>
        </w:tc>
        <w:tc>
          <w:tcPr>
            <w:tcW w:w="2840" w:type="dxa"/>
            <w:vAlign w:val="bottom"/>
          </w:tcPr>
          <w:p>
            <w:pPr>
              <w:ind w:left="2180"/>
              <w:spacing w:after="0" w:line="201" w:lineRule="exact"/>
              <w:rPr>
                <w:sz w:val="20"/>
                <w:szCs w:val="20"/>
                <w:color w:val="auto"/>
              </w:rPr>
            </w:pPr>
            <w:r>
              <w:rPr>
                <w:rFonts w:ascii="Arial" w:cs="Arial" w:eastAsia="Arial" w:hAnsi="Arial"/>
                <w:sz w:val="18"/>
                <w:szCs w:val="18"/>
                <w:color w:val="auto"/>
              </w:rPr>
              <w:t>Name:</w:t>
            </w:r>
          </w:p>
        </w:tc>
        <w:tc>
          <w:tcPr>
            <w:tcW w:w="468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3900" w:type="dxa"/>
            <w:vAlign w:val="bottom"/>
          </w:tcPr>
          <w:p>
            <w:pPr>
              <w:spacing w:after="0"/>
              <w:rPr>
                <w:sz w:val="18"/>
                <w:szCs w:val="18"/>
                <w:color w:val="auto"/>
              </w:rPr>
            </w:pPr>
          </w:p>
        </w:tc>
        <w:tc>
          <w:tcPr>
            <w:tcW w:w="2840" w:type="dxa"/>
            <w:vAlign w:val="bottom"/>
          </w:tcPr>
          <w:p>
            <w:pPr>
              <w:ind w:left="218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39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902"/>
        </w:trPr>
        <w:tc>
          <w:tcPr>
            <w:tcW w:w="390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4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86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7"/>
          <w:szCs w:val="17"/>
          <w:b w:val="1"/>
          <w:bCs w:val="1"/>
          <w:color w:val="auto"/>
        </w:rPr>
        <w:t>THE CURRENT REPORT ON FORM 8-K DATED MARCH 23, 2011</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4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March 23,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973455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75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400" w:type="dxa"/>
            <w:vAlign w:val="bottom"/>
            <w:gridSpan w:val="2"/>
          </w:tcPr>
          <w:p>
            <w:pPr>
              <w:spacing w:after="0"/>
              <w:rPr>
                <w:sz w:val="20"/>
                <w:szCs w:val="20"/>
                <w:color w:val="auto"/>
              </w:rPr>
            </w:pPr>
            <w:r>
              <w:rPr>
                <w:rFonts w:ascii="Arial" w:cs="Arial" w:eastAsia="Arial" w:hAnsi="Arial"/>
                <w:sz w:val="22"/>
                <w:szCs w:val="22"/>
                <w:b w:val="1"/>
                <w:bCs w:val="1"/>
                <w:color w:val="auto"/>
              </w:rPr>
              <w:t>FOR IMMEDIATE RELEASE</w:t>
            </w:r>
          </w:p>
        </w:tc>
        <w:tc>
          <w:tcPr>
            <w:tcW w:w="3280" w:type="dxa"/>
            <w:vAlign w:val="bottom"/>
          </w:tcPr>
          <w:p>
            <w:pPr>
              <w:spacing w:after="0"/>
              <w:rPr>
                <w:sz w:val="24"/>
                <w:szCs w:val="24"/>
                <w:color w:val="auto"/>
              </w:rPr>
            </w:pPr>
          </w:p>
        </w:tc>
      </w:tr>
      <w:tr>
        <w:trPr>
          <w:trHeight w:val="455"/>
        </w:trPr>
        <w:tc>
          <w:tcPr>
            <w:tcW w:w="1580" w:type="dxa"/>
            <w:vAlign w:val="bottom"/>
          </w:tcPr>
          <w:p>
            <w:pPr>
              <w:spacing w:after="0"/>
              <w:rPr>
                <w:sz w:val="20"/>
                <w:szCs w:val="20"/>
                <w:color w:val="auto"/>
              </w:rPr>
            </w:pPr>
            <w:r>
              <w:rPr>
                <w:rFonts w:ascii="Arial" w:cs="Arial" w:eastAsia="Arial" w:hAnsi="Arial"/>
                <w:sz w:val="22"/>
                <w:szCs w:val="22"/>
                <w:color w:val="auto"/>
              </w:rPr>
              <w:t>Contacts:</w:t>
            </w:r>
          </w:p>
        </w:tc>
        <w:tc>
          <w:tcPr>
            <w:tcW w:w="3820" w:type="dxa"/>
            <w:vAlign w:val="bottom"/>
          </w:tcPr>
          <w:p>
            <w:pPr>
              <w:ind w:left="740"/>
              <w:spacing w:after="0"/>
              <w:rPr>
                <w:sz w:val="20"/>
                <w:szCs w:val="20"/>
                <w:color w:val="auto"/>
              </w:rPr>
            </w:pPr>
            <w:r>
              <w:rPr>
                <w:rFonts w:ascii="Arial" w:cs="Arial" w:eastAsia="Arial" w:hAnsi="Arial"/>
                <w:sz w:val="22"/>
                <w:szCs w:val="22"/>
                <w:color w:val="auto"/>
              </w:rPr>
              <w:t>Kipp A. Bedard</w:t>
            </w:r>
          </w:p>
        </w:tc>
        <w:tc>
          <w:tcPr>
            <w:tcW w:w="3280" w:type="dxa"/>
            <w:vAlign w:val="bottom"/>
          </w:tcPr>
          <w:p>
            <w:pPr>
              <w:ind w:left="1140"/>
              <w:spacing w:after="0"/>
              <w:rPr>
                <w:sz w:val="20"/>
                <w:szCs w:val="20"/>
                <w:color w:val="auto"/>
              </w:rPr>
            </w:pPr>
            <w:r>
              <w:rPr>
                <w:rFonts w:ascii="Arial" w:cs="Arial" w:eastAsia="Arial" w:hAnsi="Arial"/>
                <w:sz w:val="22"/>
                <w:szCs w:val="22"/>
                <w:color w:val="auto"/>
              </w:rPr>
              <w:t>Daniel Francisco</w:t>
            </w:r>
          </w:p>
        </w:tc>
      </w:tr>
      <w:tr>
        <w:trPr>
          <w:trHeight w:val="243"/>
        </w:trPr>
        <w:tc>
          <w:tcPr>
            <w:tcW w:w="158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Arial" w:cs="Arial" w:eastAsia="Arial" w:hAnsi="Arial"/>
                <w:sz w:val="22"/>
                <w:szCs w:val="22"/>
                <w:color w:val="auto"/>
              </w:rPr>
              <w:t>Investor Relations</w:t>
            </w:r>
          </w:p>
        </w:tc>
        <w:tc>
          <w:tcPr>
            <w:tcW w:w="3280" w:type="dxa"/>
            <w:vAlign w:val="bottom"/>
          </w:tcPr>
          <w:p>
            <w:pPr>
              <w:ind w:left="1140"/>
              <w:spacing w:after="0" w:line="243" w:lineRule="exact"/>
              <w:rPr>
                <w:sz w:val="20"/>
                <w:szCs w:val="20"/>
                <w:color w:val="auto"/>
              </w:rPr>
            </w:pPr>
            <w:r>
              <w:rPr>
                <w:rFonts w:ascii="Arial" w:cs="Arial" w:eastAsia="Arial" w:hAnsi="Arial"/>
                <w:sz w:val="22"/>
                <w:szCs w:val="22"/>
                <w:color w:val="auto"/>
              </w:rPr>
              <w:t>Media Relations</w:t>
            </w:r>
          </w:p>
        </w:tc>
      </w:tr>
      <w:tr>
        <w:trPr>
          <w:trHeight w:val="243"/>
        </w:trPr>
        <w:tc>
          <w:tcPr>
            <w:tcW w:w="158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Arial" w:cs="Arial" w:eastAsia="Arial" w:hAnsi="Arial"/>
                <w:sz w:val="22"/>
                <w:szCs w:val="22"/>
                <w:color w:val="auto"/>
              </w:rPr>
              <w:t>kbedard@micron.com</w:t>
            </w:r>
          </w:p>
        </w:tc>
        <w:tc>
          <w:tcPr>
            <w:tcW w:w="3280" w:type="dxa"/>
            <w:vAlign w:val="bottom"/>
          </w:tcPr>
          <w:p>
            <w:pPr>
              <w:ind w:left="1140"/>
              <w:spacing w:after="0" w:line="243" w:lineRule="exact"/>
              <w:rPr>
                <w:sz w:val="20"/>
                <w:szCs w:val="20"/>
                <w:color w:val="auto"/>
              </w:rPr>
            </w:pPr>
            <w:r>
              <w:rPr>
                <w:rFonts w:ascii="Arial" w:cs="Arial" w:eastAsia="Arial" w:hAnsi="Arial"/>
                <w:sz w:val="22"/>
                <w:szCs w:val="22"/>
                <w:color w:val="auto"/>
                <w:w w:val="89"/>
              </w:rPr>
              <w:t>dfrancisco@micron.com</w:t>
            </w:r>
          </w:p>
        </w:tc>
      </w:tr>
      <w:tr>
        <w:trPr>
          <w:trHeight w:val="275"/>
        </w:trPr>
        <w:tc>
          <w:tcPr>
            <w:tcW w:w="1580" w:type="dxa"/>
            <w:vAlign w:val="bottom"/>
          </w:tcPr>
          <w:p>
            <w:pPr>
              <w:spacing w:after="0"/>
              <w:rPr>
                <w:sz w:val="23"/>
                <w:szCs w:val="23"/>
                <w:color w:val="auto"/>
              </w:rPr>
            </w:pPr>
          </w:p>
        </w:tc>
        <w:tc>
          <w:tcPr>
            <w:tcW w:w="3820" w:type="dxa"/>
            <w:vAlign w:val="bottom"/>
          </w:tcPr>
          <w:p>
            <w:pPr>
              <w:ind w:left="740"/>
              <w:spacing w:after="0"/>
              <w:rPr>
                <w:sz w:val="20"/>
                <w:szCs w:val="20"/>
                <w:color w:val="auto"/>
              </w:rPr>
            </w:pPr>
            <w:r>
              <w:rPr>
                <w:rFonts w:ascii="Arial" w:cs="Arial" w:eastAsia="Arial" w:hAnsi="Arial"/>
                <w:sz w:val="22"/>
                <w:szCs w:val="22"/>
                <w:color w:val="auto"/>
              </w:rPr>
              <w:t>(208) 368-4465</w:t>
            </w:r>
          </w:p>
        </w:tc>
        <w:tc>
          <w:tcPr>
            <w:tcW w:w="3280" w:type="dxa"/>
            <w:vAlign w:val="bottom"/>
          </w:tcPr>
          <w:p>
            <w:pPr>
              <w:ind w:left="1140"/>
              <w:spacing w:after="0"/>
              <w:rPr>
                <w:sz w:val="20"/>
                <w:szCs w:val="20"/>
                <w:color w:val="auto"/>
              </w:rPr>
            </w:pPr>
            <w:r>
              <w:rPr>
                <w:rFonts w:ascii="Arial" w:cs="Arial" w:eastAsia="Arial" w:hAnsi="Arial"/>
                <w:sz w:val="22"/>
                <w:szCs w:val="22"/>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MICRON TECHNOLOGY, INC., REPORTS RESULTS FOR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SECOND QUARTER OF FISCAL 2011</w:t>
      </w:r>
    </w:p>
    <w:p>
      <w:pPr>
        <w:spacing w:after="0" w:line="200" w:lineRule="exact"/>
        <w:rPr>
          <w:sz w:val="20"/>
          <w:szCs w:val="20"/>
          <w:color w:val="auto"/>
        </w:rPr>
      </w:pPr>
    </w:p>
    <w:p>
      <w:pPr>
        <w:spacing w:after="0" w:line="252" w:lineRule="exact"/>
        <w:rPr>
          <w:sz w:val="20"/>
          <w:szCs w:val="20"/>
          <w:color w:val="auto"/>
        </w:rPr>
      </w:pPr>
    </w:p>
    <w:p>
      <w:pPr>
        <w:ind w:right="220" w:firstLine="324"/>
        <w:spacing w:after="0" w:line="236" w:lineRule="auto"/>
        <w:rPr>
          <w:sz w:val="20"/>
          <w:szCs w:val="20"/>
          <w:color w:val="auto"/>
        </w:rPr>
      </w:pPr>
      <w:r>
        <w:rPr>
          <w:rFonts w:ascii="Arial" w:cs="Arial" w:eastAsia="Arial" w:hAnsi="Arial"/>
          <w:sz w:val="22"/>
          <w:szCs w:val="22"/>
          <w:b w:val="1"/>
          <w:bCs w:val="1"/>
          <w:color w:val="auto"/>
        </w:rPr>
        <w:t>BOISE, Idaho</w:t>
      </w:r>
      <w:r>
        <w:rPr>
          <w:rFonts w:ascii="Arial" w:cs="Arial" w:eastAsia="Arial" w:hAnsi="Arial"/>
          <w:sz w:val="22"/>
          <w:szCs w:val="22"/>
          <w:color w:val="auto"/>
        </w:rPr>
        <w:t>, March 23, 2011 – Micron Technology, Inc., (NASDAQ: MU) today announced results of operations for its</w:t>
      </w:r>
      <w:r>
        <w:rPr>
          <w:rFonts w:ascii="Arial" w:cs="Arial" w:eastAsia="Arial" w:hAnsi="Arial"/>
          <w:sz w:val="22"/>
          <w:szCs w:val="22"/>
          <w:b w:val="1"/>
          <w:bCs w:val="1"/>
          <w:color w:val="auto"/>
        </w:rPr>
        <w:t xml:space="preserve"> </w:t>
      </w:r>
      <w:r>
        <w:rPr>
          <w:rFonts w:ascii="Arial" w:cs="Arial" w:eastAsia="Arial" w:hAnsi="Arial"/>
          <w:sz w:val="22"/>
          <w:szCs w:val="22"/>
          <w:color w:val="auto"/>
        </w:rPr>
        <w:t>second quarter of fiscal 2011, which ended March 3, 2011. For the second quarter, the company had net income attributable to Micron shareholders of $72 million, or $0.07 per diluted share, on net sales of $2.3 billion. The results for the second quarter of fiscal 2011 compare to net income of $155 million, or $0.15 per diluted share, on net sales of $2.3 billion for the first quarter of fiscal 2011, and net income of $365 million, or $0.39 per diluted share, on net sales of $2.0 billion for the second quarter of fiscal 2010.</w:t>
      </w:r>
    </w:p>
    <w:p>
      <w:pPr>
        <w:spacing w:after="0" w:line="215" w:lineRule="exact"/>
        <w:rPr>
          <w:sz w:val="20"/>
          <w:szCs w:val="20"/>
          <w:color w:val="auto"/>
        </w:rPr>
      </w:pPr>
    </w:p>
    <w:p>
      <w:pPr>
        <w:ind w:right="20" w:firstLine="324"/>
        <w:spacing w:after="0" w:line="275" w:lineRule="auto"/>
        <w:rPr>
          <w:sz w:val="20"/>
          <w:szCs w:val="20"/>
          <w:color w:val="auto"/>
        </w:rPr>
      </w:pPr>
      <w:r>
        <w:rPr>
          <w:rFonts w:ascii="Arial" w:cs="Arial" w:eastAsia="Arial" w:hAnsi="Arial"/>
          <w:sz w:val="19"/>
          <w:szCs w:val="19"/>
          <w:color w:val="auto"/>
        </w:rPr>
        <w:t>Revenue from sales of DRAM products was 6 percent lower in the second quarter of fiscal 2011 compared to the first quarter of fiscal 2011 due to a 23 percent decrease in average selling prices largely offset by an increase in volume. Revenue from sales of NAND Flash products was 8 percent higher in the second quarter of fiscal 2011 compared to the first quarter of fiscal 2011 due to an increase in volume partially offset by a 4 percent decrease in average selling prices. Revenue from sales of NOR Flash products was 7 percent lower in the second quarter of fiscal 2011 compared to the first quarter of fiscal 2011 due primarily to a decrease in average selling prices. The company’s consolidated gross margin was 19 percent in the second quarter of fiscal 2011 and was lower compared to its gross margin of 23 percent in the first quarter of fiscal 2011 due primarily to the decreases in average selling prices partially offset by decreases in manufacturing costs.</w:t>
      </w:r>
    </w:p>
    <w:p>
      <w:pPr>
        <w:spacing w:after="0" w:line="185" w:lineRule="exact"/>
        <w:rPr>
          <w:sz w:val="20"/>
          <w:szCs w:val="20"/>
          <w:color w:val="auto"/>
        </w:rPr>
      </w:pPr>
    </w:p>
    <w:p>
      <w:pPr>
        <w:ind w:right="240" w:firstLine="324"/>
        <w:spacing w:after="0" w:line="287" w:lineRule="auto"/>
        <w:rPr>
          <w:sz w:val="20"/>
          <w:szCs w:val="20"/>
          <w:color w:val="auto"/>
        </w:rPr>
      </w:pPr>
      <w:r>
        <w:rPr>
          <w:rFonts w:ascii="Arial" w:cs="Arial" w:eastAsia="Arial" w:hAnsi="Arial"/>
          <w:sz w:val="19"/>
          <w:szCs w:val="19"/>
          <w:color w:val="auto"/>
        </w:rPr>
        <w:t>Cash flows from operations for the second quarter of fiscal 2011 were $809 million. During the second quarter of fiscal 2011, the company invested $840 million in capital expenditures. In addition, during the second quarter, the company completed the acquisition of the remaining noncontrolling interests in TECH in two cash transactions aggregating $159 million. The company ended the second fiscal quarter with cash and short-term investments of $2.2 billion.</w:t>
      </w:r>
    </w:p>
    <w:p>
      <w:pPr>
        <w:spacing w:after="0" w:line="170" w:lineRule="exact"/>
        <w:rPr>
          <w:sz w:val="20"/>
          <w:szCs w:val="20"/>
          <w:color w:val="auto"/>
        </w:rPr>
      </w:pPr>
    </w:p>
    <w:p>
      <w:pPr>
        <w:jc w:val="both"/>
        <w:ind w:right="140" w:firstLine="324"/>
        <w:spacing w:after="0"/>
        <w:rPr>
          <w:sz w:val="20"/>
          <w:szCs w:val="20"/>
          <w:color w:val="auto"/>
        </w:rPr>
      </w:pPr>
      <w:r>
        <w:rPr>
          <w:rFonts w:ascii="Arial" w:cs="Arial" w:eastAsia="Arial" w:hAnsi="Arial"/>
          <w:sz w:val="22"/>
          <w:szCs w:val="22"/>
          <w:color w:val="auto"/>
        </w:rPr>
        <w:t>The company will host a conference call today at 2:30 p.m. MDT to discuss its financial results. The call, audio and slides will be available online at http://investors.micron.com/events.cfm. A webcast replay will be available on the company’s web site until March 23, 2012. A taped audio replay of the conference call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5" w:name="page6"/>
    <w:bookmarkEnd w:id="5"/>
    <w:p>
      <w:pPr>
        <w:spacing w:after="0"/>
        <w:rPr>
          <w:sz w:val="20"/>
          <w:szCs w:val="20"/>
          <w:color w:val="auto"/>
        </w:rPr>
      </w:pPr>
      <w:r>
        <w:rPr>
          <w:rFonts w:ascii="Arial" w:cs="Arial" w:eastAsia="Arial" w:hAnsi="Arial"/>
          <w:sz w:val="19"/>
          <w:szCs w:val="19"/>
          <w:color w:val="auto"/>
        </w:rPr>
        <w:t>also be available at (706) 645-9291 (conference ID: 52960648) beginning at 5:30 p.m. MDT today and continuing until 5:30 p.m.</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MDT on Wednesday, March 30, 2011.</w:t>
      </w:r>
    </w:p>
    <w:p>
      <w:pPr>
        <w:spacing w:after="0" w:line="215" w:lineRule="exact"/>
        <w:rPr>
          <w:sz w:val="20"/>
          <w:szCs w:val="20"/>
          <w:color w:val="auto"/>
        </w:rPr>
      </w:pPr>
    </w:p>
    <w:p>
      <w:pPr>
        <w:ind w:firstLine="324"/>
        <w:spacing w:after="0" w:line="236" w:lineRule="auto"/>
        <w:rPr>
          <w:sz w:val="20"/>
          <w:szCs w:val="20"/>
          <w:color w:val="auto"/>
        </w:rPr>
      </w:pPr>
      <w:r>
        <w:rPr>
          <w:rFonts w:ascii="Arial" w:cs="Arial" w:eastAsia="Arial" w:hAnsi="Arial"/>
          <w:sz w:val="22"/>
          <w:szCs w:val="22"/>
          <w:color w:val="auto"/>
        </w:rPr>
        <w:t>Micron Technology, Inc., is one of the world’s leading providers of advanced semiconductor solutions. Through its worldwide operations, Micron manufactures and markets a full range of DRAM, NAND Flash and NOR Flash memory, as well as other innovative memory technologies, packaging solutions and semiconductor systems for use in leading-edge computing, consumer, networking, embedded and mobile products. Micron’s common stock is traded on the NASDAQ under the MU symbol. To learn more about Micron Technology, Inc., visit www.micron.com.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510" w:right="419" w:bottom="1440" w:gutter="0" w:footer="0" w:header="0"/>
        </w:sectPr>
      </w:pPr>
    </w:p>
    <w:bookmarkStart w:id="6" w:name="page7"/>
    <w:bookmarkEnd w:id="6"/>
    <w:p>
      <w:pPr>
        <w:ind w:left="4040"/>
        <w:spacing w:after="0"/>
        <w:rPr>
          <w:sz w:val="20"/>
          <w:szCs w:val="20"/>
          <w:color w:val="auto"/>
        </w:rPr>
      </w:pPr>
      <w:r>
        <w:rPr>
          <w:rFonts w:ascii="Arial" w:cs="Arial" w:eastAsia="Arial" w:hAnsi="Arial"/>
          <w:sz w:val="22"/>
          <w:szCs w:val="22"/>
          <w:b w:val="1"/>
          <w:bCs w:val="1"/>
          <w:color w:val="auto"/>
        </w:rPr>
        <w:t>MICRON TECHNOLOGY, INC.</w:t>
      </w:r>
    </w:p>
    <w:p>
      <w:pPr>
        <w:spacing w:after="0" w:line="4" w:lineRule="exact"/>
        <w:rPr>
          <w:sz w:val="20"/>
          <w:szCs w:val="20"/>
          <w:color w:val="auto"/>
        </w:rPr>
      </w:pPr>
    </w:p>
    <w:p>
      <w:pPr>
        <w:ind w:left="3600"/>
        <w:spacing w:after="0"/>
        <w:rPr>
          <w:sz w:val="20"/>
          <w:szCs w:val="20"/>
          <w:color w:val="auto"/>
        </w:rPr>
      </w:pPr>
      <w:r>
        <w:rPr>
          <w:rFonts w:ascii="Arial" w:cs="Arial" w:eastAsia="Arial" w:hAnsi="Arial"/>
          <w:sz w:val="22"/>
          <w:szCs w:val="22"/>
          <w:b w:val="1"/>
          <w:bCs w:val="1"/>
          <w:color w:val="auto"/>
        </w:rPr>
        <w:t>CONSOLIDATED FINANCIAL SUMMARY</w:t>
      </w:r>
    </w:p>
    <w:p>
      <w:pPr>
        <w:jc w:val="center"/>
        <w:spacing w:after="0"/>
        <w:rPr>
          <w:sz w:val="20"/>
          <w:szCs w:val="20"/>
          <w:color w:val="auto"/>
        </w:rPr>
      </w:pPr>
      <w:r>
        <w:rPr>
          <w:rFonts w:ascii="Arial" w:cs="Arial" w:eastAsia="Arial" w:hAnsi="Arial"/>
          <w:sz w:val="22"/>
          <w:szCs w:val="22"/>
          <w:b w:val="1"/>
          <w:bCs w:val="1"/>
          <w:color w:val="auto"/>
        </w:rPr>
        <w:t>(in millions except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22"/>
                <w:szCs w:val="22"/>
                <w:b w:val="1"/>
                <w:bCs w:val="1"/>
                <w:color w:val="auto"/>
                <w:w w:val="92"/>
              </w:rPr>
              <w:t>2nd Qtr.</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22"/>
                <w:szCs w:val="22"/>
                <w:b w:val="1"/>
                <w:bCs w:val="1"/>
                <w:color w:val="auto"/>
                <w:w w:val="90"/>
              </w:rPr>
              <w:t>1st Qtr.</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22"/>
                <w:szCs w:val="22"/>
                <w:b w:val="1"/>
                <w:bCs w:val="1"/>
                <w:color w:val="auto"/>
                <w:w w:val="90"/>
              </w:rPr>
              <w:t>2nd Qtr.</w:t>
            </w:r>
          </w:p>
        </w:tc>
        <w:tc>
          <w:tcPr>
            <w:tcW w:w="180" w:type="dxa"/>
            <w:vAlign w:val="bottom"/>
          </w:tcPr>
          <w:p>
            <w:pPr>
              <w:spacing w:after="0"/>
              <w:rPr>
                <w:sz w:val="21"/>
                <w:szCs w:val="21"/>
                <w:color w:val="auto"/>
              </w:rPr>
            </w:pPr>
          </w:p>
        </w:tc>
        <w:tc>
          <w:tcPr>
            <w:tcW w:w="2420" w:type="dxa"/>
            <w:vAlign w:val="bottom"/>
            <w:gridSpan w:val="6"/>
          </w:tcPr>
          <w:p>
            <w:pPr>
              <w:jc w:val="right"/>
              <w:ind w:right="500"/>
              <w:spacing w:after="0"/>
              <w:rPr>
                <w:sz w:val="20"/>
                <w:szCs w:val="20"/>
                <w:color w:val="auto"/>
              </w:rPr>
            </w:pPr>
            <w:r>
              <w:rPr>
                <w:rFonts w:ascii="Arial" w:cs="Arial" w:eastAsia="Arial" w:hAnsi="Arial"/>
                <w:sz w:val="22"/>
                <w:szCs w:val="22"/>
                <w:b w:val="1"/>
                <w:bCs w:val="1"/>
                <w:color w:val="auto"/>
                <w:w w:val="99"/>
              </w:rPr>
              <w:t>Six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300"/>
              <w:spacing w:after="0" w:line="243" w:lineRule="exact"/>
              <w:rPr>
                <w:sz w:val="20"/>
                <w:szCs w:val="20"/>
                <w:color w:val="auto"/>
              </w:rPr>
            </w:pPr>
            <w:r>
              <w:rPr>
                <w:rFonts w:ascii="Arial" w:cs="Arial" w:eastAsia="Arial" w:hAnsi="Arial"/>
                <w:sz w:val="22"/>
                <w:szCs w:val="22"/>
                <w:b w:val="1"/>
                <w:bCs w:val="1"/>
                <w:color w:val="auto"/>
                <w:w w:val="94"/>
              </w:rPr>
              <w:t>Mar. 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300"/>
              <w:spacing w:after="0" w:line="243" w:lineRule="exact"/>
              <w:rPr>
                <w:sz w:val="20"/>
                <w:szCs w:val="20"/>
                <w:color w:val="auto"/>
              </w:rPr>
            </w:pPr>
            <w:r>
              <w:rPr>
                <w:rFonts w:ascii="Arial" w:cs="Arial" w:eastAsia="Arial" w:hAnsi="Arial"/>
                <w:sz w:val="22"/>
                <w:szCs w:val="22"/>
                <w:b w:val="1"/>
                <w:bCs w:val="1"/>
                <w:color w:val="auto"/>
                <w:w w:val="87"/>
              </w:rPr>
              <w:t>Dec. 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40"/>
              <w:spacing w:after="0" w:line="243" w:lineRule="exact"/>
              <w:rPr>
                <w:sz w:val="20"/>
                <w:szCs w:val="20"/>
                <w:color w:val="auto"/>
              </w:rPr>
            </w:pPr>
            <w:r>
              <w:rPr>
                <w:rFonts w:ascii="Arial" w:cs="Arial" w:eastAsia="Arial" w:hAnsi="Arial"/>
                <w:sz w:val="22"/>
                <w:szCs w:val="22"/>
                <w:b w:val="1"/>
                <w:bCs w:val="1"/>
                <w:color w:val="auto"/>
                <w:w w:val="94"/>
              </w:rPr>
              <w:t>Mar. 4,</w:t>
            </w:r>
          </w:p>
        </w:tc>
        <w:tc>
          <w:tcPr>
            <w:tcW w:w="180" w:type="dxa"/>
            <w:vAlign w:val="bottom"/>
          </w:tcPr>
          <w:p>
            <w:pPr>
              <w:spacing w:after="0"/>
              <w:rPr>
                <w:sz w:val="21"/>
                <w:szCs w:val="21"/>
                <w:color w:val="auto"/>
              </w:rPr>
            </w:pPr>
          </w:p>
        </w:tc>
        <w:tc>
          <w:tcPr>
            <w:tcW w:w="1100" w:type="dxa"/>
            <w:vAlign w:val="bottom"/>
            <w:gridSpan w:val="2"/>
          </w:tcPr>
          <w:p>
            <w:pPr>
              <w:jc w:val="center"/>
              <w:ind w:right="320"/>
              <w:spacing w:after="0" w:line="243" w:lineRule="exact"/>
              <w:rPr>
                <w:sz w:val="20"/>
                <w:szCs w:val="20"/>
                <w:color w:val="auto"/>
              </w:rPr>
            </w:pPr>
            <w:r>
              <w:rPr>
                <w:rFonts w:ascii="Arial" w:cs="Arial" w:eastAsia="Arial" w:hAnsi="Arial"/>
                <w:sz w:val="22"/>
                <w:szCs w:val="22"/>
                <w:b w:val="1"/>
                <w:bCs w:val="1"/>
                <w:color w:val="auto"/>
                <w:w w:val="94"/>
              </w:rPr>
              <w:t>Mar. 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340"/>
              <w:spacing w:after="0" w:line="243" w:lineRule="exact"/>
              <w:rPr>
                <w:sz w:val="20"/>
                <w:szCs w:val="20"/>
                <w:color w:val="auto"/>
              </w:rPr>
            </w:pPr>
            <w:r>
              <w:rPr>
                <w:rFonts w:ascii="Arial" w:cs="Arial" w:eastAsia="Arial" w:hAnsi="Arial"/>
                <w:sz w:val="22"/>
                <w:szCs w:val="22"/>
                <w:b w:val="1"/>
                <w:bCs w:val="1"/>
                <w:color w:val="auto"/>
              </w:rPr>
              <w:t>Mar. 4,</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5"/>
              </w:rPr>
              <w:t>2011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b w:val="1"/>
                <w:bCs w:val="1"/>
                <w:color w:val="auto"/>
                <w:w w:val="85"/>
              </w:rPr>
              <w:t>2010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b w:val="1"/>
                <w:bCs w:val="1"/>
                <w:color w:val="auto"/>
                <w:w w:val="89"/>
              </w:rPr>
              <w:t>2010</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sales</w:t>
            </w:r>
          </w:p>
        </w:tc>
        <w:tc>
          <w:tcPr>
            <w:tcW w:w="40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2,257</w:t>
            </w:r>
          </w:p>
        </w:tc>
        <w:tc>
          <w:tcPr>
            <w:tcW w:w="26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2,252</w:t>
            </w:r>
          </w:p>
        </w:tc>
        <w:tc>
          <w:tcPr>
            <w:tcW w:w="2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1,961</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4,509</w:t>
            </w:r>
          </w:p>
        </w:tc>
        <w:tc>
          <w:tcPr>
            <w:tcW w:w="2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3,701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Cost of goods sold</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1,822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1,728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1,319</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3,550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2,616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Gross margin</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435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524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642</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959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1,085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Selling, general and administrative</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140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100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286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Research and development</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186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185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148</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371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Other operating (income) expense (1)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(191)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(21)</w:t>
            </w: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(267)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Operating income</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179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390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415</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569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616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Interest income (expense), net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(30)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(44)</w:t>
            </w: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(51)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Other non-operating income (expense) (2)</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(114)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(114)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Income tax (provision) benefit (3)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(48)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(4)</w:t>
            </w: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(83)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Equity in net income (losses) of equity</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22"/>
                <w:szCs w:val="22"/>
                <w:color w:val="auto"/>
              </w:rPr>
              <w:t>method investees</w:t>
            </w:r>
          </w:p>
        </w:tc>
        <w:tc>
          <w:tcPr>
            <w:tcW w:w="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22"/>
                <w:szCs w:val="22"/>
                <w:color w:val="auto"/>
              </w:rPr>
              <w:t>(48)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(26)</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13</w:t>
            </w: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(74)</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line="222" w:lineRule="exact"/>
              <w:rPr>
                <w:sz w:val="20"/>
                <w:szCs w:val="20"/>
                <w:color w:val="auto"/>
              </w:rPr>
            </w:pPr>
            <w:r>
              <w:rPr>
                <w:rFonts w:ascii="Arial" w:cs="Arial" w:eastAsia="Arial" w:hAnsi="Arial"/>
                <w:sz w:val="22"/>
                <w:szCs w:val="22"/>
                <w:color w:val="auto"/>
                <w:w w:val="97"/>
              </w:rPr>
              <w:t>Net (income) loss attributable to noncontrolling</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440" w:type="dxa"/>
            <w:vAlign w:val="bottom"/>
          </w:tcPr>
          <w:p>
            <w:pPr>
              <w:ind w:left="160"/>
              <w:spacing w:after="0"/>
              <w:rPr>
                <w:sz w:val="20"/>
                <w:szCs w:val="20"/>
                <w:color w:val="auto"/>
              </w:rPr>
            </w:pPr>
            <w:r>
              <w:rPr>
                <w:rFonts w:ascii="Arial" w:cs="Arial" w:eastAsia="Arial" w:hAnsi="Arial"/>
                <w:sz w:val="22"/>
                <w:szCs w:val="22"/>
                <w:color w:val="auto"/>
              </w:rPr>
              <w:t>interests</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22"/>
                <w:szCs w:val="22"/>
                <w:color w:val="auto"/>
              </w:rPr>
              <w:t>(3)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22"/>
                <w:szCs w:val="22"/>
                <w:color w:val="auto"/>
              </w:rPr>
              <w:t>(17)</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22"/>
                <w:szCs w:val="22"/>
                <w:color w:val="auto"/>
              </w:rPr>
              <w:t>(14)</w:t>
            </w:r>
          </w:p>
        </w:tc>
        <w:tc>
          <w:tcPr>
            <w:tcW w:w="180" w:type="dxa"/>
            <w:vAlign w:val="bottom"/>
          </w:tcPr>
          <w:p>
            <w:pPr>
              <w:spacing w:after="0"/>
              <w:rPr>
                <w:sz w:val="23"/>
                <w:szCs w:val="23"/>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22"/>
                <w:szCs w:val="22"/>
                <w:color w:val="auto"/>
              </w:rPr>
              <w:t>(20)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vMerge w:val="continue"/>
          </w:tcPr>
          <w:p>
            <w:pPr>
              <w:spacing w:after="0"/>
              <w:rPr>
                <w:sz w:val="24"/>
                <w:szCs w:val="24"/>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income attributable to Micron</w:t>
            </w: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72</w:t>
            </w:r>
          </w:p>
        </w:tc>
        <w:tc>
          <w:tcPr>
            <w:tcW w:w="26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155</w:t>
            </w:r>
          </w:p>
        </w:tc>
        <w:tc>
          <w:tcPr>
            <w:tcW w:w="2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365</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227</w:t>
            </w:r>
          </w:p>
        </w:tc>
        <w:tc>
          <w:tcPr>
            <w:tcW w:w="2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569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Earnings per share:</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Basic</w:t>
            </w:r>
          </w:p>
        </w:tc>
        <w:tc>
          <w:tcPr>
            <w:tcW w:w="4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0.07</w:t>
            </w:r>
          </w:p>
        </w:tc>
        <w:tc>
          <w:tcPr>
            <w:tcW w:w="26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0.16</w:t>
            </w:r>
          </w:p>
        </w:tc>
        <w:tc>
          <w:tcPr>
            <w:tcW w:w="22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0.43</w:t>
            </w:r>
          </w:p>
        </w:tc>
        <w:tc>
          <w:tcPr>
            <w:tcW w:w="200" w:type="dxa"/>
            <w:vAlign w:val="bottom"/>
          </w:tcPr>
          <w:p>
            <w:pPr>
              <w:spacing w:after="0"/>
              <w:rPr>
                <w:sz w:val="21"/>
                <w:szCs w:val="21"/>
                <w:color w:val="auto"/>
              </w:rPr>
            </w:pPr>
          </w:p>
        </w:tc>
        <w:tc>
          <w:tcPr>
            <w:tcW w:w="18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0.23</w:t>
            </w:r>
          </w:p>
        </w:tc>
        <w:tc>
          <w:tcPr>
            <w:tcW w:w="2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0.67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Diluted</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0.07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0.15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0.39</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0.22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0.61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w w:val="92"/>
              </w:rPr>
              <w:t>Number of shares used in per share calculations:</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tcPr>
          <w:p>
            <w:pPr>
              <w:spacing w:after="0" w:line="243" w:lineRule="exact"/>
              <w:rPr>
                <w:sz w:val="20"/>
                <w:szCs w:val="20"/>
                <w:color w:val="auto"/>
              </w:rPr>
            </w:pPr>
            <w:r>
              <w:rPr>
                <w:rFonts w:ascii="Arial" w:cs="Arial" w:eastAsia="Arial" w:hAnsi="Arial"/>
                <w:sz w:val="22"/>
                <w:szCs w:val="22"/>
                <w:color w:val="auto"/>
              </w:rPr>
              <w:t>Basic</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988.1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972.9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847.6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980.5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847.0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Diluted</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1,037.3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1,031.3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1,005.3</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1,034.5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1,003.1</w:t>
            </w:r>
          </w:p>
        </w:tc>
        <w:tc>
          <w:tcPr>
            <w:tcW w:w="0" w:type="dxa"/>
            <w:vAlign w:val="bottom"/>
          </w:tcPr>
          <w:p>
            <w:pPr>
              <w:spacing w:after="0"/>
              <w:rPr>
                <w:sz w:val="1"/>
                <w:szCs w:val="1"/>
                <w:color w:val="auto"/>
              </w:rPr>
            </w:pPr>
          </w:p>
        </w:tc>
      </w:tr>
      <w:tr>
        <w:trPr>
          <w:trHeight w:val="902"/>
        </w:trPr>
        <w:tc>
          <w:tcPr>
            <w:tcW w:w="20" w:type="dxa"/>
            <w:vAlign w:val="bottom"/>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81"/>
        </w:trPr>
        <w:tc>
          <w:tcPr>
            <w:tcW w:w="7440" w:type="dxa"/>
            <w:vAlign w:val="bottom"/>
            <w:gridSpan w:val="2"/>
          </w:tcPr>
          <w:p>
            <w:pPr>
              <w:spacing w:after="0"/>
              <w:rPr>
                <w:sz w:val="20"/>
                <w:szCs w:val="20"/>
                <w:color w:val="auto"/>
              </w:rPr>
            </w:pPr>
            <w:r>
              <w:rPr>
                <w:rFonts w:ascii="Arial" w:cs="Arial" w:eastAsia="Arial" w:hAnsi="Arial"/>
                <w:sz w:val="22"/>
                <w:szCs w:val="22"/>
                <w:b w:val="1"/>
                <w:bCs w:val="1"/>
                <w:color w:val="auto"/>
              </w:rPr>
              <w:t>CONSOLIDATED FINANCIAL SUMMARY, Continued</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22"/>
                <w:szCs w:val="22"/>
                <w:b w:val="1"/>
                <w:bCs w:val="1"/>
                <w:color w:val="auto"/>
                <w:w w:val="87"/>
              </w:rPr>
              <w:t>As of</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ind w:left="60"/>
              <w:spacing w:after="0" w:line="243" w:lineRule="exact"/>
              <w:rPr>
                <w:sz w:val="20"/>
                <w:szCs w:val="20"/>
                <w:color w:val="auto"/>
              </w:rPr>
            </w:pPr>
            <w:r>
              <w:rPr>
                <w:rFonts w:ascii="Arial" w:cs="Arial" w:eastAsia="Arial" w:hAnsi="Arial"/>
                <w:sz w:val="22"/>
                <w:szCs w:val="22"/>
                <w:b w:val="1"/>
                <w:bCs w:val="1"/>
                <w:color w:val="auto"/>
              </w:rPr>
              <w:t>Mar. 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center"/>
              <w:ind w:right="340"/>
              <w:spacing w:after="0" w:line="243" w:lineRule="exact"/>
              <w:rPr>
                <w:sz w:val="20"/>
                <w:szCs w:val="20"/>
                <w:color w:val="auto"/>
              </w:rPr>
            </w:pPr>
            <w:r>
              <w:rPr>
                <w:rFonts w:ascii="Arial" w:cs="Arial" w:eastAsia="Arial" w:hAnsi="Arial"/>
                <w:sz w:val="22"/>
                <w:szCs w:val="22"/>
                <w:b w:val="1"/>
                <w:bCs w:val="1"/>
                <w:color w:val="auto"/>
                <w:w w:val="87"/>
              </w:rPr>
              <w:t>Dec. 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center"/>
              <w:ind w:right="300"/>
              <w:spacing w:after="0" w:line="243" w:lineRule="exact"/>
              <w:rPr>
                <w:sz w:val="20"/>
                <w:szCs w:val="20"/>
                <w:color w:val="auto"/>
              </w:rPr>
            </w:pPr>
            <w:r>
              <w:rPr>
                <w:rFonts w:ascii="Arial" w:cs="Arial" w:eastAsia="Arial" w:hAnsi="Arial"/>
                <w:sz w:val="22"/>
                <w:szCs w:val="22"/>
                <w:b w:val="1"/>
                <w:bCs w:val="1"/>
                <w:color w:val="auto"/>
                <w:w w:val="84"/>
              </w:rPr>
              <w:t>Sep. 2,</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center"/>
              <w:ind w:right="72"/>
              <w:spacing w:after="0"/>
              <w:rPr>
                <w:sz w:val="20"/>
                <w:szCs w:val="20"/>
                <w:color w:val="auto"/>
              </w:rPr>
            </w:pPr>
            <w:r>
              <w:rPr>
                <w:rFonts w:ascii="Arial" w:cs="Arial" w:eastAsia="Arial" w:hAnsi="Arial"/>
                <w:sz w:val="22"/>
                <w:szCs w:val="22"/>
                <w:b w:val="1"/>
                <w:bCs w:val="1"/>
                <w:color w:val="auto"/>
                <w:w w:val="89"/>
              </w:rPr>
              <w:t>2010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92"/>
              <w:spacing w:after="0"/>
              <w:rPr>
                <w:sz w:val="20"/>
                <w:szCs w:val="20"/>
                <w:color w:val="auto"/>
              </w:rPr>
            </w:pPr>
            <w:r>
              <w:rPr>
                <w:rFonts w:ascii="Arial" w:cs="Arial" w:eastAsia="Arial" w:hAnsi="Arial"/>
                <w:sz w:val="22"/>
                <w:szCs w:val="22"/>
                <w:b w:val="1"/>
                <w:bCs w:val="1"/>
                <w:color w:val="auto"/>
                <w:w w:val="89"/>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Cash and short-term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2,184</w:t>
            </w:r>
          </w:p>
        </w:tc>
        <w:tc>
          <w:tcPr>
            <w:tcW w:w="32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2,411</w:t>
            </w:r>
          </w:p>
        </w:tc>
        <w:tc>
          <w:tcPr>
            <w:tcW w:w="2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2,913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Receivables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1,393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1,362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1,531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Inventories</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1,957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1,892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1,770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Total current assets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5,654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5,783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6,333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Property, plant and equipment</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7,055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7,044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6,601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Total assets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14,398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14,617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14,693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Accounts payable and accrued expenses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1,815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1,823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1,509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Current portion of long-term debt</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420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468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Total current liabilities</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2,590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2,758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2,702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Long-term debt (2)</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1,320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1,348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1,648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Total Micron shareholders’ equity</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8,462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8,226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8,020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Noncontrolling interests in subsidiaries (4)</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1,500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1,768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1,796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Total equity</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9,962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9,994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9,816</w:t>
            </w: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6"/>
          </w:tcPr>
          <w:p>
            <w:pPr>
              <w:jc w:val="right"/>
              <w:ind w:right="480"/>
              <w:spacing w:after="0"/>
              <w:rPr>
                <w:sz w:val="20"/>
                <w:szCs w:val="20"/>
                <w:color w:val="auto"/>
              </w:rPr>
            </w:pPr>
            <w:r>
              <w:rPr>
                <w:rFonts w:ascii="Arial" w:cs="Arial" w:eastAsia="Arial" w:hAnsi="Arial"/>
                <w:sz w:val="22"/>
                <w:szCs w:val="22"/>
                <w:b w:val="1"/>
                <w:bCs w:val="1"/>
                <w:color w:val="auto"/>
                <w:w w:val="99"/>
              </w:rPr>
              <w:t>Six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center"/>
              <w:ind w:right="280"/>
              <w:spacing w:after="0" w:line="243" w:lineRule="exact"/>
              <w:rPr>
                <w:sz w:val="20"/>
                <w:szCs w:val="20"/>
                <w:color w:val="auto"/>
              </w:rPr>
            </w:pPr>
            <w:r>
              <w:rPr>
                <w:rFonts w:ascii="Arial" w:cs="Arial" w:eastAsia="Arial" w:hAnsi="Arial"/>
                <w:sz w:val="22"/>
                <w:szCs w:val="22"/>
                <w:b w:val="1"/>
                <w:bCs w:val="1"/>
                <w:color w:val="auto"/>
                <w:w w:val="91"/>
              </w:rPr>
              <w:t>Mar. 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center"/>
              <w:ind w:right="280"/>
              <w:spacing w:after="0" w:line="243" w:lineRule="exact"/>
              <w:rPr>
                <w:sz w:val="20"/>
                <w:szCs w:val="20"/>
                <w:color w:val="auto"/>
              </w:rPr>
            </w:pPr>
            <w:r>
              <w:rPr>
                <w:rFonts w:ascii="Arial" w:cs="Arial" w:eastAsia="Arial" w:hAnsi="Arial"/>
                <w:sz w:val="22"/>
                <w:szCs w:val="22"/>
                <w:b w:val="1"/>
                <w:bCs w:val="1"/>
                <w:color w:val="auto"/>
                <w:w w:val="94"/>
              </w:rPr>
              <w:t>Mar. 4,</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9"/>
              </w:rPr>
              <w:t>2011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92"/>
              <w:spacing w:after="0"/>
              <w:rPr>
                <w:sz w:val="20"/>
                <w:szCs w:val="20"/>
                <w:color w:val="auto"/>
              </w:rPr>
            </w:pPr>
            <w:r>
              <w:rPr>
                <w:rFonts w:ascii="Arial" w:cs="Arial" w:eastAsia="Arial" w:hAnsi="Arial"/>
                <w:sz w:val="22"/>
                <w:szCs w:val="22"/>
                <w:b w:val="1"/>
                <w:bCs w:val="1"/>
                <w:color w:val="auto"/>
                <w:w w:val="89"/>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cash provided by operating activities</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1,541</w:t>
            </w:r>
          </w:p>
        </w:tc>
        <w:tc>
          <w:tcPr>
            <w:tcW w:w="2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1,130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Net cash used for investing activities</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(1,238)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cash used for financing activities</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(1,032)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(482)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Depreciation and amortization</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1,033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977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Expenditures for property, plant and equipment</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(1,189)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Payments on equipment purchase contracts</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(221)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Net distributions to noncontrolling interests</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(95)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vMerge w:val="continue"/>
          </w:tcPr>
          <w:p>
            <w:pPr>
              <w:spacing w:after="0"/>
              <w:rPr>
                <w:sz w:val="23"/>
                <w:szCs w:val="23"/>
                <w:color w:val="auto"/>
              </w:rPr>
            </w:pPr>
          </w:p>
        </w:tc>
        <w:tc>
          <w:tcPr>
            <w:tcW w:w="7420" w:type="dxa"/>
            <w:vAlign w:val="bottom"/>
          </w:tcPr>
          <w:p>
            <w:pPr>
              <w:spacing w:after="0"/>
              <w:rPr>
                <w:sz w:val="20"/>
                <w:szCs w:val="20"/>
                <w:color w:val="auto"/>
              </w:rPr>
            </w:pPr>
            <w:r>
              <w:rPr>
                <w:rFonts w:ascii="Arial" w:cs="Arial" w:eastAsia="Arial" w:hAnsi="Arial"/>
                <w:sz w:val="22"/>
                <w:szCs w:val="22"/>
                <w:color w:val="auto"/>
              </w:rPr>
              <w:t>Noncash equipment acquisitions on contracts payable and capital leases</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22"/>
                <w:szCs w:val="22"/>
                <w:color w:val="auto"/>
              </w:rPr>
              <w:t>187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22"/>
                <w:szCs w:val="22"/>
                <w:color w:val="auto"/>
              </w:rPr>
              <w:t>232</w:t>
            </w:r>
          </w:p>
        </w:tc>
        <w:tc>
          <w:tcPr>
            <w:tcW w:w="0" w:type="dxa"/>
            <w:vAlign w:val="bottom"/>
          </w:tcPr>
          <w:p>
            <w:pPr>
              <w:spacing w:after="0"/>
              <w:rPr>
                <w:sz w:val="1"/>
                <w:szCs w:val="1"/>
                <w:color w:val="auto"/>
              </w:rPr>
            </w:pPr>
          </w:p>
        </w:tc>
      </w:tr>
      <w:tr>
        <w:trPr>
          <w:trHeight w:val="1356"/>
        </w:trPr>
        <w:tc>
          <w:tcPr>
            <w:tcW w:w="20" w:type="dxa"/>
            <w:vAlign w:val="bottom"/>
            <w:tcBorders>
              <w:bottom w:val="single" w:sz="8" w:color="808080"/>
            </w:tcBorders>
          </w:tcPr>
          <w:p>
            <w:pPr>
              <w:spacing w:after="0"/>
              <w:rPr>
                <w:sz w:val="24"/>
                <w:szCs w:val="24"/>
                <w:color w:val="auto"/>
              </w:rPr>
            </w:pPr>
          </w:p>
        </w:tc>
        <w:tc>
          <w:tcPr>
            <w:tcW w:w="74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8" w:name="page9"/>
    <w:bookmarkEnd w:id="8"/>
    <w:p>
      <w:pPr>
        <w:ind w:left="20"/>
        <w:spacing w:after="0"/>
        <w:rPr>
          <w:sz w:val="20"/>
          <w:szCs w:val="20"/>
          <w:color w:val="auto"/>
        </w:rPr>
      </w:pPr>
      <w:r>
        <w:rPr>
          <w:rFonts w:ascii="Arial" w:cs="Arial" w:eastAsia="Arial" w:hAnsi="Arial"/>
          <w:sz w:val="22"/>
          <w:szCs w:val="22"/>
          <w:color w:val="auto"/>
        </w:rPr>
        <w:t>(1) Other operating (income) expense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22"/>
                <w:szCs w:val="22"/>
                <w:b w:val="1"/>
                <w:bCs w:val="1"/>
                <w:color w:val="auto"/>
                <w:w w:val="92"/>
              </w:rPr>
              <w:t>2nd Qtr.</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22"/>
                <w:szCs w:val="22"/>
                <w:b w:val="1"/>
                <w:bCs w:val="1"/>
                <w:color w:val="auto"/>
                <w:w w:val="90"/>
              </w:rPr>
              <w:t>1st Qtr.</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22"/>
                <w:szCs w:val="22"/>
                <w:b w:val="1"/>
                <w:bCs w:val="1"/>
                <w:color w:val="auto"/>
                <w:w w:val="90"/>
              </w:rPr>
              <w:t>2nd Qtr.</w:t>
            </w:r>
          </w:p>
        </w:tc>
        <w:tc>
          <w:tcPr>
            <w:tcW w:w="180" w:type="dxa"/>
            <w:vAlign w:val="bottom"/>
          </w:tcPr>
          <w:p>
            <w:pPr>
              <w:spacing w:after="0"/>
              <w:rPr>
                <w:sz w:val="21"/>
                <w:szCs w:val="21"/>
                <w:color w:val="auto"/>
              </w:rPr>
            </w:pPr>
          </w:p>
        </w:tc>
        <w:tc>
          <w:tcPr>
            <w:tcW w:w="2420" w:type="dxa"/>
            <w:vAlign w:val="bottom"/>
            <w:gridSpan w:val="6"/>
          </w:tcPr>
          <w:p>
            <w:pPr>
              <w:jc w:val="right"/>
              <w:ind w:right="500"/>
              <w:spacing w:after="0"/>
              <w:rPr>
                <w:sz w:val="20"/>
                <w:szCs w:val="20"/>
                <w:color w:val="auto"/>
              </w:rPr>
            </w:pPr>
            <w:r>
              <w:rPr>
                <w:rFonts w:ascii="Arial" w:cs="Arial" w:eastAsia="Arial" w:hAnsi="Arial"/>
                <w:sz w:val="22"/>
                <w:szCs w:val="22"/>
                <w:b w:val="1"/>
                <w:bCs w:val="1"/>
                <w:color w:val="auto"/>
                <w:w w:val="99"/>
              </w:rPr>
              <w:t>Six Months Ended</w:t>
            </w:r>
          </w:p>
        </w:tc>
      </w:tr>
      <w:tr>
        <w:trPr>
          <w:trHeight w:val="243"/>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center"/>
              <w:ind w:right="300"/>
              <w:spacing w:after="0" w:line="243" w:lineRule="exact"/>
              <w:rPr>
                <w:sz w:val="20"/>
                <w:szCs w:val="20"/>
                <w:color w:val="auto"/>
              </w:rPr>
            </w:pPr>
            <w:r>
              <w:rPr>
                <w:rFonts w:ascii="Arial" w:cs="Arial" w:eastAsia="Arial" w:hAnsi="Arial"/>
                <w:sz w:val="22"/>
                <w:szCs w:val="22"/>
                <w:b w:val="1"/>
                <w:bCs w:val="1"/>
                <w:color w:val="auto"/>
                <w:w w:val="94"/>
              </w:rPr>
              <w:t>Mar. 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center"/>
              <w:ind w:right="300"/>
              <w:spacing w:after="0" w:line="243" w:lineRule="exact"/>
              <w:rPr>
                <w:sz w:val="20"/>
                <w:szCs w:val="20"/>
                <w:color w:val="auto"/>
              </w:rPr>
            </w:pPr>
            <w:r>
              <w:rPr>
                <w:rFonts w:ascii="Arial" w:cs="Arial" w:eastAsia="Arial" w:hAnsi="Arial"/>
                <w:sz w:val="22"/>
                <w:szCs w:val="22"/>
                <w:b w:val="1"/>
                <w:bCs w:val="1"/>
                <w:color w:val="auto"/>
                <w:w w:val="87"/>
              </w:rPr>
              <w:t>Dec. 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40"/>
              <w:spacing w:after="0" w:line="243" w:lineRule="exact"/>
              <w:rPr>
                <w:sz w:val="20"/>
                <w:szCs w:val="20"/>
                <w:color w:val="auto"/>
              </w:rPr>
            </w:pPr>
            <w:r>
              <w:rPr>
                <w:rFonts w:ascii="Arial" w:cs="Arial" w:eastAsia="Arial" w:hAnsi="Arial"/>
                <w:sz w:val="22"/>
                <w:szCs w:val="22"/>
                <w:b w:val="1"/>
                <w:bCs w:val="1"/>
                <w:color w:val="auto"/>
                <w:w w:val="94"/>
              </w:rPr>
              <w:t>Mar. 4,</w:t>
            </w:r>
          </w:p>
        </w:tc>
        <w:tc>
          <w:tcPr>
            <w:tcW w:w="180" w:type="dxa"/>
            <w:vAlign w:val="bottom"/>
          </w:tcPr>
          <w:p>
            <w:pPr>
              <w:spacing w:after="0"/>
              <w:rPr>
                <w:sz w:val="21"/>
                <w:szCs w:val="21"/>
                <w:color w:val="auto"/>
              </w:rPr>
            </w:pPr>
          </w:p>
        </w:tc>
        <w:tc>
          <w:tcPr>
            <w:tcW w:w="1100" w:type="dxa"/>
            <w:vAlign w:val="bottom"/>
            <w:gridSpan w:val="2"/>
          </w:tcPr>
          <w:p>
            <w:pPr>
              <w:jc w:val="center"/>
              <w:ind w:right="320"/>
              <w:spacing w:after="0" w:line="243" w:lineRule="exact"/>
              <w:rPr>
                <w:sz w:val="20"/>
                <w:szCs w:val="20"/>
                <w:color w:val="auto"/>
              </w:rPr>
            </w:pPr>
            <w:r>
              <w:rPr>
                <w:rFonts w:ascii="Arial" w:cs="Arial" w:eastAsia="Arial" w:hAnsi="Arial"/>
                <w:sz w:val="22"/>
                <w:szCs w:val="22"/>
                <w:b w:val="1"/>
                <w:bCs w:val="1"/>
                <w:color w:val="auto"/>
                <w:w w:val="94"/>
              </w:rPr>
              <w:t>Mar. 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340"/>
              <w:spacing w:after="0" w:line="243" w:lineRule="exact"/>
              <w:rPr>
                <w:sz w:val="20"/>
                <w:szCs w:val="20"/>
                <w:color w:val="auto"/>
              </w:rPr>
            </w:pPr>
            <w:r>
              <w:rPr>
                <w:rFonts w:ascii="Arial" w:cs="Arial" w:eastAsia="Arial" w:hAnsi="Arial"/>
                <w:sz w:val="22"/>
                <w:szCs w:val="22"/>
                <w:b w:val="1"/>
                <w:bCs w:val="1"/>
                <w:color w:val="auto"/>
              </w:rPr>
              <w:t>Mar. 4,</w:t>
            </w:r>
          </w:p>
        </w:tc>
      </w:tr>
      <w:tr>
        <w:trPr>
          <w:trHeight w:val="278"/>
        </w:trPr>
        <w:tc>
          <w:tcPr>
            <w:tcW w:w="4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5"/>
              </w:rPr>
              <w:t>2011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b w:val="1"/>
                <w:bCs w:val="1"/>
                <w:color w:val="auto"/>
                <w:w w:val="85"/>
              </w:rPr>
              <w:t>2010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b w:val="1"/>
                <w:bCs w:val="1"/>
                <w:color w:val="auto"/>
                <w:w w:val="89"/>
              </w:rPr>
              <w:t>2010</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2010</w:t>
            </w:r>
          </w:p>
        </w:tc>
        <w:tc>
          <w:tcPr>
            <w:tcW w:w="100" w:type="dxa"/>
            <w:vAlign w:val="bottom"/>
          </w:tcPr>
          <w:p>
            <w:pPr>
              <w:spacing w:after="0"/>
              <w:rPr>
                <w:sz w:val="24"/>
                <w:szCs w:val="24"/>
                <w:color w:val="auto"/>
              </w:rPr>
            </w:pPr>
          </w:p>
        </w:tc>
      </w:tr>
      <w:tr>
        <w:trPr>
          <w:trHeight w:val="216"/>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00" w:type="dxa"/>
            <w:vAlign w:val="bottom"/>
            <w:shd w:val="clear" w:color="auto" w:fill="CCEEFF"/>
          </w:tcPr>
          <w:p>
            <w:pPr>
              <w:ind w:left="340"/>
              <w:spacing w:after="0" w:line="243" w:lineRule="exact"/>
              <w:rPr>
                <w:sz w:val="20"/>
                <w:szCs w:val="20"/>
                <w:color w:val="auto"/>
              </w:rPr>
            </w:pPr>
            <w:r>
              <w:rPr>
                <w:rFonts w:ascii="Arial" w:cs="Arial" w:eastAsia="Arial" w:hAnsi="Arial"/>
                <w:sz w:val="22"/>
                <w:szCs w:val="22"/>
                <w:color w:val="auto"/>
              </w:rPr>
              <w:t>Samsung patent cross-license agreement</w:t>
            </w:r>
          </w:p>
        </w:tc>
        <w:tc>
          <w:tcPr>
            <w:tcW w:w="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(40)</w:t>
            </w:r>
          </w:p>
        </w:tc>
        <w:tc>
          <w:tcPr>
            <w:tcW w:w="26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12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(200)</w:t>
            </w:r>
          </w:p>
        </w:tc>
        <w:tc>
          <w:tcPr>
            <w:tcW w:w="22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(240)</w:t>
            </w:r>
          </w:p>
        </w:tc>
        <w:tc>
          <w:tcPr>
            <w:tcW w:w="2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43"/>
        </w:trPr>
        <w:tc>
          <w:tcPr>
            <w:tcW w:w="4700" w:type="dxa"/>
            <w:vAlign w:val="bottom"/>
          </w:tcPr>
          <w:p>
            <w:pPr>
              <w:ind w:left="340"/>
              <w:spacing w:after="0" w:line="243" w:lineRule="exact"/>
              <w:rPr>
                <w:sz w:val="20"/>
                <w:szCs w:val="20"/>
                <w:color w:val="auto"/>
              </w:rPr>
            </w:pPr>
            <w:r>
              <w:rPr>
                <w:rFonts w:ascii="Arial" w:cs="Arial" w:eastAsia="Arial" w:hAnsi="Arial"/>
                <w:sz w:val="22"/>
                <w:szCs w:val="22"/>
                <w:color w:val="auto"/>
              </w:rPr>
              <w:t>Restructure</w:t>
            </w:r>
          </w:p>
        </w:tc>
        <w:tc>
          <w:tcPr>
            <w:tcW w:w="160" w:type="dxa"/>
            <w:vAlign w:val="bottom"/>
          </w:tcPr>
          <w:p>
            <w:pPr>
              <w:spacing w:after="0"/>
              <w:rPr>
                <w:sz w:val="21"/>
                <w:szCs w:val="21"/>
                <w:color w:val="auto"/>
              </w:rPr>
            </w:pPr>
          </w:p>
        </w:tc>
        <w:tc>
          <w:tcPr>
            <w:tcW w:w="11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w:t>
            </w: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w:t>
            </w:r>
          </w:p>
        </w:tc>
      </w:tr>
      <w:tr>
        <w:trPr>
          <w:trHeight w:val="222"/>
        </w:trPr>
        <w:tc>
          <w:tcPr>
            <w:tcW w:w="4700" w:type="dxa"/>
            <w:vAlign w:val="bottom"/>
            <w:shd w:val="clear" w:color="auto" w:fill="CCEEFF"/>
          </w:tcPr>
          <w:p>
            <w:pPr>
              <w:ind w:left="340"/>
              <w:spacing w:after="0" w:line="222" w:lineRule="exact"/>
              <w:rPr>
                <w:sz w:val="20"/>
                <w:szCs w:val="20"/>
                <w:color w:val="auto"/>
              </w:rPr>
            </w:pPr>
            <w:r>
              <w:rPr>
                <w:rFonts w:ascii="Arial" w:cs="Arial" w:eastAsia="Arial" w:hAnsi="Arial"/>
                <w:sz w:val="22"/>
                <w:szCs w:val="22"/>
                <w:color w:val="auto"/>
                <w:w w:val="98"/>
              </w:rPr>
              <w:t>(Gains) losses on disposals of property, plant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5"/>
        </w:trPr>
        <w:tc>
          <w:tcPr>
            <w:tcW w:w="4700" w:type="dxa"/>
            <w:vAlign w:val="bottom"/>
            <w:shd w:val="clear" w:color="auto" w:fill="CCEEFF"/>
          </w:tcPr>
          <w:p>
            <w:pPr>
              <w:ind w:left="500"/>
              <w:spacing w:after="0"/>
              <w:rPr>
                <w:sz w:val="20"/>
                <w:szCs w:val="20"/>
                <w:color w:val="auto"/>
              </w:rPr>
            </w:pPr>
            <w:r>
              <w:rPr>
                <w:rFonts w:ascii="Arial" w:cs="Arial" w:eastAsia="Arial" w:hAnsi="Arial"/>
                <w:sz w:val="22"/>
                <w:szCs w:val="22"/>
                <w:color w:val="auto"/>
              </w:rPr>
              <w:t>and equipment</w:t>
            </w: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22"/>
                <w:szCs w:val="22"/>
                <w:color w:val="auto"/>
              </w:rPr>
              <w:t>(16)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2"/>
                <w:szCs w:val="22"/>
                <w:color w:val="auto"/>
              </w:rPr>
              <w:t>--</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22"/>
                <w:szCs w:val="22"/>
                <w:color w:val="auto"/>
              </w:rPr>
              <w:t>(7)</w:t>
            </w: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22"/>
                <w:szCs w:val="22"/>
                <w:color w:val="auto"/>
              </w:rPr>
              <w:t>(16)</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22"/>
                <w:szCs w:val="22"/>
                <w:color w:val="auto"/>
              </w:rPr>
              <w:t>(9)</w:t>
            </w:r>
          </w:p>
        </w:tc>
      </w:tr>
      <w:tr>
        <w:trPr>
          <w:trHeight w:val="222"/>
        </w:trPr>
        <w:tc>
          <w:tcPr>
            <w:tcW w:w="4700" w:type="dxa"/>
            <w:vAlign w:val="bottom"/>
          </w:tcPr>
          <w:p>
            <w:pPr>
              <w:ind w:left="340"/>
              <w:spacing w:after="0" w:line="222" w:lineRule="exact"/>
              <w:rPr>
                <w:sz w:val="20"/>
                <w:szCs w:val="20"/>
                <w:color w:val="auto"/>
              </w:rPr>
            </w:pPr>
            <w:r>
              <w:rPr>
                <w:rFonts w:ascii="Arial" w:cs="Arial" w:eastAsia="Arial" w:hAnsi="Arial"/>
                <w:sz w:val="22"/>
                <w:szCs w:val="22"/>
                <w:color w:val="auto"/>
              </w:rPr>
              <w:t>(Gains) losses from changes in currency</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5"/>
        </w:trPr>
        <w:tc>
          <w:tcPr>
            <w:tcW w:w="4700" w:type="dxa"/>
            <w:vAlign w:val="bottom"/>
          </w:tcPr>
          <w:p>
            <w:pPr>
              <w:ind w:left="500"/>
              <w:spacing w:after="0"/>
              <w:rPr>
                <w:sz w:val="20"/>
                <w:szCs w:val="20"/>
                <w:color w:val="auto"/>
              </w:rPr>
            </w:pPr>
            <w:r>
              <w:rPr>
                <w:rFonts w:ascii="Arial" w:cs="Arial" w:eastAsia="Arial" w:hAnsi="Arial"/>
                <w:sz w:val="22"/>
                <w:szCs w:val="22"/>
                <w:color w:val="auto"/>
              </w:rPr>
              <w:t>exchange rates</w:t>
            </w:r>
          </w:p>
        </w:tc>
        <w:tc>
          <w:tcPr>
            <w:tcW w:w="1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22"/>
                <w:szCs w:val="22"/>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2"/>
                <w:szCs w:val="22"/>
                <w:color w:val="auto"/>
              </w:rPr>
              <w:t>7</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22"/>
                <w:szCs w:val="22"/>
                <w:color w:val="auto"/>
              </w:rPr>
              <w:t>(2)</w:t>
            </w:r>
          </w:p>
        </w:tc>
        <w:tc>
          <w:tcPr>
            <w:tcW w:w="18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22"/>
                <w:szCs w:val="22"/>
                <w:color w:val="auto"/>
              </w:rPr>
              <w:t>7</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22"/>
                <w:szCs w:val="22"/>
                <w:color w:val="auto"/>
              </w:rPr>
              <w:t>19</w:t>
            </w:r>
          </w:p>
        </w:tc>
      </w:tr>
      <w:tr>
        <w:trPr>
          <w:trHeight w:val="243"/>
        </w:trPr>
        <w:tc>
          <w:tcPr>
            <w:tcW w:w="4700" w:type="dxa"/>
            <w:vAlign w:val="bottom"/>
            <w:shd w:val="clear" w:color="auto" w:fill="CCEEFF"/>
          </w:tcPr>
          <w:p>
            <w:pPr>
              <w:ind w:left="340"/>
              <w:spacing w:after="0" w:line="243" w:lineRule="exact"/>
              <w:rPr>
                <w:sz w:val="20"/>
                <w:szCs w:val="20"/>
                <w:color w:val="auto"/>
              </w:rPr>
            </w:pPr>
            <w:r>
              <w:rPr>
                <w:rFonts w:ascii="Arial" w:cs="Arial" w:eastAsia="Arial" w:hAnsi="Arial"/>
                <w:sz w:val="22"/>
                <w:szCs w:val="22"/>
                <w:color w:val="auto"/>
              </w:rPr>
              <w:t>Other</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(11)</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(21)</w:t>
            </w: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43"/>
        </w:trPr>
        <w:tc>
          <w:tcPr>
            <w:tcW w:w="4700" w:type="dxa"/>
            <w:vAlign w:val="bottom"/>
          </w:tcPr>
          <w:p>
            <w:pPr>
              <w:spacing w:after="0"/>
              <w:rPr>
                <w:sz w:val="21"/>
                <w:szCs w:val="21"/>
                <w:color w:val="auto"/>
              </w:rPr>
            </w:pPr>
          </w:p>
        </w:tc>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1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(76)</w:t>
            </w:r>
          </w:p>
        </w:tc>
        <w:tc>
          <w:tcPr>
            <w:tcW w:w="26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1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(191)</w:t>
            </w:r>
          </w:p>
        </w:tc>
        <w:tc>
          <w:tcPr>
            <w:tcW w:w="22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w:t>
            </w:r>
          </w:p>
        </w:tc>
        <w:tc>
          <w:tcPr>
            <w:tcW w:w="12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(21)</w:t>
            </w:r>
          </w:p>
        </w:tc>
        <w:tc>
          <w:tcPr>
            <w:tcW w:w="18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(267)</w:t>
            </w:r>
          </w:p>
        </w:tc>
        <w:tc>
          <w:tcPr>
            <w:tcW w:w="2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(13)</w:t>
            </w:r>
          </w:p>
        </w:tc>
      </w:tr>
      <w:tr>
        <w:trPr>
          <w:trHeight w:val="21"/>
        </w:trPr>
        <w:tc>
          <w:tcPr>
            <w:tcW w:w="4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340" w:right="100"/>
        <w:spacing w:after="0" w:line="287" w:lineRule="auto"/>
        <w:rPr>
          <w:sz w:val="20"/>
          <w:szCs w:val="20"/>
          <w:color w:val="auto"/>
        </w:rPr>
      </w:pPr>
      <w:r>
        <w:rPr>
          <w:rFonts w:ascii="Arial" w:cs="Arial" w:eastAsia="Arial" w:hAnsi="Arial"/>
          <w:sz w:val="19"/>
          <w:szCs w:val="19"/>
          <w:color w:val="auto"/>
        </w:rPr>
        <w:t>In the first quarter of fiscal 2011, the company entered into a 10-year patent cross-license agreement with Samsung Electronics Co. Ltd. (“Samsung”). Under the agreement, Samsung agreed to pay the company $275 million, of which $200 million was paid on October 8, 2010, $40 million was paid on January 28, 2011, and $35 million is due March 31, 2011. The license is a life-of-patents license for existing patents and applications, and a 10-year term license for all other patents.</w:t>
      </w:r>
    </w:p>
    <w:p>
      <w:pPr>
        <w:spacing w:after="0" w:line="170" w:lineRule="exact"/>
        <w:rPr>
          <w:sz w:val="20"/>
          <w:szCs w:val="20"/>
          <w:color w:val="auto"/>
        </w:rPr>
      </w:pPr>
    </w:p>
    <w:p>
      <w:pPr>
        <w:ind w:left="340" w:right="580"/>
        <w:spacing w:after="0" w:line="251" w:lineRule="auto"/>
        <w:rPr>
          <w:sz w:val="20"/>
          <w:szCs w:val="20"/>
          <w:color w:val="auto"/>
        </w:rPr>
      </w:pPr>
      <w:r>
        <w:rPr>
          <w:rFonts w:ascii="Arial" w:cs="Arial" w:eastAsia="Arial" w:hAnsi="Arial"/>
          <w:sz w:val="22"/>
          <w:szCs w:val="22"/>
          <w:color w:val="auto"/>
        </w:rPr>
        <w:t>Other operating income in the second quarter of fiscal 2010 included $11 million of receipts from the U.S. government in connection with anti-dumping tariffs.</w:t>
      </w:r>
    </w:p>
    <w:p>
      <w:pPr>
        <w:spacing w:after="0" w:line="200" w:lineRule="exact"/>
        <w:rPr>
          <w:sz w:val="20"/>
          <w:szCs w:val="20"/>
          <w:color w:val="auto"/>
        </w:rPr>
      </w:pPr>
    </w:p>
    <w:p>
      <w:pPr>
        <w:jc w:val="both"/>
        <w:ind w:left="380" w:hanging="367"/>
        <w:spacing w:after="0" w:line="236" w:lineRule="auto"/>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In the first quarter of fiscal 2011, the company entered into separate privately negotiated purchase and exchange agreements under which it repurchased $91 million in principal amount of its 4.25% Convertible Senior Notes due 2013 (“4.25% Notes”), repurchased $176 million in principal amount of its 1.875% Convertible Senior Notes due 2014 (“Existing 1.875% Notes”) and exchanged $175 million of the Existing 1.875% Notes for $175 million in aggregate principal amount of new 1.875% Convertible Senior Notes due 2027 (“New 1.875% Notes”).</w:t>
      </w:r>
    </w:p>
    <w:p>
      <w:pPr>
        <w:spacing w:after="0" w:line="215" w:lineRule="exact"/>
        <w:rPr>
          <w:sz w:val="20"/>
          <w:szCs w:val="20"/>
          <w:color w:val="auto"/>
        </w:rPr>
      </w:pPr>
    </w:p>
    <w:p>
      <w:pPr>
        <w:ind w:left="340"/>
        <w:spacing w:after="0" w:line="235" w:lineRule="auto"/>
        <w:rPr>
          <w:sz w:val="20"/>
          <w:szCs w:val="20"/>
          <w:color w:val="auto"/>
        </w:rPr>
      </w:pPr>
      <w:r>
        <w:rPr>
          <w:rFonts w:ascii="Arial" w:cs="Arial" w:eastAsia="Arial" w:hAnsi="Arial"/>
          <w:sz w:val="22"/>
          <w:szCs w:val="22"/>
          <w:color w:val="auto"/>
        </w:rPr>
        <w:t>The New 1.875% Notes are convertible under certain circumstances, at the holder’s option, at an initial conversion rate of 91.7431 common shares per $1,000 principal amount. Upon conversion, holders will receive cash up to the principal amount, and any excess value will be delivered, at the company’s election, in cash, common stock or a combination of cash and common stock. Holders of the New 1.875% Notes have an option to require the company to purchase the notes on June 1, 2017, and in certain other circumstances, at a price equal to 100 percent of the principal amount of notes plus accrued and unpaid interest.</w:t>
      </w:r>
    </w:p>
    <w:p>
      <w:pPr>
        <w:spacing w:after="0" w:line="215" w:lineRule="exact"/>
        <w:rPr>
          <w:sz w:val="20"/>
          <w:szCs w:val="20"/>
          <w:color w:val="auto"/>
        </w:rPr>
      </w:pPr>
    </w:p>
    <w:p>
      <w:pPr>
        <w:ind w:left="340" w:right="160"/>
        <w:spacing w:after="0" w:line="282" w:lineRule="auto"/>
        <w:rPr>
          <w:sz w:val="20"/>
          <w:szCs w:val="20"/>
          <w:color w:val="auto"/>
        </w:rPr>
      </w:pPr>
      <w:r>
        <w:rPr>
          <w:rFonts w:ascii="Arial" w:cs="Arial" w:eastAsia="Arial" w:hAnsi="Arial"/>
          <w:sz w:val="19"/>
          <w:szCs w:val="19"/>
          <w:color w:val="auto"/>
        </w:rPr>
        <w:t>In connection with the repurchase transactions, the aggregate carrying amount of debt (including unamortized discount and issuance costs) of $232 million was redeemed for $328 million in cash (including fees). As a result of the repurchase transactions and the effect of the exchange, the company recognized a non-operating loss of $111 million in the first quarter of fiscal 2011. Including the effects of the repurchase and exchange transactions and other scheduled repayments, the company reduced its debt by a net amount of $620 million during the first six months of fiscal 2011.</w:t>
      </w:r>
    </w:p>
    <w:p>
      <w:pPr>
        <w:spacing w:after="0" w:line="175" w:lineRule="exact"/>
        <w:rPr>
          <w:sz w:val="20"/>
          <w:szCs w:val="20"/>
          <w:color w:val="auto"/>
        </w:rPr>
      </w:pPr>
    </w:p>
    <w:p>
      <w:pPr>
        <w:ind w:left="340" w:right="140"/>
        <w:spacing w:after="0" w:line="238" w:lineRule="auto"/>
        <w:rPr>
          <w:sz w:val="20"/>
          <w:szCs w:val="20"/>
          <w:color w:val="auto"/>
        </w:rPr>
      </w:pPr>
      <w:r>
        <w:rPr>
          <w:rFonts w:ascii="Arial" w:cs="Arial" w:eastAsia="Arial" w:hAnsi="Arial"/>
          <w:sz w:val="22"/>
          <w:szCs w:val="22"/>
          <w:color w:val="auto"/>
        </w:rPr>
        <w:t>Other non-operating income in the first six months of fiscal 2010 included a gain of $56 million recognized in the first quarter in connection with the August 2009 issuance of common shares in a public offering by Inotera Memories, Inc. (“Inotera”) – an investment accounted for by the company under the equity method. As a result of, and at the time of, the issuance, the company’s interest in Inotera decreased from 35.5% to 29.8%.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9" w:name="page10"/>
    <w:bookmarkEnd w:id="9"/>
    <w:p>
      <w:pPr>
        <w:jc w:val="both"/>
        <w:ind w:left="367" w:hanging="367"/>
        <w:spacing w:after="0" w:line="279" w:lineRule="auto"/>
        <w:tabs>
          <w:tab w:leader="none" w:pos="367" w:val="left"/>
        </w:tabs>
        <w:numPr>
          <w:ilvl w:val="0"/>
          <w:numId w:val="2"/>
        </w:numPr>
        <w:rPr>
          <w:rFonts w:ascii="Arial" w:cs="Arial" w:eastAsia="Arial" w:hAnsi="Arial"/>
          <w:sz w:val="19"/>
          <w:szCs w:val="19"/>
          <w:color w:val="auto"/>
        </w:rPr>
      </w:pPr>
      <w:r>
        <w:rPr>
          <w:rFonts w:ascii="Arial" w:cs="Arial" w:eastAsia="Arial" w:hAnsi="Arial"/>
          <w:sz w:val="19"/>
          <w:szCs w:val="19"/>
          <w:color w:val="auto"/>
        </w:rPr>
        <w:t>Income tax provision in the second quarter of fiscal 2011 included a charge to reduce net deferred tax assets by $19 million in connection with a change in tax rates. Income tax provision in the second and first quarters of fiscal 2011 included charges of $7 million and $33 million, respectively, in connection with the Samsung agreement. Remaining taxes in fiscal 2011 and 2010 primarily reflected taxes on the company’s non-U.S. operations and U.S. alternative minimum tax. The company has a valuation allowance for a substantial portion of its net deferred tax assets associated with its U.S. operations. Taxes attributable to U.S. operations in fiscal 2011 and 2010 were substantially offset by changes in the valuation allowance.</w:t>
      </w:r>
    </w:p>
    <w:p>
      <w:pPr>
        <w:spacing w:after="0" w:line="177" w:lineRule="exact"/>
        <w:rPr>
          <w:rFonts w:ascii="Arial" w:cs="Arial" w:eastAsia="Arial" w:hAnsi="Arial"/>
          <w:sz w:val="19"/>
          <w:szCs w:val="19"/>
          <w:color w:val="auto"/>
        </w:rPr>
      </w:pPr>
    </w:p>
    <w:p>
      <w:pPr>
        <w:jc w:val="both"/>
        <w:ind w:left="367" w:hanging="367"/>
        <w:spacing w:after="0" w:line="249" w:lineRule="auto"/>
        <w:tabs>
          <w:tab w:leader="none" w:pos="367" w:val="left"/>
        </w:tabs>
        <w:numPr>
          <w:ilvl w:val="0"/>
          <w:numId w:val="2"/>
        </w:numPr>
        <w:rPr>
          <w:rFonts w:ascii="Arial" w:cs="Arial" w:eastAsia="Arial" w:hAnsi="Arial"/>
          <w:sz w:val="21"/>
          <w:szCs w:val="21"/>
          <w:color w:val="auto"/>
        </w:rPr>
      </w:pPr>
      <w:r>
        <w:rPr>
          <w:rFonts w:ascii="Arial" w:cs="Arial" w:eastAsia="Arial" w:hAnsi="Arial"/>
          <w:sz w:val="21"/>
          <w:szCs w:val="21"/>
          <w:color w:val="auto"/>
        </w:rPr>
        <w:t>On December 17, 2010, the company acquired Hewlett-Packard Singapore (Private) Limited’s interest in TECH Semiconductor Singapore Pte. Ltd., (“TECH”), a consolidated joint venture of the company, for $38 million. On January 28, 2011, the company acquired Canon Inc.’s interest in TECH for $121 million. In connection therewith, noncontrolling interests in subsidiaries was reduced by $226 million and additional capital was increased by $67 million. As a result of these transactions, the company’s ownership interest in TECH increased from approximately 87.1% to 100%.</w:t>
      </w:r>
    </w:p>
    <w:sectPr>
      <w:pgSz w:w="11900" w:h="16838" w:orient="portrait"/>
      <w:cols w:equalWidth="0" w:num="1">
        <w:col w:w="11407"/>
      </w:cols>
      <w:pgMar w:left="253" w:top="51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1)"/>
      <w:numFmt w:val="decimal"/>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2019-12-10T06:00:10Z</dcterms:created>
  <dcterms:modified xsi:type="dcterms:W3CDTF">2019-12-10T06:00:10Z</dcterms:modified>
</cp:coreProperties>
</file>