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66,112,440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66,112,440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Growth Fund of America,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20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10" w:lineRule="exact"/>
        <w:rPr>
          <w:sz w:val="20"/>
          <w:szCs w:val="20"/>
          <w:color w:val="auto"/>
        </w:rPr>
      </w:pPr>
    </w:p>
    <w:p>
      <w:pPr>
        <w:ind w:left="540" w:right="589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27,510,000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380"/>
        <w:spacing w:after="0" w:line="237" w:lineRule="auto"/>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142" w:right="1440" w:bottom="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540" w:right="33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27,510,000</w:t>
      </w:r>
    </w:p>
    <w:p>
      <w:pPr>
        <w:spacing w:after="0" w:line="200" w:lineRule="exact"/>
        <w:rPr>
          <w:sz w:val="20"/>
          <w:szCs w:val="20"/>
          <w:color w:val="auto"/>
        </w:rPr>
      </w:pPr>
    </w:p>
    <w:p>
      <w:pPr>
        <w:spacing w:after="0" w:line="217"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Research and Management Company and The Growth Fund of America, Inc.</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039" w:hanging="535"/>
        <w:spacing w:after="0" w:line="268" w:lineRule="auto"/>
        <w:tabs>
          <w:tab w:leader="none" w:pos="212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ind w:left="1280" w:right="2939" w:hanging="535"/>
        <w:spacing w:after="0" w:line="235" w:lineRule="auto"/>
        <w:tabs>
          <w:tab w:leader="none" w:pos="222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p>
    <w:p>
      <w:pPr>
        <w:sectPr>
          <w:pgSz w:w="11900" w:h="16838" w:orient="portrait"/>
          <w:cols w:equalWidth="0" w:num="1">
            <w:col w:w="10219"/>
          </w:cols>
          <w:pgMar w:left="240" w:top="339" w:right="1440" w:bottom="0" w:gutter="0" w:footer="0" w:header="0"/>
        </w:sectPr>
      </w:pPr>
    </w:p>
    <w:bookmarkStart w:id="3" w:name="page4"/>
    <w:bookmarkEnd w:id="3"/>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66,112,440 shares or 10.7% of the 616,231,440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939"/>
        <w:spacing w:after="0" w:line="273"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27,510,000 shares or 4.5% of the 616,231,440 shares of Common Stock believed to be outstanding.</w:t>
      </w:r>
    </w:p>
    <w:p>
      <w:pPr>
        <w:spacing w:after="0" w:line="185"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3,817,440 shares resulting from the assumed conversion of $45,000,000 principal amount of the 2.50% Convertible Notes expiring 2/1/2010.</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w:t>
      </w:r>
    </w:p>
    <w:p>
      <w:pPr>
        <w:sectPr>
          <w:pgSz w:w="11900" w:h="16838" w:orient="portrait"/>
          <w:cols w:equalWidth="0" w:num="1">
            <w:col w:w="10219"/>
          </w:cols>
          <w:pgMar w:left="240" w:top="136"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740" w:type="dxa"/>
            <w:vAlign w:val="bottom"/>
          </w:tcPr>
          <w:p>
            <w:pPr>
              <w:spacing w:after="0"/>
              <w:rPr>
                <w:sz w:val="17"/>
                <w:szCs w:val="17"/>
                <w:color w:val="auto"/>
              </w:rPr>
            </w:pPr>
          </w:p>
        </w:tc>
        <w:tc>
          <w:tcPr>
            <w:tcW w:w="4520" w:type="dxa"/>
            <w:vAlign w:val="bottom"/>
          </w:tcPr>
          <w:p>
            <w:pPr>
              <w:ind w:left="220"/>
              <w:spacing w:after="0"/>
              <w:rPr>
                <w:sz w:val="20"/>
                <w:szCs w:val="20"/>
                <w:color w:val="auto"/>
              </w:rPr>
            </w:pPr>
            <w:r>
              <w:rPr>
                <w:rFonts w:ascii="Courier New" w:cs="Courier New" w:eastAsia="Courier New" w:hAnsi="Courier New"/>
                <w:sz w:val="18"/>
                <w:szCs w:val="18"/>
                <w:color w:val="auto"/>
              </w:rPr>
              <w:t>February 9, 2005</w:t>
            </w:r>
          </w:p>
        </w:tc>
      </w:tr>
      <w:tr>
        <w:trPr>
          <w:trHeight w:val="405"/>
        </w:trPr>
        <w:tc>
          <w:tcPr>
            <w:tcW w:w="136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tcPr>
          <w:p>
            <w:pPr>
              <w:ind w:left="220"/>
              <w:spacing w:after="0"/>
              <w:rPr>
                <w:sz w:val="20"/>
                <w:szCs w:val="20"/>
                <w:color w:val="auto"/>
              </w:rPr>
            </w:pPr>
            <w:r>
              <w:rPr>
                <w:rFonts w:ascii="Courier New" w:cs="Courier New" w:eastAsia="Courier New" w:hAnsi="Courier New"/>
                <w:sz w:val="18"/>
                <w:szCs w:val="18"/>
                <w:color w:val="auto"/>
              </w:rPr>
              <w:t>*Paul G. Haaga, Jr.</w:t>
            </w:r>
          </w:p>
        </w:tc>
      </w:tr>
      <w:tr>
        <w:trPr>
          <w:trHeight w:val="203"/>
        </w:trPr>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4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Paul G. Haaga, Jr., Executive Vice</w:t>
            </w:r>
          </w:p>
        </w:tc>
      </w:tr>
      <w:tr>
        <w:trPr>
          <w:trHeight w:val="203"/>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Research and Management Company</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740" w:type="dxa"/>
            <w:vAlign w:val="bottom"/>
          </w:tcPr>
          <w:p>
            <w:pPr>
              <w:spacing w:after="0"/>
              <w:rPr>
                <w:sz w:val="24"/>
                <w:szCs w:val="24"/>
                <w:color w:val="auto"/>
              </w:rPr>
            </w:pPr>
          </w:p>
        </w:tc>
        <w:tc>
          <w:tcPr>
            <w:tcW w:w="4520" w:type="dxa"/>
            <w:vAlign w:val="bottom"/>
          </w:tcPr>
          <w:p>
            <w:pPr>
              <w:ind w:left="220"/>
              <w:spacing w:after="0"/>
              <w:rPr>
                <w:sz w:val="20"/>
                <w:szCs w:val="20"/>
                <w:color w:val="auto"/>
              </w:rPr>
            </w:pPr>
            <w:r>
              <w:rPr>
                <w:rFonts w:ascii="Courier New" w:cs="Courier New" w:eastAsia="Courier New" w:hAnsi="Courier New"/>
                <w:sz w:val="18"/>
                <w:szCs w:val="18"/>
                <w:color w:val="auto"/>
              </w:rPr>
              <w:t>February 9, 2005</w:t>
            </w:r>
          </w:p>
        </w:tc>
      </w:tr>
      <w:tr>
        <w:trPr>
          <w:trHeight w:val="405"/>
        </w:trPr>
        <w:tc>
          <w:tcPr>
            <w:tcW w:w="136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tcPr>
          <w:p>
            <w:pPr>
              <w:ind w:left="220"/>
              <w:spacing w:after="0"/>
              <w:rPr>
                <w:sz w:val="20"/>
                <w:szCs w:val="20"/>
                <w:color w:val="auto"/>
              </w:rPr>
            </w:pPr>
            <w:r>
              <w:rPr>
                <w:rFonts w:ascii="Courier New" w:cs="Courier New" w:eastAsia="Courier New" w:hAnsi="Courier New"/>
                <w:sz w:val="18"/>
                <w:szCs w:val="18"/>
                <w:color w:val="auto"/>
              </w:rPr>
              <w:t>*Paul G. Haaga, Jr.</w:t>
            </w:r>
          </w:p>
        </w:tc>
      </w:tr>
      <w:tr>
        <w:trPr>
          <w:trHeight w:val="203"/>
        </w:trPr>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4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Paul G. Haaga, Jr., Senior Vice President</w:t>
            </w:r>
          </w:p>
        </w:tc>
      </w:tr>
      <w:tr>
        <w:trPr>
          <w:trHeight w:val="203"/>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Growth Fund of America, Inc.</w:t>
            </w:r>
          </w:p>
        </w:tc>
      </w:tr>
      <w:tr>
        <w:trPr>
          <w:trHeight w:val="810"/>
        </w:trPr>
        <w:tc>
          <w:tcPr>
            <w:tcW w:w="6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Liliane Corzo</w:t>
            </w:r>
          </w:p>
        </w:tc>
      </w:tr>
      <w:tr>
        <w:trPr>
          <w:trHeight w:val="203"/>
        </w:trPr>
        <w:tc>
          <w:tcPr>
            <w:tcW w:w="620" w:type="dxa"/>
            <w:vAlign w:val="bottom"/>
          </w:tcPr>
          <w:p>
            <w:pPr>
              <w:spacing w:after="0"/>
              <w:rPr>
                <w:sz w:val="17"/>
                <w:szCs w:val="17"/>
                <w:color w:val="auto"/>
              </w:rPr>
            </w:pPr>
          </w:p>
        </w:tc>
        <w:tc>
          <w:tcPr>
            <w:tcW w:w="5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Liliane Corzo</w:t>
            </w:r>
          </w:p>
        </w:tc>
      </w:tr>
      <w:tr>
        <w:trPr>
          <w:trHeight w:val="203"/>
        </w:trPr>
        <w:tc>
          <w:tcPr>
            <w:tcW w:w="620" w:type="dxa"/>
            <w:vAlign w:val="bottom"/>
          </w:tcPr>
          <w:p>
            <w:pPr>
              <w:spacing w:after="0"/>
              <w:rPr>
                <w:sz w:val="17"/>
                <w:szCs w:val="17"/>
                <w:color w:val="auto"/>
              </w:rPr>
            </w:pPr>
          </w:p>
        </w:tc>
        <w:tc>
          <w:tcPr>
            <w:tcW w:w="5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February 4, 2005 with 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2860"/>
        <w:spacing w:after="0" w:line="238" w:lineRule="auto"/>
        <w:rPr>
          <w:sz w:val="20"/>
          <w:szCs w:val="20"/>
          <w:color w:val="auto"/>
        </w:rPr>
      </w:pPr>
      <w:r>
        <w:rPr>
          <w:rFonts w:ascii="Courier New" w:cs="Courier New" w:eastAsia="Courier New" w:hAnsi="Courier New"/>
          <w:sz w:val="18"/>
          <w:szCs w:val="18"/>
          <w:color w:val="auto"/>
        </w:rPr>
        <w:t>February 9, 2005</w:t>
      </w:r>
    </w:p>
    <w:p>
      <w:pPr>
        <w:spacing w:after="0" w:line="207" w:lineRule="exact"/>
        <w:rPr>
          <w:sz w:val="20"/>
          <w:szCs w:val="20"/>
          <w:color w:val="auto"/>
        </w:rPr>
      </w:pPr>
    </w:p>
    <w:p>
      <w:pPr>
        <w:ind w:right="2839" w:firstLine="211"/>
        <w:spacing w:after="0" w:line="237" w:lineRule="auto"/>
        <w:rPr>
          <w:sz w:val="20"/>
          <w:szCs w:val="20"/>
          <w:color w:val="auto"/>
        </w:rPr>
      </w:pPr>
      <w:r>
        <w:rPr>
          <w:rFonts w:ascii="Courier New" w:cs="Courier New" w:eastAsia="Courier New" w:hAnsi="Courier New"/>
          <w:sz w:val="18"/>
          <w:szCs w:val="18"/>
          <w:color w:val="auto"/>
        </w:rPr>
        <w:t>Capital Research and Management Company ("CRMC") and The Growth Fund of America, Inc. ("GFA") hereby agree to file a joint statement on Schedule 13G under the Securities Exchange Act of 1934 (the "Act") in connection with their beneficial ownership of Common Stock issued by Micron Technology, Incorporated.</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CRMC and GFA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CRMC and GFA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w:t>
      </w:r>
    </w:p>
    <w:p>
      <w:pPr>
        <w:sectPr>
          <w:pgSz w:w="11900" w:h="16838" w:orient="portrait"/>
          <w:cols w:equalWidth="0" w:num="2">
            <w:col w:w="2860" w:space="720"/>
            <w:col w:w="6639"/>
          </w:cols>
          <w:pgMar w:left="240" w:top="136" w:right="1440" w:bottom="0" w:gutter="0" w:footer="0" w:header="0"/>
          <w:type w:val="continuous"/>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Vice President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Capital Research and Management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GROWTH FUND OF AMERICA, INC.</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Senior Vice</w:t>
      </w:r>
    </w:p>
    <w:p>
      <w:pPr>
        <w:spacing w:after="0" w:line="16" w:lineRule="exact"/>
        <w:rPr>
          <w:sz w:val="20"/>
          <w:szCs w:val="20"/>
          <w:color w:val="auto"/>
        </w:rPr>
      </w:pPr>
    </w:p>
    <w:p>
      <w:pPr>
        <w:sectPr>
          <w:pgSz w:w="11900" w:h="16838" w:orient="portrait"/>
          <w:cols w:equalWidth="0" w:num="2">
            <w:col w:w="2860" w:space="720"/>
            <w:col w:w="6639"/>
          </w:cols>
          <w:pgMar w:left="240" w:top="136"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President</w:t>
      </w:r>
    </w:p>
    <w:p>
      <w:pPr>
        <w:ind w:left="3700"/>
        <w:spacing w:after="0" w:line="238" w:lineRule="auto"/>
        <w:rPr>
          <w:sz w:val="20"/>
          <w:szCs w:val="20"/>
          <w:color w:val="auto"/>
        </w:rPr>
      </w:pPr>
      <w:r>
        <w:rPr>
          <w:rFonts w:ascii="Courier New" w:cs="Courier New" w:eastAsia="Courier New" w:hAnsi="Courier New"/>
          <w:sz w:val="18"/>
          <w:szCs w:val="18"/>
          <w:color w:val="auto"/>
        </w:rPr>
        <w:t>The Growth Fund of America,</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Liliane Corzo</w:t>
      </w:r>
    </w:p>
    <w:p>
      <w:pPr>
        <w:ind w:left="540"/>
        <w:spacing w:after="0" w:line="238" w:lineRule="auto"/>
        <w:rPr>
          <w:sz w:val="20"/>
          <w:szCs w:val="20"/>
          <w:color w:val="auto"/>
        </w:rPr>
      </w:pPr>
      <w:r>
        <w:rPr>
          <w:rFonts w:ascii="Courier New" w:cs="Courier New" w:eastAsia="Courier New" w:hAnsi="Courier New"/>
          <w:sz w:val="18"/>
          <w:szCs w:val="18"/>
          <w:color w:val="auto"/>
        </w:rPr>
        <w:t>Liliane Corzo</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54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10, 2005 included as an Exhibit to Schedule 13G filed with the Securities and Exchange Commission by Capital Research and Management Company on February 4, 2005 with 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8"/>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9"/>
      <w:numFmt w:val="bullet"/>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2019-12-13T13:28:11Z</dcterms:created>
  <dcterms:modified xsi:type="dcterms:W3CDTF">2019-12-13T13:28:11Z</dcterms:modified>
</cp:coreProperties>
</file>