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20,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November 20, 2007, the Compensation Committee of the Board of Directors approved an amendment to the Company’s proposed 2007 Equity Incentive Plan (the “2007 Plan”) to delete a subsection of Section 5.2 that related to the Company’s ability to reuse shares not issued upon the exercise of an option or stock appreciation right. The exact language removed from the 2007 Plan read as follows: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the extent that the full number of Shares subject to an Option or SAR is not issued upon exercise of the Option or SAR for any reason, including by reason of net-settlement of the Award, only the number of Shares issued and delivered upon exercise of the Option or SAR shall be considered for purposes of determining the number of Shares remaining available for issuance pursuant to Awards granted under the Plan.”</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2007 Plan, as amended, is being submitted to the Company’s shareholders for approval at its 2007 Annual Meeting of Shareholders on December 4, 2007, and will become effective only upon shareholder approval.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2007 Plan, as amended, is included as Exhibit 99.1 to this Current Report on Form 8-K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Item 9.01.</w:t>
            </w:r>
          </w:p>
        </w:tc>
        <w:tc>
          <w:tcPr>
            <w:tcW w:w="260" w:type="dxa"/>
            <w:vAlign w:val="bottom"/>
          </w:tcPr>
          <w:p>
            <w:pPr>
              <w:spacing w:after="0"/>
              <w:rPr>
                <w:sz w:val="20"/>
                <w:szCs w:val="20"/>
                <w:color w:val="auto"/>
              </w:rPr>
            </w:pPr>
          </w:p>
        </w:tc>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rPr>
              <w:t>(d) Exhibits.</w:t>
            </w:r>
          </w:p>
        </w:tc>
      </w:tr>
      <w:tr>
        <w:trPr>
          <w:trHeight w:val="432"/>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rPr>
              <w:t>The following exhibits are filed herewith:</w:t>
            </w:r>
          </w:p>
        </w:tc>
      </w:tr>
      <w:tr>
        <w:trPr>
          <w:trHeight w:val="459"/>
        </w:trPr>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w w:val="91"/>
              </w:rPr>
              <w:t>Exhibit No.</w:t>
            </w:r>
          </w:p>
        </w:tc>
        <w:tc>
          <w:tcPr>
            <w:tcW w:w="101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432"/>
        </w:trPr>
        <w:tc>
          <w:tcPr>
            <w:tcW w:w="1240" w:type="dxa"/>
            <w:vAlign w:val="bottom"/>
          </w:tcPr>
          <w:p>
            <w:pPr>
              <w:jc w:val="right"/>
              <w:ind w:right="370"/>
              <w:spacing w:after="0"/>
              <w:rPr>
                <w:sz w:val="20"/>
                <w:szCs w:val="20"/>
                <w:color w:val="auto"/>
              </w:rPr>
            </w:pPr>
            <w:r>
              <w:rPr>
                <w:rFonts w:ascii="Arial" w:cs="Arial" w:eastAsia="Arial" w:hAnsi="Arial"/>
                <w:sz w:val="18"/>
                <w:szCs w:val="18"/>
                <w:color w:val="auto"/>
              </w:rPr>
              <w:t>99.1</w:t>
            </w: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2007 Equity Incentive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180" w:type="dxa"/>
            <w:vAlign w:val="bottom"/>
            <w:gridSpan w:val="2"/>
          </w:tcPr>
          <w:p>
            <w:pPr>
              <w:ind w:left="2840"/>
              <w:spacing w:after="0"/>
              <w:rPr>
                <w:sz w:val="20"/>
                <w:szCs w:val="20"/>
                <w:color w:val="auto"/>
              </w:rPr>
            </w:pPr>
            <w:r>
              <w:rPr>
                <w:rFonts w:ascii="Arial" w:cs="Arial" w:eastAsia="Arial" w:hAnsi="Arial"/>
                <w:sz w:val="18"/>
                <w:szCs w:val="18"/>
                <w:b w:val="1"/>
                <w:bCs w:val="1"/>
                <w:color w:val="auto"/>
              </w:rPr>
              <w:t>MICRON TECHNOLOGY, INC.</w:t>
            </w:r>
          </w:p>
        </w:tc>
        <w:tc>
          <w:tcPr>
            <w:tcW w:w="400" w:type="dxa"/>
            <w:vAlign w:val="bottom"/>
          </w:tcPr>
          <w:p>
            <w:pPr>
              <w:spacing w:after="0"/>
              <w:rPr>
                <w:sz w:val="20"/>
                <w:szCs w:val="20"/>
                <w:color w:val="auto"/>
              </w:rPr>
            </w:pPr>
          </w:p>
        </w:tc>
      </w:tr>
      <w:tr>
        <w:trPr>
          <w:trHeight w:val="655"/>
        </w:trPr>
        <w:tc>
          <w:tcPr>
            <w:tcW w:w="3840" w:type="dxa"/>
            <w:vAlign w:val="bottom"/>
          </w:tcPr>
          <w:p>
            <w:pPr>
              <w:spacing w:after="0"/>
              <w:rPr>
                <w:sz w:val="20"/>
                <w:szCs w:val="20"/>
                <w:color w:val="auto"/>
              </w:rPr>
            </w:pPr>
            <w:r>
              <w:rPr>
                <w:rFonts w:ascii="Arial" w:cs="Arial" w:eastAsia="Arial" w:hAnsi="Arial"/>
                <w:sz w:val="18"/>
                <w:szCs w:val="18"/>
                <w:color w:val="auto"/>
              </w:rPr>
              <w:t>Date:  November 20, 2007</w:t>
            </w:r>
          </w:p>
        </w:tc>
        <w:tc>
          <w:tcPr>
            <w:tcW w:w="3660" w:type="dxa"/>
            <w:vAlign w:val="bottom"/>
          </w:tcPr>
          <w:p>
            <w:pPr>
              <w:ind w:left="284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Roderic W. Lewis</w:t>
            </w:r>
          </w:p>
        </w:tc>
        <w:tc>
          <w:tcPr>
            <w:tcW w:w="400" w:type="dxa"/>
            <w:vAlign w:val="bottom"/>
          </w:tcPr>
          <w:p>
            <w:pPr>
              <w:spacing w:after="0"/>
              <w:rPr>
                <w:sz w:val="24"/>
                <w:szCs w:val="24"/>
                <w:color w:val="auto"/>
              </w:rPr>
            </w:pPr>
          </w:p>
        </w:tc>
      </w:tr>
      <w:tr>
        <w:trPr>
          <w:trHeight w:val="202"/>
        </w:trPr>
        <w:tc>
          <w:tcPr>
            <w:tcW w:w="3840" w:type="dxa"/>
            <w:vAlign w:val="bottom"/>
          </w:tcPr>
          <w:p>
            <w:pPr>
              <w:spacing w:after="0"/>
              <w:rPr>
                <w:sz w:val="17"/>
                <w:szCs w:val="17"/>
                <w:color w:val="auto"/>
              </w:rPr>
            </w:pPr>
          </w:p>
        </w:tc>
        <w:tc>
          <w:tcPr>
            <w:tcW w:w="3660" w:type="dxa"/>
            <w:vAlign w:val="bottom"/>
          </w:tcPr>
          <w:p>
            <w:pPr>
              <w:ind w:left="284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c>
          <w:tcPr>
            <w:tcW w:w="400" w:type="dxa"/>
            <w:vAlign w:val="bottom"/>
          </w:tcPr>
          <w:p>
            <w:pPr>
              <w:spacing w:after="0"/>
              <w:rPr>
                <w:sz w:val="17"/>
                <w:szCs w:val="17"/>
                <w:color w:val="auto"/>
              </w:rPr>
            </w:pPr>
          </w:p>
        </w:tc>
      </w:tr>
      <w:tr>
        <w:trPr>
          <w:trHeight w:val="216"/>
        </w:trPr>
        <w:tc>
          <w:tcPr>
            <w:tcW w:w="3840" w:type="dxa"/>
            <w:vAlign w:val="bottom"/>
          </w:tcPr>
          <w:p>
            <w:pPr>
              <w:spacing w:after="0"/>
              <w:rPr>
                <w:sz w:val="18"/>
                <w:szCs w:val="18"/>
                <w:color w:val="auto"/>
              </w:rPr>
            </w:pPr>
          </w:p>
        </w:tc>
        <w:tc>
          <w:tcPr>
            <w:tcW w:w="3660" w:type="dxa"/>
            <w:vAlign w:val="bottom"/>
          </w:tcPr>
          <w:p>
            <w:pPr>
              <w:ind w:left="284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President of Legal Affairs,</w:t>
            </w:r>
          </w:p>
        </w:tc>
        <w:tc>
          <w:tcPr>
            <w:tcW w:w="40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Counsel &amp; Corporate Secretary</w:t>
            </w:r>
          </w:p>
        </w:tc>
        <w:tc>
          <w:tcPr>
            <w:tcW w:w="400" w:type="dxa"/>
            <w:vAlign w:val="bottom"/>
          </w:tcPr>
          <w:p>
            <w:pPr>
              <w:spacing w:after="0"/>
              <w:rPr>
                <w:sz w:val="20"/>
                <w:szCs w:val="20"/>
                <w:color w:val="auto"/>
              </w:rPr>
            </w:pPr>
          </w:p>
        </w:tc>
      </w:tr>
      <w:tr>
        <w:trPr>
          <w:trHeight w:val="407"/>
        </w:trPr>
        <w:tc>
          <w:tcPr>
            <w:tcW w:w="3840" w:type="dxa"/>
            <w:vAlign w:val="bottom"/>
          </w:tcPr>
          <w:p>
            <w:pPr>
              <w:spacing w:after="0"/>
              <w:rPr>
                <w:sz w:val="24"/>
                <w:szCs w:val="24"/>
                <w:color w:val="auto"/>
              </w:rPr>
            </w:pPr>
          </w:p>
        </w:tc>
        <w:tc>
          <w:tcPr>
            <w:tcW w:w="3660" w:type="dxa"/>
            <w:vAlign w:val="bottom"/>
          </w:tcPr>
          <w:p>
            <w:pPr>
              <w:ind w:left="1840"/>
              <w:spacing w:after="0"/>
              <w:rPr>
                <w:sz w:val="20"/>
                <w:szCs w:val="20"/>
                <w:color w:val="auto"/>
              </w:rPr>
            </w:pPr>
            <w:r>
              <w:rPr>
                <w:rFonts w:ascii="Arial" w:cs="Arial" w:eastAsia="Arial" w:hAnsi="Arial"/>
                <w:sz w:val="14"/>
                <w:szCs w:val="14"/>
                <w:color w:val="auto"/>
              </w:rPr>
              <w:t>3</w:t>
            </w:r>
          </w:p>
        </w:tc>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3"/>
        </w:trPr>
        <w:tc>
          <w:tcPr>
            <w:tcW w:w="3840" w:type="dxa"/>
            <w:vAlign w:val="bottom"/>
            <w:tcBorders>
              <w:bottom w:val="single" w:sz="8" w:color="808080"/>
            </w:tcBorders>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NOVEMBER 20, 2007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2007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607"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officer, including without limitation the chief executive officer of the Company, is eligible to be a Participant in the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217" w:lineRule="exact"/>
        <w:rPr>
          <w:sz w:val="20"/>
          <w:szCs w:val="20"/>
          <w:color w:val="auto"/>
        </w:rPr>
      </w:pPr>
    </w:p>
    <w:p>
      <w:pPr>
        <w:ind w:left="660" w:right="20" w:firstLine="320"/>
        <w:spacing w:after="0" w:line="277" w:lineRule="auto"/>
        <w:tabs>
          <w:tab w:leader="none" w:pos="1634" w:val="left"/>
        </w:tabs>
        <w:numPr>
          <w:ilvl w:val="0"/>
          <w:numId w:val="1"/>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97" w:lineRule="exact"/>
        <w:rPr>
          <w:rFonts w:ascii="Arial" w:cs="Arial" w:eastAsia="Arial" w:hAnsi="Arial"/>
          <w:sz w:val="18"/>
          <w:szCs w:val="18"/>
          <w:color w:val="auto"/>
        </w:rPr>
      </w:pPr>
    </w:p>
    <w:p>
      <w:pPr>
        <w:ind w:left="660" w:right="20" w:firstLine="320"/>
        <w:spacing w:after="0" w:line="264" w:lineRule="auto"/>
        <w:tabs>
          <w:tab w:leader="none" w:pos="1644" w:val="left"/>
        </w:tabs>
        <w:numPr>
          <w:ilvl w:val="0"/>
          <w:numId w:val="1"/>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Dividend Equivalent Award, Other Stock-Based Award, or any other right or interest relating to Stock or cash, granted to a Participant under the Plan.</w:t>
      </w:r>
    </w:p>
    <w:p>
      <w:pPr>
        <w:spacing w:after="0" w:line="208" w:lineRule="exact"/>
        <w:rPr>
          <w:rFonts w:ascii="Arial" w:cs="Arial" w:eastAsia="Arial" w:hAnsi="Arial"/>
          <w:sz w:val="18"/>
          <w:szCs w:val="18"/>
          <w:color w:val="auto"/>
        </w:rPr>
      </w:pPr>
    </w:p>
    <w:p>
      <w:pPr>
        <w:ind w:left="660" w:right="60" w:firstLine="320"/>
        <w:spacing w:after="0" w:line="257" w:lineRule="auto"/>
        <w:tabs>
          <w:tab w:leader="none" w:pos="1634" w:val="left"/>
        </w:tabs>
        <w:numPr>
          <w:ilvl w:val="0"/>
          <w:numId w:val="1"/>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215" w:lineRule="exact"/>
        <w:rPr>
          <w:rFonts w:ascii="Arial" w:cs="Arial" w:eastAsia="Arial" w:hAnsi="Arial"/>
          <w:sz w:val="18"/>
          <w:szCs w:val="18"/>
          <w:color w:val="auto"/>
        </w:rPr>
      </w:pPr>
    </w:p>
    <w:p>
      <w:pPr>
        <w:ind w:left="1640" w:hanging="660"/>
        <w:spacing w:after="0"/>
        <w:tabs>
          <w:tab w:leader="none" w:pos="1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52" w:lineRule="exact"/>
        <w:rPr>
          <w:rFonts w:ascii="Arial" w:cs="Arial" w:eastAsia="Arial" w:hAnsi="Arial"/>
          <w:sz w:val="18"/>
          <w:szCs w:val="18"/>
          <w:color w:val="auto"/>
        </w:rPr>
      </w:pPr>
    </w:p>
    <w:p>
      <w:pPr>
        <w:ind w:left="1640" w:hanging="660"/>
        <w:spacing w:after="0"/>
        <w:tabs>
          <w:tab w:leader="none" w:pos="1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52" w:lineRule="exact"/>
        <w:rPr>
          <w:rFonts w:ascii="Arial" w:cs="Arial" w:eastAsia="Arial" w:hAnsi="Arial"/>
          <w:sz w:val="18"/>
          <w:szCs w:val="18"/>
          <w:color w:val="auto"/>
        </w:rPr>
      </w:pPr>
    </w:p>
    <w:p>
      <w:pPr>
        <w:ind w:left="660" w:right="160" w:firstLine="861"/>
        <w:spacing w:after="0" w:line="293" w:lineRule="auto"/>
        <w:tabs>
          <w:tab w:leader="none" w:pos="2054" w:val="left"/>
        </w:tabs>
        <w:numPr>
          <w:ilvl w:val="1"/>
          <w:numId w:val="1"/>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intended to avoid or settle any Election Contest or Proxy Contest, shall be deemed an Incumbent Director; or</w:t>
      </w:r>
    </w:p>
    <w:p>
      <w:pPr>
        <w:spacing w:after="0" w:line="252" w:lineRule="exact"/>
        <w:rPr>
          <w:sz w:val="20"/>
          <w:szCs w:val="20"/>
          <w:color w:val="auto"/>
        </w:rPr>
      </w:pPr>
    </w:p>
    <w:p>
      <w:pPr>
        <w:ind w:left="2100" w:hanging="579"/>
        <w:spacing w:after="0"/>
        <w:tabs>
          <w:tab w:leader="none" w:pos="2100" w:val="left"/>
        </w:tabs>
        <w:numPr>
          <w:ilvl w:val="2"/>
          <w:numId w:val="2"/>
        </w:numPr>
        <w:rPr>
          <w:rFonts w:ascii="Arial" w:cs="Arial" w:eastAsia="Arial" w:hAnsi="Arial"/>
          <w:sz w:val="17"/>
          <w:szCs w:val="17"/>
          <w:color w:val="auto"/>
        </w:rPr>
      </w:pPr>
      <w:r>
        <w:rPr>
          <w:rFonts w:ascii="Arial" w:cs="Arial" w:eastAsia="Arial" w:hAnsi="Arial"/>
          <w:sz w:val="17"/>
          <w:szCs w:val="17"/>
          <w:color w:val="auto"/>
        </w:rPr>
        <w:t>any person is or becomes a "beneficial owner" (as defined in Rule 13d-3 under the 1934 Act), directly or indirectly, of either</w:t>
      </w:r>
    </w:p>
    <w:p>
      <w:pPr>
        <w:spacing w:after="0" w:line="34" w:lineRule="exact"/>
        <w:rPr>
          <w:rFonts w:ascii="Arial" w:cs="Arial" w:eastAsia="Arial" w:hAnsi="Arial"/>
          <w:sz w:val="17"/>
          <w:szCs w:val="17"/>
          <w:color w:val="auto"/>
        </w:rPr>
      </w:pPr>
    </w:p>
    <w:p>
      <w:pPr>
        <w:ind w:left="660" w:right="200" w:hanging="4"/>
        <w:spacing w:after="0" w:line="270" w:lineRule="auto"/>
        <w:tabs>
          <w:tab w:leader="none" w:pos="95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205" w:lineRule="exact"/>
        <w:rPr>
          <w:rFonts w:ascii="Arial" w:cs="Arial" w:eastAsia="Arial" w:hAnsi="Arial"/>
          <w:sz w:val="17"/>
          <w:szCs w:val="17"/>
          <w:color w:val="auto"/>
        </w:rPr>
      </w:pPr>
    </w:p>
    <w:p>
      <w:pPr>
        <w:ind w:left="660" w:firstLine="861"/>
        <w:spacing w:after="0" w:line="285" w:lineRule="auto"/>
        <w:tabs>
          <w:tab w:leader="none" w:pos="2109" w:val="left"/>
        </w:tabs>
        <w:numPr>
          <w:ilvl w:val="2"/>
          <w:numId w:val="3"/>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202" w:lineRule="exact"/>
        <w:rPr>
          <w:rFonts w:ascii="Arial" w:cs="Arial" w:eastAsia="Arial" w:hAnsi="Arial"/>
          <w:sz w:val="16"/>
          <w:szCs w:val="16"/>
          <w:color w:val="auto"/>
        </w:rPr>
      </w:pPr>
    </w:p>
    <w:p>
      <w:pPr>
        <w:ind w:left="2100" w:hanging="579"/>
        <w:spacing w:after="0"/>
        <w:tabs>
          <w:tab w:leader="none" w:pos="2100" w:val="left"/>
        </w:tabs>
        <w:numPr>
          <w:ilvl w:val="2"/>
          <w:numId w:val="3"/>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52" w:lineRule="exact"/>
        <w:rPr>
          <w:rFonts w:ascii="Arial" w:cs="Arial" w:eastAsia="Arial" w:hAnsi="Arial"/>
          <w:sz w:val="18"/>
          <w:szCs w:val="18"/>
          <w:color w:val="auto"/>
        </w:rPr>
      </w:pPr>
    </w:p>
    <w:p>
      <w:pPr>
        <w:ind w:left="660" w:right="140" w:firstLine="320"/>
        <w:spacing w:after="0" w:line="286" w:lineRule="auto"/>
        <w:tabs>
          <w:tab w:leader="none" w:pos="1659" w:val="left"/>
        </w:tabs>
        <w:numPr>
          <w:ilvl w:val="1"/>
          <w:numId w:val="3"/>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2" w:lineRule="exact"/>
        <w:rPr>
          <w:rFonts w:ascii="Arial" w:cs="Arial" w:eastAsia="Arial" w:hAnsi="Arial"/>
          <w:sz w:val="17"/>
          <w:szCs w:val="17"/>
          <w:color w:val="auto"/>
        </w:rPr>
      </w:pPr>
    </w:p>
    <w:p>
      <w:pPr>
        <w:ind w:left="1640" w:hanging="660"/>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52" w:lineRule="exact"/>
        <w:rPr>
          <w:rFonts w:ascii="Arial" w:cs="Arial" w:eastAsia="Arial" w:hAnsi="Arial"/>
          <w:sz w:val="18"/>
          <w:szCs w:val="18"/>
          <w:color w:val="auto"/>
        </w:rPr>
      </w:pPr>
    </w:p>
    <w:p>
      <w:pPr>
        <w:ind w:left="1640" w:hanging="660"/>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52" w:lineRule="exact"/>
        <w:rPr>
          <w:rFonts w:ascii="Arial" w:cs="Arial" w:eastAsia="Arial" w:hAnsi="Arial"/>
          <w:sz w:val="18"/>
          <w:szCs w:val="18"/>
          <w:color w:val="auto"/>
        </w:rPr>
      </w:pPr>
    </w:p>
    <w:p>
      <w:pPr>
        <w:ind w:left="660" w:firstLine="320"/>
        <w:spacing w:after="0" w:line="259" w:lineRule="auto"/>
        <w:tabs>
          <w:tab w:leader="none" w:pos="1649"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ind w:left="4" w:right="100"/>
        <w:spacing w:after="0" w:line="255" w:lineRule="auto"/>
        <w:rPr>
          <w:sz w:val="20"/>
          <w:szCs w:val="20"/>
          <w:color w:val="auto"/>
        </w:rPr>
      </w:pPr>
      <w:r>
        <w:rPr>
          <w:rFonts w:ascii="Arial" w:cs="Arial" w:eastAsia="Arial" w:hAnsi="Arial"/>
          <w:sz w:val="18"/>
          <w:szCs w:val="18"/>
          <w:color w:val="auto"/>
        </w:rPr>
        <w:t>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220" w:lineRule="exact"/>
        <w:rPr>
          <w:sz w:val="20"/>
          <w:szCs w:val="20"/>
          <w:color w:val="auto"/>
        </w:rPr>
      </w:pPr>
    </w:p>
    <w:p>
      <w:pPr>
        <w:ind w:left="984" w:hanging="660"/>
        <w:spacing w:after="0"/>
        <w:tabs>
          <w:tab w:leader="none" w:pos="984"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52" w:lineRule="exact"/>
        <w:rPr>
          <w:rFonts w:ascii="Arial" w:cs="Arial" w:eastAsia="Arial" w:hAnsi="Arial"/>
          <w:sz w:val="18"/>
          <w:szCs w:val="18"/>
          <w:color w:val="auto"/>
        </w:rPr>
      </w:pPr>
    </w:p>
    <w:p>
      <w:pPr>
        <w:ind w:left="4" w:right="120" w:firstLine="320"/>
        <w:spacing w:after="0" w:line="290" w:lineRule="auto"/>
        <w:tabs>
          <w:tab w:leader="none" w:pos="988"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93" w:lineRule="exact"/>
        <w:rPr>
          <w:rFonts w:ascii="Arial" w:cs="Arial" w:eastAsia="Arial" w:hAnsi="Arial"/>
          <w:sz w:val="16"/>
          <w:szCs w:val="16"/>
          <w:color w:val="auto"/>
        </w:rPr>
      </w:pPr>
    </w:p>
    <w:p>
      <w:pPr>
        <w:ind w:left="984" w:hanging="660"/>
        <w:spacing w:after="0"/>
        <w:tabs>
          <w:tab w:leader="none" w:pos="98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52" w:lineRule="exact"/>
        <w:rPr>
          <w:rFonts w:ascii="Arial" w:cs="Arial" w:eastAsia="Arial" w:hAnsi="Arial"/>
          <w:sz w:val="18"/>
          <w:szCs w:val="18"/>
          <w:color w:val="auto"/>
        </w:rPr>
      </w:pPr>
    </w:p>
    <w:p>
      <w:pPr>
        <w:ind w:left="984" w:hanging="660"/>
        <w:spacing w:after="0"/>
        <w:tabs>
          <w:tab w:leader="none" w:pos="98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52" w:lineRule="exact"/>
        <w:rPr>
          <w:rFonts w:ascii="Arial" w:cs="Arial" w:eastAsia="Arial" w:hAnsi="Arial"/>
          <w:sz w:val="18"/>
          <w:szCs w:val="18"/>
          <w:color w:val="auto"/>
        </w:rPr>
      </w:pPr>
    </w:p>
    <w:p>
      <w:pPr>
        <w:ind w:left="984" w:hanging="660"/>
        <w:spacing w:after="0"/>
        <w:tabs>
          <w:tab w:leader="none" w:pos="984" w:val="left"/>
        </w:tabs>
        <w:numPr>
          <w:ilvl w:val="1"/>
          <w:numId w:val="4"/>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52" w:lineRule="exact"/>
        <w:rPr>
          <w:rFonts w:ascii="Arial" w:cs="Arial" w:eastAsia="Arial" w:hAnsi="Arial"/>
          <w:sz w:val="18"/>
          <w:szCs w:val="18"/>
          <w:color w:val="auto"/>
        </w:rPr>
      </w:pPr>
    </w:p>
    <w:p>
      <w:pPr>
        <w:ind w:left="4" w:right="240" w:firstLine="320"/>
        <w:spacing w:after="0" w:line="308" w:lineRule="auto"/>
        <w:tabs>
          <w:tab w:leader="none" w:pos="988" w:val="left"/>
        </w:tabs>
        <w:numPr>
          <w:ilvl w:val="1"/>
          <w:numId w:val="4"/>
        </w:numPr>
        <w:rPr>
          <w:rFonts w:ascii="Arial" w:cs="Arial" w:eastAsia="Arial" w:hAnsi="Arial"/>
          <w:sz w:val="17"/>
          <w:szCs w:val="17"/>
          <w:color w:val="auto"/>
        </w:rPr>
      </w:pPr>
      <w:r>
        <w:rPr>
          <w:rFonts w:ascii="Arial" w:cs="Arial" w:eastAsia="Arial" w:hAnsi="Arial"/>
          <w:sz w:val="17"/>
          <w:szCs w:val="17"/>
          <w:color w:val="auto"/>
        </w:rPr>
        <w:t>"Eligible Participant" means an employee, consultant or non-employee director of the Company or any Affiliate; provided, however, that no officer, including without limitation the chief executive officer of the Company, is eligible to be a Participant in the Plan.</w:t>
      </w:r>
    </w:p>
    <w:p>
      <w:pPr>
        <w:spacing w:after="0" w:line="173" w:lineRule="exact"/>
        <w:rPr>
          <w:rFonts w:ascii="Arial" w:cs="Arial" w:eastAsia="Arial" w:hAnsi="Arial"/>
          <w:sz w:val="17"/>
          <w:szCs w:val="17"/>
          <w:color w:val="auto"/>
        </w:rPr>
      </w:pPr>
    </w:p>
    <w:p>
      <w:pPr>
        <w:ind w:left="4" w:right="280" w:firstLine="320"/>
        <w:spacing w:after="0" w:line="277" w:lineRule="auto"/>
        <w:tabs>
          <w:tab w:leader="none" w:pos="988" w:val="left"/>
        </w:tabs>
        <w:numPr>
          <w:ilvl w:val="1"/>
          <w:numId w:val="4"/>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97" w:lineRule="exact"/>
        <w:rPr>
          <w:rFonts w:ascii="Arial" w:cs="Arial" w:eastAsia="Arial" w:hAnsi="Arial"/>
          <w:sz w:val="18"/>
          <w:szCs w:val="18"/>
          <w:color w:val="auto"/>
        </w:rPr>
      </w:pPr>
    </w:p>
    <w:p>
      <w:pPr>
        <w:ind w:left="4" w:right="40" w:firstLine="320"/>
        <w:spacing w:after="0" w:line="286" w:lineRule="auto"/>
        <w:tabs>
          <w:tab w:leader="none" w:pos="988" w:val="left"/>
        </w:tabs>
        <w:numPr>
          <w:ilvl w:val="1"/>
          <w:numId w:val="4"/>
        </w:numPr>
        <w:rPr>
          <w:rFonts w:ascii="Arial" w:cs="Arial" w:eastAsia="Arial" w:hAnsi="Arial"/>
          <w:sz w:val="16"/>
          <w:szCs w:val="16"/>
          <w:color w:val="auto"/>
        </w:rPr>
      </w:pPr>
      <w:r>
        <w:rPr>
          <w:rFonts w:ascii="Arial" w:cs="Arial" w:eastAsia="Arial" w:hAnsi="Arial"/>
          <w:sz w:val="16"/>
          <w:szCs w:val="16"/>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w:t>
      </w:r>
    </w:p>
    <w:p>
      <w:pPr>
        <w:spacing w:after="0" w:line="1" w:lineRule="exact"/>
        <w:rPr>
          <w:rFonts w:ascii="Arial" w:cs="Arial" w:eastAsia="Arial" w:hAnsi="Arial"/>
          <w:sz w:val="16"/>
          <w:szCs w:val="16"/>
          <w:color w:val="auto"/>
        </w:rPr>
      </w:pPr>
    </w:p>
    <w:p>
      <w:pPr>
        <w:ind w:left="4" w:hanging="4"/>
        <w:spacing w:after="0" w:line="281"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37" w:lineRule="exact"/>
        <w:rPr>
          <w:rFonts w:ascii="Arial" w:cs="Arial" w:eastAsia="Arial" w:hAnsi="Arial"/>
          <w:sz w:val="16"/>
          <w:szCs w:val="16"/>
          <w:color w:val="auto"/>
        </w:rPr>
      </w:pPr>
    </w:p>
    <w:p>
      <w:pPr>
        <w:ind w:left="1004" w:hanging="680"/>
        <w:spacing w:after="0"/>
        <w:tabs>
          <w:tab w:leader="none" w:pos="1004" w:val="left"/>
        </w:tabs>
        <w:numPr>
          <w:ilvl w:val="1"/>
          <w:numId w:val="5"/>
        </w:numPr>
        <w:rPr>
          <w:rFonts w:ascii="Arial" w:cs="Arial" w:eastAsia="Arial" w:hAnsi="Arial"/>
          <w:sz w:val="17"/>
          <w:szCs w:val="17"/>
          <w:color w:val="auto"/>
        </w:rPr>
      </w:pPr>
      <w:r>
        <w:rPr>
          <w:rFonts w:ascii="Arial" w:cs="Arial" w:eastAsia="Arial" w:hAnsi="Arial"/>
          <w:sz w:val="17"/>
          <w:szCs w:val="17"/>
          <w:color w:val="auto"/>
        </w:rPr>
        <w:t>"Full Value Award" means an Award other than in the form of an Option or SAR, and which is settled by the issuance of Stock.</w:t>
      </w:r>
    </w:p>
    <w:p>
      <w:pPr>
        <w:spacing w:after="0" w:line="263" w:lineRule="exact"/>
        <w:rPr>
          <w:rFonts w:ascii="Arial" w:cs="Arial" w:eastAsia="Arial" w:hAnsi="Arial"/>
          <w:sz w:val="17"/>
          <w:szCs w:val="17"/>
          <w:color w:val="auto"/>
        </w:rPr>
      </w:pPr>
    </w:p>
    <w:p>
      <w:pPr>
        <w:ind w:left="4" w:right="20" w:firstLine="320"/>
        <w:spacing w:after="0" w:line="277" w:lineRule="auto"/>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w:t>
      </w:r>
    </w:p>
    <w:p>
      <w:pPr>
        <w:spacing w:after="0" w:line="193"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specified as part of that authorization process. Notice of the grant shall be provided to the grantee within a reasonable time after the Grant Date.</w:t>
      </w:r>
    </w:p>
    <w:p>
      <w:pPr>
        <w:spacing w:after="0" w:line="275" w:lineRule="exact"/>
        <w:rPr>
          <w:sz w:val="20"/>
          <w:szCs w:val="20"/>
          <w:color w:val="auto"/>
        </w:rPr>
      </w:pPr>
    </w:p>
    <w:p>
      <w:pPr>
        <w:ind w:right="160" w:firstLine="320"/>
        <w:spacing w:after="0" w:line="277" w:lineRule="auto"/>
        <w:tabs>
          <w:tab w:leader="none" w:pos="98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97" w:lineRule="exact"/>
        <w:rPr>
          <w:rFonts w:ascii="Arial" w:cs="Arial" w:eastAsia="Arial" w:hAnsi="Arial"/>
          <w:sz w:val="18"/>
          <w:szCs w:val="18"/>
          <w:color w:val="auto"/>
        </w:rPr>
      </w:pPr>
    </w:p>
    <w:p>
      <w:pPr>
        <w:ind w:left="980" w:hanging="660"/>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"Non-Employee Director" means a director of the Company who is not a common law employee of the Company or an Affiliate.</w:t>
      </w:r>
    </w:p>
    <w:p>
      <w:pPr>
        <w:spacing w:after="0" w:line="263" w:lineRule="exact"/>
        <w:rPr>
          <w:rFonts w:ascii="Arial" w:cs="Arial" w:eastAsia="Arial" w:hAnsi="Arial"/>
          <w:sz w:val="17"/>
          <w:szCs w:val="17"/>
          <w:color w:val="auto"/>
        </w:rPr>
      </w:pPr>
    </w:p>
    <w:p>
      <w:pPr>
        <w:ind w:left="980" w:hanging="660"/>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52" w:lineRule="exact"/>
        <w:rPr>
          <w:rFonts w:ascii="Arial" w:cs="Arial" w:eastAsia="Arial" w:hAnsi="Arial"/>
          <w:sz w:val="18"/>
          <w:szCs w:val="18"/>
          <w:color w:val="auto"/>
        </w:rPr>
      </w:pPr>
    </w:p>
    <w:p>
      <w:pPr>
        <w:ind w:right="80" w:firstLine="320"/>
        <w:spacing w:after="0" w:line="277" w:lineRule="auto"/>
        <w:tabs>
          <w:tab w:leader="none" w:pos="1024"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97" w:lineRule="exact"/>
        <w:rPr>
          <w:rFonts w:ascii="Arial" w:cs="Arial" w:eastAsia="Arial" w:hAnsi="Arial"/>
          <w:sz w:val="18"/>
          <w:szCs w:val="18"/>
          <w:color w:val="auto"/>
        </w:rPr>
      </w:pPr>
    </w:p>
    <w:p>
      <w:pPr>
        <w:ind w:firstLine="320"/>
        <w:spacing w:after="0" w:line="277" w:lineRule="auto"/>
        <w:tabs>
          <w:tab w:leader="none" w:pos="1029"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97" w:lineRule="exact"/>
        <w:rPr>
          <w:rFonts w:ascii="Arial" w:cs="Arial" w:eastAsia="Arial" w:hAnsi="Arial"/>
          <w:sz w:val="18"/>
          <w:szCs w:val="18"/>
          <w:color w:val="auto"/>
        </w:rPr>
      </w:pPr>
    </w:p>
    <w:p>
      <w:pPr>
        <w:jc w:val="both"/>
        <w:ind w:right="120" w:firstLine="320"/>
        <w:spacing w:after="0" w:line="264" w:lineRule="auto"/>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208" w:lineRule="exact"/>
        <w:rPr>
          <w:rFonts w:ascii="Arial" w:cs="Arial" w:eastAsia="Arial" w:hAnsi="Arial"/>
          <w:sz w:val="18"/>
          <w:szCs w:val="18"/>
          <w:color w:val="auto"/>
        </w:rPr>
      </w:pPr>
    </w:p>
    <w:p>
      <w:pPr>
        <w:ind w:right="20" w:firstLine="320"/>
        <w:spacing w:after="0" w:line="257" w:lineRule="auto"/>
        <w:tabs>
          <w:tab w:leader="none" w:pos="1019"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the chief executive officer or any other officers of the Company.</w:t>
      </w:r>
    </w:p>
    <w:p>
      <w:pPr>
        <w:spacing w:after="0" w:line="215" w:lineRule="exact"/>
        <w:rPr>
          <w:sz w:val="20"/>
          <w:szCs w:val="20"/>
          <w:color w:val="auto"/>
        </w:rPr>
      </w:pPr>
    </w:p>
    <w:p>
      <w:pPr>
        <w:ind w:right="380" w:firstLine="320"/>
        <w:spacing w:after="0" w:line="342" w:lineRule="auto"/>
        <w:tabs>
          <w:tab w:leader="none" w:pos="1009"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50" w:lineRule="exact"/>
        <w:rPr>
          <w:rFonts w:ascii="Arial" w:cs="Arial" w:eastAsia="Arial" w:hAnsi="Arial"/>
          <w:sz w:val="16"/>
          <w:szCs w:val="16"/>
          <w:color w:val="auto"/>
        </w:rPr>
      </w:pPr>
    </w:p>
    <w:p>
      <w:pPr>
        <w:ind w:right="120" w:firstLine="320"/>
        <w:spacing w:after="0" w:line="277" w:lineRule="auto"/>
        <w:tabs>
          <w:tab w:leader="none" w:pos="984"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 Section 13(d)(3) or 14(d)(2) of the 1934 Act.</w:t>
      </w:r>
    </w:p>
    <w:p>
      <w:pPr>
        <w:spacing w:after="0" w:line="197" w:lineRule="exact"/>
        <w:rPr>
          <w:rFonts w:ascii="Arial" w:cs="Arial" w:eastAsia="Arial" w:hAnsi="Arial"/>
          <w:sz w:val="18"/>
          <w:szCs w:val="18"/>
          <w:color w:val="auto"/>
        </w:rPr>
      </w:pPr>
    </w:p>
    <w:p>
      <w:pPr>
        <w:ind w:left="1000" w:hanging="68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 means the Micron Technology, Inc. 2007 Equity Incentive Plan, as amended from time to time.</w:t>
      </w:r>
    </w:p>
    <w:p>
      <w:pPr>
        <w:spacing w:after="0" w:line="252" w:lineRule="exact"/>
        <w:rPr>
          <w:rFonts w:ascii="Arial" w:cs="Arial" w:eastAsia="Arial" w:hAnsi="Arial"/>
          <w:sz w:val="18"/>
          <w:szCs w:val="18"/>
          <w:color w:val="auto"/>
        </w:rPr>
      </w:pPr>
    </w:p>
    <w:p>
      <w:pPr>
        <w:ind w:right="180" w:firstLine="320"/>
        <w:spacing w:after="0" w:line="308" w:lineRule="auto"/>
        <w:tabs>
          <w:tab w:leader="none" w:pos="984" w:val="left"/>
        </w:tabs>
        <w:numPr>
          <w:ilvl w:val="0"/>
          <w:numId w:val="7"/>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73" w:lineRule="exact"/>
        <w:rPr>
          <w:rFonts w:ascii="Arial" w:cs="Arial" w:eastAsia="Arial" w:hAnsi="Arial"/>
          <w:sz w:val="17"/>
          <w:szCs w:val="17"/>
          <w:color w:val="auto"/>
        </w:rPr>
      </w:pPr>
    </w:p>
    <w:p>
      <w:pPr>
        <w:ind w:right="80" w:firstLine="320"/>
        <w:spacing w:after="0" w:line="277" w:lineRule="auto"/>
        <w:tabs>
          <w:tab w:leader="none" w:pos="1009"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97" w:lineRule="exact"/>
        <w:rPr>
          <w:rFonts w:ascii="Arial" w:cs="Arial" w:eastAsia="Arial" w:hAnsi="Arial"/>
          <w:sz w:val="18"/>
          <w:szCs w:val="18"/>
          <w:color w:val="auto"/>
        </w:rPr>
      </w:pPr>
    </w:p>
    <w:p>
      <w:pPr>
        <w:ind w:left="1000" w:hanging="680"/>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"Restricted Stock Award" means Stock granted to a Participant under Article 10 that is subject to certain restrictions and to risk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forfeiture.</w:t>
      </w:r>
    </w:p>
    <w:p>
      <w:pPr>
        <w:spacing w:after="0" w:line="237" w:lineRule="exact"/>
        <w:rPr>
          <w:rFonts w:ascii="Arial" w:cs="Arial" w:eastAsia="Arial" w:hAnsi="Arial"/>
          <w:sz w:val="17"/>
          <w:szCs w:val="17"/>
          <w:color w:val="auto"/>
        </w:rPr>
      </w:pPr>
    </w:p>
    <w:p>
      <w:pPr>
        <w:ind w:right="240" w:firstLine="320"/>
        <w:spacing w:after="0" w:line="342" w:lineRule="auto"/>
        <w:tabs>
          <w:tab w:leader="none" w:pos="984"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47"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125" w:right="259" w:bottom="1440" w:gutter="0" w:footer="0" w:header="0"/>
        </w:sectPr>
      </w:pPr>
    </w:p>
    <w:bookmarkStart w:id="9" w:name="page10"/>
    <w:bookmarkEnd w:id="9"/>
    <w:p>
      <w:pPr>
        <w:ind w:left="660" w:right="60" w:firstLine="320"/>
        <w:spacing w:after="0" w:line="277" w:lineRule="auto"/>
        <w:tabs>
          <w:tab w:leader="none" w:pos="1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97" w:lineRule="exact"/>
        <w:rPr>
          <w:rFonts w:ascii="Arial" w:cs="Arial" w:eastAsia="Arial" w:hAnsi="Arial"/>
          <w:sz w:val="18"/>
          <w:szCs w:val="18"/>
          <w:color w:val="auto"/>
        </w:rPr>
      </w:pPr>
    </w:p>
    <w:p>
      <w:pPr>
        <w:ind w:left="660" w:right="380" w:firstLine="320"/>
        <w:spacing w:after="0" w:line="264" w:lineRule="auto"/>
        <w:tabs>
          <w:tab w:leader="none" w:pos="169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208" w:lineRule="exact"/>
        <w:rPr>
          <w:rFonts w:ascii="Arial" w:cs="Arial" w:eastAsia="Arial" w:hAnsi="Arial"/>
          <w:sz w:val="18"/>
          <w:szCs w:val="18"/>
          <w:color w:val="auto"/>
        </w:rPr>
      </w:pPr>
    </w:p>
    <w:p>
      <w:pPr>
        <w:ind w:left="660" w:right="100" w:firstLine="320"/>
        <w:spacing w:after="0" w:line="277" w:lineRule="auto"/>
        <w:tabs>
          <w:tab w:leader="none" w:pos="1699"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97" w:lineRule="exact"/>
        <w:rPr>
          <w:rFonts w:ascii="Arial" w:cs="Arial" w:eastAsia="Arial" w:hAnsi="Arial"/>
          <w:sz w:val="18"/>
          <w:szCs w:val="18"/>
          <w:color w:val="auto"/>
        </w:rPr>
      </w:pPr>
    </w:p>
    <w:p>
      <w:pPr>
        <w:ind w:left="660" w:right="20" w:firstLine="320"/>
        <w:spacing w:after="0" w:line="264" w:lineRule="auto"/>
        <w:tabs>
          <w:tab w:leader="none" w:pos="1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208" w:lineRule="exact"/>
        <w:rPr>
          <w:rFonts w:ascii="Arial" w:cs="Arial" w:eastAsia="Arial" w:hAnsi="Arial"/>
          <w:sz w:val="18"/>
          <w:szCs w:val="18"/>
          <w:color w:val="auto"/>
        </w:rPr>
      </w:pPr>
    </w:p>
    <w:p>
      <w:pPr>
        <w:ind w:left="660" w:right="180" w:firstLine="320"/>
        <w:spacing w:after="0" w:line="264" w:lineRule="auto"/>
        <w:tabs>
          <w:tab w:leader="none" w:pos="1699"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208" w:lineRule="exact"/>
        <w:rPr>
          <w:rFonts w:ascii="Arial" w:cs="Arial" w:eastAsia="Arial" w:hAnsi="Arial"/>
          <w:sz w:val="18"/>
          <w:szCs w:val="18"/>
          <w:color w:val="auto"/>
        </w:rPr>
      </w:pPr>
    </w:p>
    <w:p>
      <w:pPr>
        <w:ind w:left="1700" w:hanging="720"/>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52" w:lineRule="exact"/>
        <w:rPr>
          <w:rFonts w:ascii="Arial" w:cs="Arial" w:eastAsia="Arial" w:hAnsi="Arial"/>
          <w:sz w:val="18"/>
          <w:szCs w:val="18"/>
          <w:color w:val="auto"/>
        </w:rPr>
      </w:pPr>
    </w:p>
    <w:p>
      <w:pPr>
        <w:ind w:left="1680" w:hanging="700"/>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TERM OF PLAN</w:t>
      </w:r>
    </w:p>
    <w:p>
      <w:pPr>
        <w:spacing w:after="0" w:line="9"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The Plan shall be effective as of the date it is approved by both the Board and the stockholders of the Company (the "Effective Date").</w:t>
      </w:r>
    </w:p>
    <w:p>
      <w:pPr>
        <w:spacing w:after="0" w:line="211" w:lineRule="exact"/>
        <w:rPr>
          <w:sz w:val="20"/>
          <w:szCs w:val="20"/>
          <w:color w:val="auto"/>
        </w:rPr>
      </w:pPr>
    </w:p>
    <w:p>
      <w:pPr>
        <w:ind w:right="160" w:firstLine="90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The Plan shall terminate on the tenth anniversary of the Effective Date unless earlier terminated as provided herein, which shall continue to be governed by the applicable terms and conditions of this Plan. The termination of the Plan on such date shall not affect the validity of any Award outstanding on the date of termination. No Incentive Stock Options may be granted more than ten years after the earlier of (a) adoption of this Plan by the Board, or (b) the Effective Date.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ADMINISTRATION</w:t>
      </w:r>
    </w:p>
    <w:p>
      <w:pPr>
        <w:spacing w:after="0" w:line="9"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 w:name="page11"/>
    <w:bookmarkEnd w:id="10"/>
    <w:p>
      <w:pPr>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ACTION AND INTERPRETATIONS BY THE COMMITTEE.</w:t>
      </w:r>
      <w:r>
        <w:rPr>
          <w:rFonts w:ascii="Arial" w:cs="Arial" w:eastAsia="Arial" w:hAnsi="Arial"/>
          <w:sz w:val="17"/>
          <w:szCs w:val="17"/>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20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i w:val="1"/>
          <w:iCs w:val="1"/>
          <w:color w:val="auto"/>
        </w:rPr>
        <w:t xml:space="preserve">AUTHORITY OF COMMITTEE. </w:t>
      </w:r>
      <w:r>
        <w:rPr>
          <w:rFonts w:ascii="Arial" w:cs="Arial" w:eastAsia="Arial" w:hAnsi="Arial"/>
          <w:sz w:val="16"/>
          <w:szCs w:val="16"/>
          <w:color w:val="auto"/>
        </w:rPr>
        <w:t>Except as provided below, the Committee has the exclusive power, authority and discretion to:</w:t>
      </w:r>
    </w:p>
    <w:p>
      <w:pPr>
        <w:spacing w:after="0" w:line="252" w:lineRule="exact"/>
        <w:rPr>
          <w:sz w:val="20"/>
          <w:szCs w:val="20"/>
          <w:color w:val="auto"/>
        </w:rPr>
      </w:pPr>
    </w:p>
    <w:p>
      <w:pPr>
        <w:ind w:left="1940" w:hanging="960"/>
        <w:spacing w:after="0"/>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52" w:lineRule="exact"/>
        <w:rPr>
          <w:rFonts w:ascii="Arial" w:cs="Arial" w:eastAsia="Arial" w:hAnsi="Arial"/>
          <w:sz w:val="18"/>
          <w:szCs w:val="18"/>
          <w:color w:val="auto"/>
        </w:rPr>
      </w:pPr>
    </w:p>
    <w:p>
      <w:pPr>
        <w:ind w:left="1940" w:hanging="960"/>
        <w:spacing w:after="0"/>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263" w:lineRule="exact"/>
        <w:rPr>
          <w:rFonts w:ascii="Arial" w:cs="Arial" w:eastAsia="Arial" w:hAnsi="Arial"/>
          <w:sz w:val="17"/>
          <w:szCs w:val="17"/>
          <w:color w:val="auto"/>
        </w:rPr>
      </w:pPr>
    </w:p>
    <w:p>
      <w:pPr>
        <w:ind w:left="660" w:right="260" w:firstLine="320"/>
        <w:spacing w:after="0" w:line="259" w:lineRule="auto"/>
        <w:tabs>
          <w:tab w:leader="none" w:pos="194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213" w:lineRule="exact"/>
        <w:rPr>
          <w:rFonts w:ascii="Arial" w:cs="Arial" w:eastAsia="Arial" w:hAnsi="Arial"/>
          <w:sz w:val="18"/>
          <w:szCs w:val="18"/>
          <w:color w:val="auto"/>
        </w:rPr>
      </w:pPr>
    </w:p>
    <w:p>
      <w:pPr>
        <w:ind w:left="660" w:firstLine="320"/>
        <w:spacing w:after="0" w:line="277" w:lineRule="auto"/>
        <w:tabs>
          <w:tab w:leader="none" w:pos="19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97" w:lineRule="exact"/>
        <w:rPr>
          <w:rFonts w:ascii="Arial" w:cs="Arial" w:eastAsia="Arial" w:hAnsi="Arial"/>
          <w:sz w:val="18"/>
          <w:szCs w:val="18"/>
          <w:color w:val="auto"/>
        </w:rPr>
      </w:pPr>
    </w:p>
    <w:p>
      <w:pPr>
        <w:ind w:left="660" w:right="220" w:firstLine="320"/>
        <w:spacing w:after="0" w:line="308" w:lineRule="auto"/>
        <w:tabs>
          <w:tab w:leader="none" w:pos="1959" w:val="left"/>
        </w:tabs>
        <w:numPr>
          <w:ilvl w:val="0"/>
          <w:numId w:val="9"/>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73" w:lineRule="exact"/>
        <w:rPr>
          <w:rFonts w:ascii="Arial" w:cs="Arial" w:eastAsia="Arial" w:hAnsi="Arial"/>
          <w:sz w:val="17"/>
          <w:szCs w:val="17"/>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37" w:lineRule="exact"/>
        <w:rPr>
          <w:rFonts w:ascii="Arial" w:cs="Arial" w:eastAsia="Arial" w:hAnsi="Arial"/>
          <w:sz w:val="16"/>
          <w:szCs w:val="16"/>
          <w:color w:val="auto"/>
        </w:rPr>
      </w:pPr>
    </w:p>
    <w:p>
      <w:pPr>
        <w:ind w:left="660" w:right="700" w:firstLine="320"/>
        <w:spacing w:after="0" w:line="277" w:lineRule="auto"/>
        <w:tabs>
          <w:tab w:leader="none" w:pos="1959"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97" w:lineRule="exact"/>
        <w:rPr>
          <w:rFonts w:ascii="Arial" w:cs="Arial" w:eastAsia="Arial" w:hAnsi="Arial"/>
          <w:sz w:val="18"/>
          <w:szCs w:val="18"/>
          <w:color w:val="auto"/>
        </w:rPr>
      </w:pPr>
    </w:p>
    <w:p>
      <w:pPr>
        <w:ind w:left="1960" w:hanging="980"/>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52" w:lineRule="exact"/>
        <w:rPr>
          <w:rFonts w:ascii="Arial" w:cs="Arial" w:eastAsia="Arial" w:hAnsi="Arial"/>
          <w:sz w:val="18"/>
          <w:szCs w:val="18"/>
          <w:color w:val="auto"/>
        </w:rPr>
      </w:pPr>
    </w:p>
    <w:p>
      <w:pPr>
        <w:ind w:left="660" w:right="320" w:firstLine="320"/>
        <w:spacing w:after="0" w:line="264" w:lineRule="auto"/>
        <w:tabs>
          <w:tab w:leader="none" w:pos="195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ind w:right="260"/>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the above, the Board may, by resolution, expressly delegate to a special committee, consisting of one or more directors who may but need not be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xml:space="preserve"> Each Award shall be evidenced by an Award Certificate. Each Award Certificate shall include such provisions, not inconsistent with the Plan, as may be specified by the Committee.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9"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30,000,000;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2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xml:space="preserve"> Shares covered by an Award shall be subtracted from the Plan share reserve as of the date of grant, but shall be added back to the Plan share reserve in accordance with this Section 5.2.</w:t>
      </w:r>
    </w:p>
    <w:p>
      <w:pPr>
        <w:spacing w:after="0" w:line="197" w:lineRule="exact"/>
        <w:rPr>
          <w:sz w:val="20"/>
          <w:szCs w:val="20"/>
          <w:color w:val="auto"/>
        </w:rPr>
      </w:pPr>
    </w:p>
    <w:p>
      <w:pPr>
        <w:ind w:left="660" w:firstLine="320"/>
        <w:spacing w:after="0" w:line="277" w:lineRule="auto"/>
        <w:tabs>
          <w:tab w:leader="none" w:pos="15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will again be available for issuance pursuant to Awards granted under the Plan.</w:t>
      </w:r>
    </w:p>
    <w:p>
      <w:pPr>
        <w:spacing w:after="0" w:line="197" w:lineRule="exact"/>
        <w:rPr>
          <w:rFonts w:ascii="Arial" w:cs="Arial" w:eastAsia="Arial" w:hAnsi="Arial"/>
          <w:sz w:val="18"/>
          <w:szCs w:val="18"/>
          <w:color w:val="auto"/>
        </w:rPr>
      </w:pPr>
    </w:p>
    <w:p>
      <w:pPr>
        <w:ind w:left="1560" w:hanging="580"/>
        <w:spacing w:after="0"/>
        <w:tabs>
          <w:tab w:leader="none" w:pos="1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252" w:lineRule="exact"/>
        <w:rPr>
          <w:rFonts w:ascii="Arial" w:cs="Arial" w:eastAsia="Arial" w:hAnsi="Arial"/>
          <w:sz w:val="18"/>
          <w:szCs w:val="18"/>
          <w:color w:val="auto"/>
        </w:rPr>
      </w:pPr>
    </w:p>
    <w:p>
      <w:pPr>
        <w:ind w:left="660" w:firstLine="320"/>
        <w:spacing w:after="0" w:line="277" w:lineRule="auto"/>
        <w:tabs>
          <w:tab w:leader="none" w:pos="15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Substitute Awards granted pursuant to Section 14.14 of the Plan shall not count against the Shares otherwise available for issuance under the Plan under Section 5.1.</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xml:space="preserve"> Any Stock distributed pursuant to an Award may consist, in whole or in part, of authorized and unissued Stock, treasury Stock or Stock purchased on the open market.</w:t>
      </w:r>
    </w:p>
    <w:p>
      <w:pPr>
        <w:spacing w:after="0" w:line="19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ind w:right="200"/>
        <w:spacing w:after="0" w:line="264" w:lineRule="auto"/>
        <w:rPr>
          <w:sz w:val="20"/>
          <w:szCs w:val="20"/>
          <w:color w:val="auto"/>
        </w:rPr>
      </w:pPr>
      <w:r>
        <w:rPr>
          <w:rFonts w:ascii="Arial" w:cs="Arial" w:eastAsia="Arial" w:hAnsi="Arial"/>
          <w:sz w:val="18"/>
          <w:szCs w:val="18"/>
          <w:color w:val="auto"/>
        </w:rPr>
        <w:t>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OPTIONS</w:t>
      </w:r>
    </w:p>
    <w:p>
      <w:pPr>
        <w:spacing w:after="0" w:line="23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Committee is authorized to grant Options to Participants on the following terms and conditions:</w:t>
      </w:r>
    </w:p>
    <w:p>
      <w:pPr>
        <w:spacing w:after="0" w:line="252" w:lineRule="exact"/>
        <w:rPr>
          <w:sz w:val="20"/>
          <w:szCs w:val="20"/>
          <w:color w:val="auto"/>
        </w:rPr>
      </w:pPr>
    </w:p>
    <w:p>
      <w:pPr>
        <w:ind w:left="980" w:firstLine="325"/>
        <w:spacing w:after="0" w:line="264" w:lineRule="auto"/>
        <w:tabs>
          <w:tab w:leader="none" w:pos="19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208" w:lineRule="exact"/>
        <w:rPr>
          <w:rFonts w:ascii="Arial" w:cs="Arial" w:eastAsia="Arial" w:hAnsi="Arial"/>
          <w:sz w:val="18"/>
          <w:szCs w:val="18"/>
          <w:color w:val="auto"/>
        </w:rPr>
      </w:pPr>
    </w:p>
    <w:p>
      <w:pPr>
        <w:ind w:left="980" w:right="440" w:firstLine="325"/>
        <w:spacing w:after="0" w:line="342" w:lineRule="auto"/>
        <w:tabs>
          <w:tab w:leader="none" w:pos="200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PROHIBITION ON REPRICING. Except as otherwise provided in Section 15.1, the exercise price of an Option may not be reduced, directly or indirectly by cancellation and regrant or otherwise, without the prior approval of the shareholders of the Company.</w:t>
      </w:r>
    </w:p>
    <w:p>
      <w:pPr>
        <w:spacing w:after="0" w:line="150" w:lineRule="exact"/>
        <w:rPr>
          <w:rFonts w:ascii="Arial" w:cs="Arial" w:eastAsia="Arial" w:hAnsi="Arial"/>
          <w:sz w:val="16"/>
          <w:szCs w:val="16"/>
          <w:color w:val="auto"/>
        </w:rPr>
      </w:pPr>
    </w:p>
    <w:p>
      <w:pPr>
        <w:ind w:left="980" w:right="340" w:firstLine="325"/>
        <w:spacing w:after="0" w:line="264" w:lineRule="auto"/>
        <w:tabs>
          <w:tab w:leader="none" w:pos="19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208" w:lineRule="exact"/>
        <w:rPr>
          <w:rFonts w:ascii="Arial" w:cs="Arial" w:eastAsia="Arial" w:hAnsi="Arial"/>
          <w:sz w:val="18"/>
          <w:szCs w:val="18"/>
          <w:color w:val="auto"/>
        </w:rPr>
      </w:pPr>
    </w:p>
    <w:p>
      <w:pPr>
        <w:ind w:left="980" w:right="100" w:firstLine="325"/>
        <w:spacing w:after="0" w:line="264" w:lineRule="auto"/>
        <w:tabs>
          <w:tab w:leader="none" w:pos="20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w:t>
      </w:r>
    </w:p>
    <w:p>
      <w:pPr>
        <w:spacing w:after="0" w:line="208" w:lineRule="exact"/>
        <w:rPr>
          <w:rFonts w:ascii="Arial" w:cs="Arial" w:eastAsia="Arial" w:hAnsi="Arial"/>
          <w:sz w:val="18"/>
          <w:szCs w:val="18"/>
          <w:color w:val="auto"/>
        </w:rPr>
      </w:pPr>
    </w:p>
    <w:p>
      <w:pPr>
        <w:ind w:left="980" w:right="200" w:firstLine="325"/>
        <w:spacing w:after="0" w:line="277" w:lineRule="auto"/>
        <w:tabs>
          <w:tab w:leader="none" w:pos="19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TERM. Except for Nonstatutory Options granted to Participants outside the United States, no Option granted under the Plan shall be exercisable for more than ten years from the Grant Date.</w:t>
      </w:r>
    </w:p>
    <w:p>
      <w:pPr>
        <w:spacing w:after="0" w:line="197" w:lineRule="exact"/>
        <w:rPr>
          <w:rFonts w:ascii="Arial" w:cs="Arial" w:eastAsia="Arial" w:hAnsi="Arial"/>
          <w:sz w:val="18"/>
          <w:szCs w:val="18"/>
          <w:color w:val="auto"/>
        </w:rPr>
      </w:pPr>
    </w:p>
    <w:p>
      <w:pPr>
        <w:ind w:left="980" w:right="220" w:firstLine="325"/>
        <w:spacing w:after="0" w:line="277" w:lineRule="auto"/>
        <w:tabs>
          <w:tab w:leader="none" w:pos="19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DEFERRAL FEATURE. No Option shall provide for any feature for the deferral of compensation other than the deferral of recognition of income until the exercise or disposition of the Option.</w:t>
      </w:r>
    </w:p>
    <w:p>
      <w:pPr>
        <w:spacing w:after="0" w:line="197" w:lineRule="exact"/>
        <w:rPr>
          <w:rFonts w:ascii="Arial" w:cs="Arial" w:eastAsia="Arial" w:hAnsi="Arial"/>
          <w:sz w:val="18"/>
          <w:szCs w:val="18"/>
          <w:color w:val="auto"/>
        </w:rPr>
      </w:pPr>
    </w:p>
    <w:p>
      <w:pPr>
        <w:ind w:left="980" w:right="280" w:firstLine="325"/>
        <w:spacing w:after="0" w:line="259" w:lineRule="auto"/>
        <w:tabs>
          <w:tab w:leader="none" w:pos="20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214" w:lineRule="exact"/>
        <w:rPr>
          <w:sz w:val="20"/>
          <w:szCs w:val="20"/>
          <w:color w:val="auto"/>
        </w:rPr>
      </w:pPr>
    </w:p>
    <w:p>
      <w:pPr>
        <w:ind w:right="80" w:firstLine="855"/>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APPRECIATION RIGHTS</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xml:space="preserve"> The Committee is authorized to grant Stock Appreciation Rights to Participants on the following terms and conditions:</w:t>
      </w:r>
    </w:p>
    <w:p>
      <w:pPr>
        <w:spacing w:after="0" w:line="197" w:lineRule="exact"/>
        <w:rPr>
          <w:sz w:val="20"/>
          <w:szCs w:val="20"/>
          <w:color w:val="auto"/>
        </w:rPr>
      </w:pPr>
    </w:p>
    <w:p>
      <w:pPr>
        <w:ind w:left="980" w:right="240" w:firstLine="325"/>
        <w:spacing w:after="0" w:line="277" w:lineRule="auto"/>
        <w:tabs>
          <w:tab w:leader="none" w:pos="1999"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the excess, if any,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ind w:left="2600" w:hanging="971"/>
        <w:spacing w:after="0"/>
        <w:tabs>
          <w:tab w:leader="none" w:pos="2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52" w:lineRule="exact"/>
        <w:rPr>
          <w:rFonts w:ascii="Arial" w:cs="Arial" w:eastAsia="Arial" w:hAnsi="Arial"/>
          <w:sz w:val="18"/>
          <w:szCs w:val="18"/>
          <w:color w:val="auto"/>
        </w:rPr>
      </w:pPr>
    </w:p>
    <w:p>
      <w:pPr>
        <w:ind w:left="980" w:right="340" w:firstLine="649"/>
        <w:spacing w:after="0" w:line="277" w:lineRule="auto"/>
        <w:tabs>
          <w:tab w:leader="none" w:pos="2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97" w:lineRule="exact"/>
        <w:rPr>
          <w:rFonts w:ascii="Arial" w:cs="Arial" w:eastAsia="Arial" w:hAnsi="Arial"/>
          <w:sz w:val="18"/>
          <w:szCs w:val="18"/>
          <w:color w:val="auto"/>
        </w:rPr>
      </w:pPr>
    </w:p>
    <w:p>
      <w:pPr>
        <w:ind w:left="980" w:right="260" w:firstLine="325"/>
        <w:spacing w:after="0" w:line="308" w:lineRule="auto"/>
        <w:tabs>
          <w:tab w:leader="none" w:pos="2009"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Section 15.1, the base price of a SAR may not be reduced, directly or indirectly by cancellation and regrant or otherwise, without the prior approval of the shareholders of the Company.</w:t>
      </w:r>
    </w:p>
    <w:p>
      <w:pPr>
        <w:spacing w:after="0" w:line="173" w:lineRule="exact"/>
        <w:rPr>
          <w:rFonts w:ascii="Arial" w:cs="Arial" w:eastAsia="Arial" w:hAnsi="Arial"/>
          <w:sz w:val="17"/>
          <w:szCs w:val="17"/>
          <w:color w:val="auto"/>
        </w:rPr>
      </w:pPr>
    </w:p>
    <w:p>
      <w:pPr>
        <w:ind w:left="980" w:firstLine="325"/>
        <w:spacing w:after="0" w:line="277" w:lineRule="auto"/>
        <w:tabs>
          <w:tab w:leader="none" w:pos="19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TERM. Except for SARs granted to Participants outside the United States, no SAR shall be exercisable for more than ten years from the Grant Date.</w:t>
      </w:r>
    </w:p>
    <w:p>
      <w:pPr>
        <w:spacing w:after="0" w:line="197" w:lineRule="exact"/>
        <w:rPr>
          <w:rFonts w:ascii="Arial" w:cs="Arial" w:eastAsia="Arial" w:hAnsi="Arial"/>
          <w:sz w:val="18"/>
          <w:szCs w:val="18"/>
          <w:color w:val="auto"/>
        </w:rPr>
      </w:pPr>
    </w:p>
    <w:p>
      <w:pPr>
        <w:ind w:left="980" w:right="280" w:firstLine="325"/>
        <w:spacing w:after="0" w:line="277" w:lineRule="auto"/>
        <w:tabs>
          <w:tab w:leader="none" w:pos="20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DEFERRAL FEATURE. No SAR shall provide for any feature for the deferral of compensation other than the deferral of recognition of income until the exercise or disposition of the SAR.</w:t>
      </w:r>
    </w:p>
    <w:p>
      <w:pPr>
        <w:spacing w:after="0" w:line="197" w:lineRule="exact"/>
        <w:rPr>
          <w:rFonts w:ascii="Arial" w:cs="Arial" w:eastAsia="Arial" w:hAnsi="Arial"/>
          <w:sz w:val="18"/>
          <w:szCs w:val="18"/>
          <w:color w:val="auto"/>
        </w:rPr>
      </w:pPr>
    </w:p>
    <w:p>
      <w:pPr>
        <w:ind w:left="980" w:right="60" w:firstLine="325"/>
        <w:spacing w:after="0" w:line="259" w:lineRule="auto"/>
        <w:tabs>
          <w:tab w:leader="none" w:pos="19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PERFORMANCE SHARES.</w:t>
      </w:r>
      <w:r>
        <w:rPr>
          <w:rFonts w:ascii="Arial" w:cs="Arial" w:eastAsia="Arial" w:hAnsi="Arial"/>
          <w:sz w:val="18"/>
          <w:szCs w:val="18"/>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2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right="60" w:firstLine="8"/>
        <w:spacing w:after="0" w:line="261"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xml:space="preserve"> Performance Shares may be payable in cash, Stock, or other property, and have such other terms and conditions as determined by the Committee and reflected in the Award Certificate.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38"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87" w:lineRule="exact"/>
        <w:rPr>
          <w:sz w:val="20"/>
          <w:szCs w:val="20"/>
          <w:color w:val="auto"/>
        </w:rPr>
      </w:pPr>
    </w:p>
    <w:p>
      <w:pPr>
        <w:ind w:right="20" w:firstLine="810"/>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20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220"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UNITS</w:t>
      </w:r>
    </w:p>
    <w:p>
      <w:pPr>
        <w:spacing w:after="0" w:line="2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2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GRANT OF DIVIDEND EQUIVALENTS.</w:t>
      </w:r>
      <w:r>
        <w:rPr>
          <w:rFonts w:ascii="Arial" w:cs="Arial" w:eastAsia="Arial" w:hAnsi="Arial"/>
          <w:sz w:val="16"/>
          <w:szCs w:val="16"/>
          <w:color w:val="auto"/>
        </w:rPr>
        <w:t xml:space="preserve">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 Unless otherwise provided in the applicable</w:t>
      </w:r>
    </w:p>
    <w:p>
      <w:pPr>
        <w:spacing w:after="0" w:line="2"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Award Certificate, Dividend Equivalents will be paid or distributed 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month following the later of (i) the calendar year in which the corresponding dividends were paid to shareholders, or (ii) the first calendar year in which the Participant's right to such Dividends Equivalents is no longer subject to a substantial risk of forfeiture.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3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0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21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xml:space="preserve"> No right or interest of a Participant in any unexercised or restricted Award may be pledged, encumbered, or hypothecated to or in favor of any party other than the Company or an Affiliate,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right="40"/>
        <w:spacing w:after="0" w:line="255" w:lineRule="auto"/>
        <w:rPr>
          <w:sz w:val="20"/>
          <w:szCs w:val="20"/>
          <w:color w:val="auto"/>
        </w:rPr>
      </w:pPr>
      <w:r>
        <w:rPr>
          <w:rFonts w:ascii="Arial" w:cs="Arial" w:eastAsia="Arial" w:hAnsi="Arial"/>
          <w:sz w:val="18"/>
          <w:szCs w:val="18"/>
          <w:color w:val="auto"/>
        </w:rPr>
        <w:t>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i w:val="1"/>
          <w:iCs w:val="1"/>
          <w:color w:val="auto"/>
        </w:rPr>
        <w:t>ACCELERATION UPON A CHANGE IN CONTROL.</w:t>
      </w:r>
      <w:r>
        <w:rPr>
          <w:rFonts w:ascii="Arial" w:cs="Arial" w:eastAsia="Arial" w:hAnsi="Arial"/>
          <w:sz w:val="17"/>
          <w:szCs w:val="17"/>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i w:val="1"/>
          <w:iCs w:val="1"/>
          <w:color w:val="auto"/>
        </w:rPr>
        <w:t>ACCELERATION FOR ANY OTHER REASON.</w:t>
      </w:r>
      <w:r>
        <w:rPr>
          <w:rFonts w:ascii="Arial" w:cs="Arial" w:eastAsia="Arial" w:hAnsi="Arial"/>
          <w:sz w:val="17"/>
          <w:szCs w:val="17"/>
          <w:color w:val="auto"/>
        </w:rPr>
        <w:t xml:space="preserve">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right="20"/>
        <w:spacing w:after="0" w:line="270" w:lineRule="auto"/>
        <w:rPr>
          <w:sz w:val="20"/>
          <w:szCs w:val="20"/>
          <w:color w:val="auto"/>
        </w:rPr>
      </w:pPr>
      <w:r>
        <w:rPr>
          <w:rFonts w:ascii="Arial" w:cs="Arial" w:eastAsia="Arial" w:hAnsi="Arial"/>
          <w:sz w:val="17"/>
          <w:szCs w:val="17"/>
          <w:color w:val="auto"/>
        </w:rPr>
        <w:t>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i w:val="1"/>
          <w:iCs w:val="1"/>
          <w:color w:val="auto"/>
        </w:rPr>
        <w:t>EFFECT OF ACCELERATION.</w:t>
      </w:r>
      <w:r>
        <w:rPr>
          <w:rFonts w:ascii="Arial" w:cs="Arial" w:eastAsia="Arial" w:hAnsi="Arial"/>
          <w:sz w:val="17"/>
          <w:szCs w:val="17"/>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20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i w:val="1"/>
          <w:iCs w:val="1"/>
          <w:color w:val="auto"/>
        </w:rPr>
        <w:t>QUALIFIED PERFORMANCE-BASED AWARDS.</w:t>
      </w:r>
    </w:p>
    <w:p>
      <w:pPr>
        <w:spacing w:after="0" w:line="252" w:lineRule="exact"/>
        <w:rPr>
          <w:sz w:val="20"/>
          <w:szCs w:val="20"/>
          <w:color w:val="auto"/>
        </w:rPr>
      </w:pPr>
    </w:p>
    <w:p>
      <w:pPr>
        <w:ind w:left="660" w:right="20" w:firstLine="320"/>
        <w:spacing w:after="0" w:line="264" w:lineRule="auto"/>
        <w:tabs>
          <w:tab w:leader="none" w:pos="19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208" w:lineRule="exact"/>
        <w:rPr>
          <w:rFonts w:ascii="Arial" w:cs="Arial" w:eastAsia="Arial" w:hAnsi="Arial"/>
          <w:sz w:val="18"/>
          <w:szCs w:val="18"/>
          <w:color w:val="auto"/>
        </w:rPr>
      </w:pPr>
    </w:p>
    <w:p>
      <w:pPr>
        <w:ind w:left="660" w:firstLine="320"/>
        <w:spacing w:after="0" w:line="255" w:lineRule="auto"/>
        <w:tabs>
          <w:tab w:leader="none" w:pos="19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20" w:lineRule="exact"/>
        <w:rPr>
          <w:rFonts w:ascii="Arial" w:cs="Arial" w:eastAsia="Arial" w:hAnsi="Arial"/>
          <w:sz w:val="18"/>
          <w:szCs w:val="18"/>
          <w:color w:val="auto"/>
        </w:rPr>
      </w:pPr>
    </w:p>
    <w:p>
      <w:pPr>
        <w:ind w:left="1300" w:hanging="13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Costs and expenses, including Research &amp; Development and Selling, General &amp; Administrative</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ind w:left="644" w:hanging="130"/>
        <w:spacing w:after="0"/>
        <w:tabs>
          <w:tab w:leader="none" w:pos="6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efficiency (including yield enhancement and cycle time reductions), quality improvements and customer satisfaction</w:t>
      </w:r>
    </w:p>
    <w:p>
      <w:pPr>
        <w:spacing w:after="0" w:line="263" w:lineRule="exact"/>
        <w:rPr>
          <w:rFonts w:ascii="Arial" w:cs="Arial" w:eastAsia="Arial" w:hAnsi="Arial"/>
          <w:sz w:val="17"/>
          <w:szCs w:val="17"/>
          <w:color w:val="auto"/>
        </w:rPr>
      </w:pPr>
    </w:p>
    <w:p>
      <w:pPr>
        <w:ind w:left="644" w:right="20" w:hanging="130"/>
        <w:spacing w:after="0" w:line="277"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97" w:lineRule="exact"/>
        <w:rPr>
          <w:rFonts w:ascii="Arial" w:cs="Arial" w:eastAsia="Arial" w:hAnsi="Arial"/>
          <w:sz w:val="18"/>
          <w:szCs w:val="18"/>
          <w:color w:val="auto"/>
        </w:rPr>
      </w:pPr>
    </w:p>
    <w:p>
      <w:pPr>
        <w:ind w:left="644" w:hanging="130"/>
        <w:spacing w:after="0"/>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52" w:lineRule="exact"/>
        <w:rPr>
          <w:rFonts w:ascii="Arial" w:cs="Arial" w:eastAsia="Arial" w:hAnsi="Arial"/>
          <w:sz w:val="18"/>
          <w:szCs w:val="18"/>
          <w:color w:val="auto"/>
        </w:rPr>
      </w:pPr>
    </w:p>
    <w:p>
      <w:pPr>
        <w:ind w:left="644" w:hanging="130"/>
        <w:spacing w:after="0"/>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52" w:lineRule="exact"/>
        <w:rPr>
          <w:rFonts w:ascii="Arial" w:cs="Arial" w:eastAsia="Arial" w:hAnsi="Arial"/>
          <w:sz w:val="18"/>
          <w:szCs w:val="18"/>
          <w:color w:val="auto"/>
        </w:rPr>
      </w:pPr>
    </w:p>
    <w:p>
      <w:pPr>
        <w:ind w:left="644" w:hanging="130"/>
        <w:spacing w:after="0"/>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w:t>
      </w:r>
    </w:p>
    <w:p>
      <w:pPr>
        <w:spacing w:after="0" w:line="252" w:lineRule="exact"/>
        <w:rPr>
          <w:rFonts w:ascii="Arial" w:cs="Arial" w:eastAsia="Arial" w:hAnsi="Arial"/>
          <w:sz w:val="18"/>
          <w:szCs w:val="18"/>
          <w:color w:val="auto"/>
        </w:rPr>
      </w:pPr>
    </w:p>
    <w:p>
      <w:pPr>
        <w:ind w:left="644" w:hanging="130"/>
        <w:spacing w:after="0" w:line="308" w:lineRule="auto"/>
        <w:tabs>
          <w:tab w:leader="none" w:pos="6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74" w:lineRule="exact"/>
        <w:rPr>
          <w:sz w:val="20"/>
          <w:szCs w:val="20"/>
          <w:color w:val="auto"/>
        </w:rPr>
      </w:pPr>
    </w:p>
    <w:p>
      <w:pPr>
        <w:ind w:left="4" w:right="100" w:firstLine="324"/>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2" w:lineRule="exact"/>
        <w:rPr>
          <w:sz w:val="20"/>
          <w:szCs w:val="20"/>
          <w:color w:val="auto"/>
        </w:rPr>
      </w:pPr>
    </w:p>
    <w:p>
      <w:pPr>
        <w:ind w:left="4" w:right="120" w:firstLine="320"/>
        <w:spacing w:after="0" w:line="270" w:lineRule="auto"/>
        <w:tabs>
          <w:tab w:leader="none" w:pos="1293" w:val="left"/>
        </w:tabs>
        <w:numPr>
          <w:ilvl w:val="1"/>
          <w:numId w:val="18"/>
        </w:numPr>
        <w:rPr>
          <w:rFonts w:ascii="Arial" w:cs="Arial" w:eastAsia="Arial" w:hAnsi="Arial"/>
          <w:sz w:val="17"/>
          <w:szCs w:val="17"/>
          <w:color w:val="auto"/>
        </w:rPr>
      </w:pPr>
      <w:r>
        <w:rPr>
          <w:rFonts w:ascii="Arial" w:cs="Arial" w:eastAsia="Arial" w:hAnsi="Arial"/>
          <w:sz w:val="17"/>
          <w:szCs w:val="17"/>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w:t>
      </w:r>
    </w:p>
    <w:p>
      <w:pPr>
        <w:spacing w:after="0" w:line="204" w:lineRule="exact"/>
        <w:rPr>
          <w:rFonts w:ascii="Arial" w:cs="Arial" w:eastAsia="Arial" w:hAnsi="Arial"/>
          <w:sz w:val="17"/>
          <w:szCs w:val="17"/>
          <w:color w:val="auto"/>
        </w:rPr>
      </w:pPr>
    </w:p>
    <w:p>
      <w:pPr>
        <w:ind w:left="4" w:right="120" w:firstLine="320"/>
        <w:spacing w:after="0" w:line="286"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at the time the performance goals are established, that any evaluation of performance shall include, exclude or otherwise equitably adjust for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w:t>
      </w:r>
    </w:p>
    <w:p>
      <w:pPr>
        <w:spacing w:after="0" w:line="1" w:lineRule="exact"/>
        <w:rPr>
          <w:rFonts w:ascii="Arial" w:cs="Arial" w:eastAsia="Arial" w:hAnsi="Arial"/>
          <w:sz w:val="16"/>
          <w:szCs w:val="16"/>
          <w:color w:val="auto"/>
        </w:rPr>
      </w:pPr>
    </w:p>
    <w:p>
      <w:pPr>
        <w:jc w:val="both"/>
        <w:ind w:left="4" w:right="140" w:hanging="4"/>
        <w:spacing w:after="0" w:line="273" w:lineRule="auto"/>
        <w:tabs>
          <w:tab w:leader="none" w:pos="2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extraordinary nonrecurring items as described in Accounting Principles Board Opinion No. 30 and /or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03" w:lineRule="exact"/>
        <w:rPr>
          <w:rFonts w:ascii="Arial" w:cs="Arial" w:eastAsia="Arial" w:hAnsi="Arial"/>
          <w:sz w:val="17"/>
          <w:szCs w:val="17"/>
          <w:color w:val="auto"/>
        </w:rPr>
      </w:pPr>
    </w:p>
    <w:p>
      <w:pPr>
        <w:ind w:left="4" w:right="180" w:firstLine="320"/>
        <w:spacing w:after="0" w:line="277" w:lineRule="auto"/>
        <w:tabs>
          <w:tab w:leader="none" w:pos="12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payment of a Qualified Performance-Based Award granted with performance goals pursuant to subsection (c) above shall be conditioned on the written certification of the Committee in each case that</w:t>
      </w:r>
    </w:p>
    <w:p>
      <w:pPr>
        <w:spacing w:after="0" w:line="193"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9" w:name="page20"/>
    <w:bookmarkEnd w:id="19"/>
    <w:p>
      <w:pPr>
        <w:ind w:left="660" w:right="20"/>
        <w:spacing w:after="0" w:line="270" w:lineRule="auto"/>
        <w:rPr>
          <w:sz w:val="20"/>
          <w:szCs w:val="20"/>
          <w:color w:val="auto"/>
        </w:rPr>
      </w:pPr>
      <w:r>
        <w:rPr>
          <w:rFonts w:ascii="Arial" w:cs="Arial" w:eastAsia="Arial" w:hAnsi="Arial"/>
          <w:sz w:val="17"/>
          <w:szCs w:val="17"/>
          <w:color w:val="auto"/>
        </w:rPr>
        <w:t>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205" w:lineRule="exact"/>
        <w:rPr>
          <w:sz w:val="20"/>
          <w:szCs w:val="20"/>
          <w:color w:val="auto"/>
        </w:rPr>
      </w:pPr>
    </w:p>
    <w:p>
      <w:pPr>
        <w:ind w:left="660" w:right="280" w:firstLine="320"/>
        <w:spacing w:after="0" w:line="277" w:lineRule="auto"/>
        <w:tabs>
          <w:tab w:leader="none" w:pos="19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that may be granted in any one-year period to a Participant in designated forms of stock-based Awards.</w:t>
      </w:r>
    </w:p>
    <w:p>
      <w:pPr>
        <w:spacing w:after="0" w:line="197" w:lineRule="exact"/>
        <w:rPr>
          <w:rFonts w:ascii="Arial" w:cs="Arial" w:eastAsia="Arial" w:hAnsi="Arial"/>
          <w:sz w:val="18"/>
          <w:szCs w:val="18"/>
          <w:color w:val="auto"/>
        </w:rPr>
      </w:pPr>
    </w:p>
    <w:p>
      <w:pPr>
        <w:ind w:left="660" w:right="40" w:firstLine="320"/>
        <w:spacing w:after="0" w:line="290" w:lineRule="auto"/>
        <w:tabs>
          <w:tab w:leader="none" w:pos="19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21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i w:val="1"/>
          <w:iCs w:val="1"/>
          <w:color w:val="auto"/>
        </w:rPr>
        <w:t>FORFEITURE EVENTS.</w:t>
      </w:r>
      <w:r>
        <w:rPr>
          <w:rFonts w:ascii="Arial" w:cs="Arial" w:eastAsia="Arial" w:hAnsi="Arial"/>
          <w:sz w:val="17"/>
          <w:szCs w:val="17"/>
          <w:color w:val="auto"/>
        </w:rPr>
        <w:t xml:space="preserve">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i w:val="1"/>
          <w:iCs w:val="1"/>
          <w:color w:val="auto"/>
        </w:rPr>
        <w:t>SUBSTITUTE AWARDS.</w:t>
      </w:r>
      <w:r>
        <w:rPr>
          <w:rFonts w:ascii="Arial" w:cs="Arial" w:eastAsia="Arial" w:hAnsi="Arial"/>
          <w:sz w:val="17"/>
          <w:szCs w:val="17"/>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CHANGES IN CAPITAL STRUCTURE</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i w:val="1"/>
          <w:iCs w:val="1"/>
          <w:color w:val="auto"/>
        </w:rPr>
        <w:t>MANDATORY ADJUSTMENTS.</w:t>
      </w:r>
      <w:r>
        <w:rPr>
          <w:rFonts w:ascii="Arial" w:cs="Arial" w:eastAsia="Arial" w:hAnsi="Arial"/>
          <w:sz w:val="17"/>
          <w:szCs w:val="17"/>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2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DISCRETIONARY ADJUSTMENTS.</w:t>
      </w:r>
      <w:r>
        <w:rPr>
          <w:rFonts w:ascii="Arial" w:cs="Arial" w:eastAsia="Arial" w:hAnsi="Arial"/>
          <w:sz w:val="17"/>
          <w:szCs w:val="17"/>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performance targets and performance periods for Performance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20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AMENDMENT, MODIFICATION AND TERMINATION.</w:t>
      </w:r>
      <w:r>
        <w:rPr>
          <w:rFonts w:ascii="Arial" w:cs="Arial" w:eastAsia="Arial" w:hAnsi="Arial"/>
          <w:sz w:val="16"/>
          <w:szCs w:val="16"/>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At any time and from time to time, the Committee may amend, modify or terminate any outstanding Award without approval of the Participant; provided, however:</w:t>
      </w:r>
    </w:p>
    <w:p>
      <w:pPr>
        <w:spacing w:after="0" w:line="197" w:lineRule="exact"/>
        <w:rPr>
          <w:sz w:val="20"/>
          <w:szCs w:val="20"/>
          <w:color w:val="auto"/>
        </w:rPr>
      </w:pPr>
    </w:p>
    <w:p>
      <w:pPr>
        <w:ind w:left="660" w:right="500" w:firstLine="320"/>
        <w:spacing w:after="0" w:line="277" w:lineRule="auto"/>
        <w:tabs>
          <w:tab w:leader="none" w:pos="19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jc w:val="both"/>
        <w:ind w:left="660" w:right="180"/>
        <w:spacing w:after="0" w:line="264" w:lineRule="auto"/>
        <w:rPr>
          <w:sz w:val="20"/>
          <w:szCs w:val="20"/>
          <w:color w:val="auto"/>
        </w:rPr>
      </w:pPr>
      <w:r>
        <w:rPr>
          <w:rFonts w:ascii="Arial" w:cs="Arial" w:eastAsia="Arial" w:hAnsi="Arial"/>
          <w:sz w:val="18"/>
          <w:szCs w:val="18"/>
          <w:color w:val="auto"/>
        </w:rPr>
        <w:t>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208" w:lineRule="exact"/>
        <w:rPr>
          <w:sz w:val="20"/>
          <w:szCs w:val="20"/>
          <w:color w:val="auto"/>
        </w:rPr>
      </w:pPr>
    </w:p>
    <w:p>
      <w:pPr>
        <w:ind w:left="1960" w:hanging="980"/>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52" w:lineRule="exact"/>
        <w:rPr>
          <w:rFonts w:ascii="Arial" w:cs="Arial" w:eastAsia="Arial" w:hAnsi="Arial"/>
          <w:sz w:val="18"/>
          <w:szCs w:val="18"/>
          <w:color w:val="auto"/>
        </w:rPr>
      </w:pPr>
    </w:p>
    <w:p>
      <w:pPr>
        <w:ind w:left="660" w:right="140" w:firstLine="320"/>
        <w:spacing w:after="0" w:line="277" w:lineRule="auto"/>
        <w:tabs>
          <w:tab w:leader="none" w:pos="19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97" w:lineRule="exact"/>
        <w:rPr>
          <w:rFonts w:ascii="Arial" w:cs="Arial" w:eastAsia="Arial" w:hAnsi="Arial"/>
          <w:sz w:val="18"/>
          <w:szCs w:val="18"/>
          <w:color w:val="auto"/>
        </w:rPr>
      </w:pPr>
    </w:p>
    <w:p>
      <w:pPr>
        <w:ind w:left="660" w:firstLine="320"/>
        <w:spacing w:after="0" w:line="297" w:lineRule="auto"/>
        <w:tabs>
          <w:tab w:leader="none" w:pos="1959"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i w:val="1"/>
          <w:iCs w:val="1"/>
          <w:color w:val="auto"/>
        </w:rPr>
        <w:t>COMPLIANCE AMENDMENTS.</w:t>
      </w:r>
      <w:r>
        <w:rPr>
          <w:rFonts w:ascii="Arial" w:cs="Arial" w:eastAsia="Arial" w:hAnsi="Arial"/>
          <w:sz w:val="17"/>
          <w:szCs w:val="17"/>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xml:space="preserve"> No Award gives a Participant any of the rights of a stockholder of the Company unless and until Shares are in fact issued to such person in connection with such Award.</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i w:val="1"/>
          <w:iCs w:val="1"/>
          <w:color w:val="auto"/>
        </w:rPr>
        <w:t>SPECIAL PROVISIONS RELATED TO SECTION 409A OF THE CODE.</w:t>
      </w:r>
    </w:p>
    <w:p>
      <w:pPr>
        <w:spacing w:after="0" w:line="252" w:lineRule="exact"/>
        <w:rPr>
          <w:sz w:val="20"/>
          <w:szCs w:val="20"/>
          <w:color w:val="auto"/>
        </w:rPr>
      </w:pPr>
    </w:p>
    <w:p>
      <w:pPr>
        <w:ind w:left="660" w:firstLine="320"/>
        <w:spacing w:after="0" w:line="269" w:lineRule="auto"/>
        <w:tabs>
          <w:tab w:leader="none" w:pos="19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Notwithstanding anything in the Plan or in any Award Certificate to the contrary, to the extent that any amount or benefit that would constitute non-exempt "deferred compensation" for purposes of Section 409A of the Code would otherwise be payable or distributable under the Plan or any Award Certificate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or (ii) the payment or distribution of such amount or benefit would be exempt from the application of Section 409A of the Code by reason of the short-term deferral exemption or otherwise. This provision does not prohibit the </w:t>
      </w:r>
      <w:r>
        <w:rPr>
          <w:rFonts w:ascii="Arial" w:cs="Arial" w:eastAsia="Arial" w:hAnsi="Arial"/>
          <w:sz w:val="17"/>
          <w:szCs w:val="17"/>
          <w:i w:val="1"/>
          <w:iCs w:val="1"/>
          <w:color w:val="auto"/>
        </w:rPr>
        <w:t>vesting</w:t>
      </w:r>
      <w:r>
        <w:rPr>
          <w:rFonts w:ascii="Arial" w:cs="Arial" w:eastAsia="Arial" w:hAnsi="Arial"/>
          <w:sz w:val="17"/>
          <w:szCs w:val="17"/>
          <w:color w:val="auto"/>
        </w:rPr>
        <w:t xml:space="preserve">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Certificate that is permissible under Section 409A.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ind w:left="660" w:right="360" w:firstLine="320"/>
        <w:spacing w:after="0" w:line="259" w:lineRule="auto"/>
        <w:tabs>
          <w:tab w:leader="none" w:pos="19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President) shall determine which Awards or portions thereof will be subject to such exemptions.</w:t>
      </w:r>
    </w:p>
    <w:p>
      <w:pPr>
        <w:spacing w:after="0" w:line="213" w:lineRule="exact"/>
        <w:rPr>
          <w:rFonts w:ascii="Arial" w:cs="Arial" w:eastAsia="Arial" w:hAnsi="Arial"/>
          <w:sz w:val="18"/>
          <w:szCs w:val="18"/>
          <w:color w:val="auto"/>
        </w:rPr>
      </w:pPr>
    </w:p>
    <w:p>
      <w:pPr>
        <w:ind w:left="660" w:right="140" w:firstLine="320"/>
        <w:spacing w:after="0" w:line="276" w:lineRule="auto"/>
        <w:tabs>
          <w:tab w:leader="none" w:pos="19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Notwithstanding anything in the Plan or in any Award Certificate to the contrary, if any amount or benefit that would constitute non-exempt "deferred compensation" for purposes of Section 409A of the Code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99" w:lineRule="exact"/>
        <w:rPr>
          <w:rFonts w:ascii="Arial" w:cs="Arial" w:eastAsia="Arial" w:hAnsi="Arial"/>
          <w:sz w:val="17"/>
          <w:szCs w:val="17"/>
          <w:color w:val="auto"/>
        </w:rPr>
      </w:pPr>
    </w:p>
    <w:p>
      <w:pPr>
        <w:jc w:val="both"/>
        <w:ind w:left="980" w:right="80" w:firstLine="325"/>
        <w:spacing w:after="0" w:line="264" w:lineRule="auto"/>
        <w:tabs>
          <w:tab w:leader="none" w:pos="17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208" w:lineRule="exact"/>
        <w:rPr>
          <w:rFonts w:ascii="Arial" w:cs="Arial" w:eastAsia="Arial" w:hAnsi="Arial"/>
          <w:sz w:val="18"/>
          <w:szCs w:val="18"/>
          <w:color w:val="auto"/>
        </w:rPr>
      </w:pPr>
    </w:p>
    <w:p>
      <w:pPr>
        <w:ind w:left="980" w:firstLine="325"/>
        <w:spacing w:after="0" w:line="297" w:lineRule="auto"/>
        <w:tabs>
          <w:tab w:leader="none" w:pos="2019"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For purposes of this Plan, the term "Specified Employee" has the meaning given such term in Code Section 409A and the final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permitted in such final regulations, the Company's Specified Employees and its application of the six-month delay rule of Code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17.4. </w:t>
      </w:r>
      <w:r>
        <w:rPr>
          <w:rFonts w:ascii="Arial" w:cs="Arial" w:eastAsia="Arial" w:hAnsi="Arial"/>
          <w:sz w:val="17"/>
          <w:szCs w:val="17"/>
          <w:i w:val="1"/>
          <w:iCs w:val="1"/>
          <w:color w:val="auto"/>
        </w:rPr>
        <w:t>WITHHOLDING.</w:t>
      </w:r>
      <w:r>
        <w:rPr>
          <w:rFonts w:ascii="Arial" w:cs="Arial" w:eastAsia="Arial" w:hAnsi="Arial"/>
          <w:sz w:val="17"/>
          <w:szCs w:val="17"/>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2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 xml:space="preserve">17.6. </w:t>
      </w:r>
      <w:r>
        <w:rPr>
          <w:rFonts w:ascii="Arial" w:cs="Arial" w:eastAsia="Arial" w:hAnsi="Arial"/>
          <w:sz w:val="17"/>
          <w:szCs w:val="17"/>
          <w:i w:val="1"/>
          <w:iCs w:val="1"/>
          <w:color w:val="auto"/>
        </w:rPr>
        <w:t>UNFUNDED STATUS OF AWARDS.</w:t>
      </w:r>
      <w:r>
        <w:rPr>
          <w:rFonts w:ascii="Arial" w:cs="Arial" w:eastAsia="Arial" w:hAnsi="Arial"/>
          <w:sz w:val="17"/>
          <w:szCs w:val="17"/>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5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xml:space="preserve"> The titles and headings of the Sections in the Plan are for convenience of reference only, and in the event of any conflict, the text of the Plan, rather than such titles or headings, shall control.</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i w:val="1"/>
          <w:iCs w:val="1"/>
          <w:color w:val="auto"/>
        </w:rPr>
        <w:t>GOVERNMENT AND OTHER REGULATIONS.</w:t>
      </w:r>
    </w:p>
    <w:p>
      <w:pPr>
        <w:spacing w:after="0" w:line="252" w:lineRule="exact"/>
        <w:rPr>
          <w:sz w:val="20"/>
          <w:szCs w:val="20"/>
          <w:color w:val="auto"/>
        </w:rPr>
      </w:pPr>
    </w:p>
    <w:p>
      <w:pPr>
        <w:ind w:left="660" w:right="160" w:firstLine="320"/>
        <w:spacing w:after="0" w:line="276" w:lineRule="auto"/>
        <w:tabs>
          <w:tab w:leader="none" w:pos="1949"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99" w:lineRule="exact"/>
        <w:rPr>
          <w:rFonts w:ascii="Arial" w:cs="Arial" w:eastAsia="Arial" w:hAnsi="Arial"/>
          <w:sz w:val="17"/>
          <w:szCs w:val="17"/>
          <w:color w:val="auto"/>
        </w:rPr>
      </w:pPr>
    </w:p>
    <w:p>
      <w:pPr>
        <w:ind w:left="660" w:right="100" w:firstLine="320"/>
        <w:spacing w:after="0" w:line="269" w:lineRule="auto"/>
        <w:tabs>
          <w:tab w:leader="none" w:pos="19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2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xml:space="preserve"> Each Award Certificate may contain such other terms and conditions as the Committee may determine; provided that such other terms and conditions are not inconsistent with the provisions of the Plan.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spacing w:after="0" w:line="273"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i w:val="1"/>
          <w:iCs w:val="1"/>
          <w:color w:val="auto"/>
        </w:rPr>
        <w:t>NO LIMITATIONS ON RIGHTS OF COMPANY.</w:t>
      </w:r>
      <w:r>
        <w:rPr>
          <w:rFonts w:ascii="Arial" w:cs="Arial" w:eastAsia="Arial" w:hAnsi="Arial"/>
          <w:sz w:val="17"/>
          <w:szCs w:val="17"/>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lvl w:ilvl="1">
      <w:lvlJc w:val="left"/>
      <w:lvlText w:val="(%2)"/>
      <w:numFmt w:val="lowerLetter"/>
      <w:start w:val="9"/>
    </w:lvl>
  </w:abstractNum>
  <w:abstractNum w:abstractNumId="1">
    <w:nsid w:val="109CF92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
    <w:nsid w:val="DED7263"/>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3"/>
    </w:lvl>
  </w:abstractNum>
  <w:abstractNum w:abstractNumId="3">
    <w:nsid w:val="7FDCC233"/>
    <w:multiLevelType w:val="hybridMultilevel"/>
    <w:lvl w:ilvl="0">
      <w:lvlJc w:val="left"/>
      <w:lvlText w:val="%1"/>
      <w:numFmt w:val="lowerLetter"/>
      <w:start w:val="1"/>
    </w:lvl>
    <w:lvl w:ilvl="1">
      <w:lvlJc w:val="left"/>
      <w:lvlText w:val="(%2)"/>
      <w:numFmt w:val="lowerLetter"/>
      <w:start w:val="10"/>
    </w:lvl>
  </w:abstractNum>
  <w:abstractNum w:abstractNumId="4">
    <w:nsid w:val="1BEFD79F"/>
    <w:multiLevelType w:val="hybridMultilevel"/>
    <w:lvl w:ilvl="0">
      <w:lvlJc w:val="left"/>
      <w:lvlText w:val="(%1)"/>
      <w:numFmt w:val="lowerLetter"/>
      <w:start w:val="35"/>
    </w:lvl>
    <w:lvl w:ilvl="1">
      <w:lvlJc w:val="left"/>
      <w:lvlText w:val="(%2)"/>
      <w:numFmt w:val="lowerLetter"/>
      <w:start w:val="18"/>
    </w:lvl>
  </w:abstractNum>
  <w:abstractNum w:abstractNumId="5">
    <w:nsid w:val="41A7C4C9"/>
    <w:multiLevelType w:val="hybridMultilevel"/>
    <w:lvl w:ilvl="0">
      <w:lvlJc w:val="left"/>
      <w:lvlText w:val="(%1)"/>
      <w:numFmt w:val="lowerLetter"/>
      <w:start w:val="20"/>
    </w:lvl>
  </w:abstractNum>
  <w:abstractNum w:abstractNumId="6">
    <w:nsid w:val="6B68079A"/>
    <w:multiLevelType w:val="hybridMultilevel"/>
    <w:lvl w:ilvl="0">
      <w:lvlJc w:val="left"/>
      <w:lvlText w:val="(%1)"/>
      <w:numFmt w:val="lowerLetter"/>
      <w:start w:val="27"/>
    </w:lvl>
  </w:abstractNum>
  <w:abstractNum w:abstractNumId="7">
    <w:nsid w:val="4E6AFB66"/>
    <w:multiLevelType w:val="hybridMultilevel"/>
    <w:lvl w:ilvl="0">
      <w:lvlJc w:val="left"/>
      <w:lvlText w:val="(%1)"/>
      <w:numFmt w:val="lowerLetter"/>
      <w:start w:val="34"/>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lvl w:ilvl="1">
      <w:lvlJc w:val="left"/>
      <w:lvlText w:val="(%2)"/>
      <w:numFmt w:val="decimal"/>
      <w:start w:val="1"/>
    </w:lvl>
  </w:abstractNum>
  <w:abstractNum w:abstractNumId="13">
    <w:nsid w:val="257130A3"/>
    <w:multiLevelType w:val="hybridMultilevel"/>
    <w:lvl w:ilvl="0">
      <w:lvlJc w:val="left"/>
      <w:lvlText w:val="(%1)"/>
      <w:numFmt w:val="lowerLetter"/>
      <w:start w:val="2"/>
    </w:lvl>
    <w:lvl w:ilvl="1">
      <w:lvlJc w:val="left"/>
      <w:lvlText w:val="%2"/>
      <w:numFmt w:val="decimal"/>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Letter"/>
      <w:start w:val="1"/>
    </w:lvl>
    <w:lvl w:ilvl="1">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lvl w:ilvl="1">
      <w:lvlJc w:val="left"/>
      <w:lvlText w:val="(%2)"/>
      <w:numFmt w:val="lowerLetter"/>
      <w:start w:val="3"/>
    </w:lvl>
  </w:abstractNum>
  <w:abstractNum w:abstractNumId="18">
    <w:nsid w:val="721DA317"/>
    <w:multiLevelType w:val="hybridMultilevel"/>
    <w:lvl w:ilvl="0">
      <w:lvlJc w:val="left"/>
      <w:lvlText w:val="(%1)"/>
      <w:numFmt w:val="lowerLetter"/>
      <w:start w:val="5"/>
    </w:lvl>
    <w:lvl w:ilvl="1">
      <w:lvlJc w:val="left"/>
      <w:lvlText w:val="(%2)"/>
      <w:numFmt w:val="lowerLetter"/>
      <w:start w:val="5"/>
    </w:lvl>
  </w:abstractNum>
  <w:abstractNum w:abstractNumId="19">
    <w:nsid w:val="2443A858"/>
    <w:multiLevelType w:val="hybridMultilevel"/>
    <w:lvl w:ilvl="0">
      <w:lvlJc w:val="left"/>
      <w:lvlText w:val="(%1)"/>
      <w:numFmt w:val="lowerLetter"/>
      <w:start w:val="6"/>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2"/>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lvl w:ilvl="1">
      <w:lvlJc w:val="left"/>
      <w:lvlText w:val="(%2)"/>
      <w:numFmt w:val="lowerRoman"/>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2019-12-13T12:58:13Z</dcterms:created>
  <dcterms:modified xsi:type="dcterms:W3CDTF">2019-12-13T12:58:13Z</dcterms:modified>
</cp:coreProperties>
</file>