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13,118,419</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85,300,161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85,300,161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14.280%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85,300,161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85,300,161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14.280%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85,300,161</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85,300,161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14.280%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 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ectPr>
          <w:pgSz w:w="11900" w:h="16838" w:orient="portrait"/>
          <w:cols w:equalWidth="0" w:num="1">
            <w:col w:w="10219"/>
          </w:cols>
          <w:pgMar w:left="240" w:top="244" w:right="1440" w:bottom="0" w:gutter="0" w:footer="0" w:header="0"/>
        </w:sectPr>
      </w:pPr>
    </w:p>
    <w:bookmarkStart w:id="1" w:name="page2"/>
    <w:bookmarkEnd w:id="1"/>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85,300,161</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14.280%</w:t>
            </w:r>
          </w:p>
        </w:tc>
        <w:tc>
          <w:tcPr>
            <w:tcW w:w="11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13,118,419</w:t>
      </w:r>
    </w:p>
    <w:p>
      <w:pPr>
        <w:spacing w:after="0" w:line="200" w:lineRule="exact"/>
        <w:rPr>
          <w:sz w:val="20"/>
          <w:szCs w:val="20"/>
          <w:color w:val="auto"/>
        </w:rPr>
      </w:pPr>
    </w:p>
    <w:p>
      <w:pPr>
        <w:sectPr>
          <w:pgSz w:w="11900" w:h="16838" w:orient="portrait"/>
          <w:cols w:equalWidth="0" w:num="2">
            <w:col w:w="1160" w:space="540"/>
            <w:col w:w="8519"/>
          </w:cols>
          <w:pgMar w:left="240" w:top="142"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85,300,161</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Incorporated. No one person's interest in the Common Stock of Micron Technology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the Common Stock of Micron Technology Incorporated at July 31, 2001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10, 2001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spacing w:after="0"/>
        <w:rPr>
          <w:sz w:val="20"/>
          <w:szCs w:val="20"/>
          <w:color w:val="auto"/>
        </w:rPr>
      </w:pPr>
      <w:r>
        <w:rPr>
          <w:rFonts w:ascii="Courier New" w:cs="Courier New" w:eastAsia="Courier New" w:hAnsi="Courier New"/>
          <w:sz w:val="18"/>
          <w:szCs w:val="18"/>
          <w:color w:val="auto"/>
        </w:rPr>
        <w:t>of FMR Corp. and its direct and indirect</w:t>
      </w:r>
    </w:p>
    <w:p>
      <w:pPr>
        <w:spacing w:after="0" w:line="237"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71,554,882 shares or 11.979% of the Common Stock</w:t>
      </w:r>
    </w:p>
    <w:p>
      <w:pPr>
        <w:spacing w:after="0"/>
        <w:tabs>
          <w:tab w:leader="none" w:pos="4940" w:val="left"/>
        </w:tabs>
        <w:rPr>
          <w:sz w:val="20"/>
          <w:szCs w:val="20"/>
          <w:color w:val="auto"/>
        </w:rPr>
      </w:pPr>
      <w:r>
        <w:rPr>
          <w:rFonts w:ascii="Courier New" w:cs="Courier New" w:eastAsia="Courier New" w:hAnsi="Courier New"/>
          <w:sz w:val="18"/>
          <w:szCs w:val="18"/>
          <w:color w:val="auto"/>
        </w:rPr>
        <w:t>outstanding of Micron Technology Incorporated</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71,554,882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8,398,818 shares or 1.406%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8,398,818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7,767,218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631,600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35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 As such, FMR Corp.'s beneficial ownership includes 750 shares, or 0.000%, of the Common Stock stock outstanding of Micron Technology Incorporated, beneficially owned through Strategic Advisers, Inc.</w:t>
      </w:r>
    </w:p>
    <w:p>
      <w:pPr>
        <w:spacing w:after="0" w:line="214"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4099" w:firstLine="843"/>
        <w:spacing w:after="0" w:line="275"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w:t>
      </w:r>
    </w:p>
    <w:p>
      <w:pPr>
        <w:sectPr>
          <w:pgSz w:w="11900" w:h="16838" w:orient="portrait"/>
          <w:cols w:equalWidth="0" w:num="1">
            <w:col w:w="10219"/>
          </w:cols>
          <w:pgMar w:left="240" w:top="136" w:right="1440" w:bottom="0" w:gutter="0" w:footer="0" w:header="0"/>
        </w:sectPr>
      </w:pPr>
    </w:p>
    <w:bookmarkStart w:id="3" w:name="page4"/>
    <w:bookmarkEnd w:id="3"/>
    <w:p>
      <w:pPr>
        <w:ind w:right="3779"/>
        <w:spacing w:after="0" w:line="237" w:lineRule="auto"/>
        <w:rPr>
          <w:sz w:val="20"/>
          <w:szCs w:val="20"/>
          <w:color w:val="auto"/>
        </w:rPr>
      </w:pPr>
      <w:r>
        <w:rPr>
          <w:rFonts w:ascii="Courier New" w:cs="Courier New" w:eastAsia="Courier New" w:hAnsi="Courier New"/>
          <w:sz w:val="18"/>
          <w:szCs w:val="18"/>
          <w:color w:val="auto"/>
        </w:rPr>
        <w:t>"International Funds") and certain institutional investors. Fidelity International Limited is the beneficial owner of 5,345,711 shares or 0.895% of the Common Stock outstanding of the Company.Additional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5,345,711 shares or 0.895% of the Common Stock outstanding of Micron Technology Incorporated.</w:t>
      </w:r>
    </w:p>
    <w:p>
      <w:pPr>
        <w:spacing w:after="0" w:line="211"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73"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w:t>
      </w:r>
    </w:p>
    <w:p>
      <w:pPr>
        <w:sectPr>
          <w:pgSz w:w="11900" w:h="16838" w:orient="portrait"/>
          <w:cols w:equalWidth="0" w:num="1">
            <w:col w:w="10219"/>
          </w:cols>
          <w:pgMar w:left="240" w:top="142" w:right="1440" w:bottom="0" w:gutter="0" w:footer="0" w:header="0"/>
        </w:sectPr>
      </w:pPr>
    </w:p>
    <w:bookmarkStart w:id="4" w:name="page5"/>
    <w:bookmarkEnd w:id="4"/>
    <w:p>
      <w:pPr>
        <w:ind w:right="3899"/>
        <w:spacing w:after="0" w:line="268" w:lineRule="auto"/>
        <w:rPr>
          <w:sz w:val="20"/>
          <w:szCs w:val="20"/>
          <w:color w:val="auto"/>
        </w:rPr>
      </w:pPr>
      <w:r>
        <w:rPr>
          <w:rFonts w:ascii="Courier New" w:cs="Courier New" w:eastAsia="Courier New" w:hAnsi="Courier New"/>
          <w:sz w:val="16"/>
          <w:szCs w:val="16"/>
          <w:color w:val="auto"/>
        </w:rPr>
        <w:t>Company's present Board of Directors or management, (iii) any material changes in the Company's present capitalization</w:t>
      </w:r>
    </w:p>
    <w:tbl>
      <w:tblPr>
        <w:tblLayout w:type="fixed"/>
        <w:tblInd w:w="0" w:type="dxa"/>
        <w:tblCellMar>
          <w:top w:w="0" w:type="dxa"/>
          <w:left w:w="0" w:type="dxa"/>
          <w:bottom w:w="0" w:type="dxa"/>
          <w:right w:w="0" w:type="dxa"/>
        </w:tblCellMar>
      </w:tblPr>
      <w:tr>
        <w:trPr>
          <w:trHeight w:val="199"/>
        </w:trPr>
        <w:tc>
          <w:tcPr>
            <w:tcW w:w="228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6"/>
              </w:rPr>
              <w:t>or dividend policy or</w:t>
            </w:r>
          </w:p>
        </w:tc>
        <w:tc>
          <w:tcPr>
            <w:tcW w:w="4160" w:type="dxa"/>
            <w:vAlign w:val="bottom"/>
            <w:gridSpan w:val="2"/>
          </w:tcPr>
          <w:p>
            <w:pPr>
              <w:ind w:left="40"/>
              <w:spacing w:after="0" w:line="198" w:lineRule="exact"/>
              <w:rPr>
                <w:sz w:val="20"/>
                <w:szCs w:val="20"/>
                <w:color w:val="auto"/>
              </w:rPr>
            </w:pPr>
            <w:r>
              <w:rPr>
                <w:rFonts w:ascii="Courier New" w:cs="Courier New" w:eastAsia="Courier New" w:hAnsi="Courier New"/>
                <w:sz w:val="18"/>
                <w:szCs w:val="18"/>
                <w:color w:val="auto"/>
              </w:rPr>
              <w:t>any other material change in the</w:t>
            </w: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Company's business or</w:t>
            </w:r>
          </w:p>
        </w:tc>
        <w:tc>
          <w:tcPr>
            <w:tcW w:w="4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corporate structure, (iv) any change in</w:t>
            </w: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the Company's charter</w:t>
            </w:r>
          </w:p>
        </w:tc>
        <w:tc>
          <w:tcPr>
            <w:tcW w:w="4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by-laws, or (v) the Company's</w:t>
            </w: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common stock becoming</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eligible</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termination of its</w:t>
            </w: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registration pursuant</w:t>
            </w:r>
          </w:p>
        </w:tc>
        <w:tc>
          <w:tcPr>
            <w:tcW w:w="4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Section 12(g)(4) of the 1934 Act.</w:t>
            </w:r>
          </w:p>
        </w:tc>
      </w:tr>
      <w:tr>
        <w:trPr>
          <w:trHeight w:val="405"/>
        </w:trPr>
        <w:tc>
          <w:tcPr>
            <w:tcW w:w="1220" w:type="dxa"/>
            <w:vAlign w:val="bottom"/>
          </w:tcPr>
          <w:p>
            <w:pPr>
              <w:ind w:left="860"/>
              <w:spacing w:after="0"/>
              <w:rPr>
                <w:sz w:val="20"/>
                <w:szCs w:val="20"/>
                <w:color w:val="auto"/>
              </w:rPr>
            </w:pPr>
            <w:r>
              <w:rPr>
                <w:rFonts w:ascii="Courier New" w:cs="Courier New" w:eastAsia="Courier New" w:hAnsi="Courier New"/>
                <w:sz w:val="18"/>
                <w:szCs w:val="18"/>
                <w:color w:val="auto"/>
              </w:rPr>
              <w:t>FIL</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has sole</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power to</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vote and the sole power to</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dispose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5,345,711</w:t>
            </w: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32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August 10, 2001, agree</w:t>
      </w:r>
    </w:p>
    <w:p>
      <w:pPr>
        <w:spacing w:after="0" w:line="4"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and consent to the joint filing on their behalf of this Schedule 13G in connection with their beneficial ownership of the Common Stock of Micron Technology Incorporated at July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2001.</w:t>
            </w:r>
          </w:p>
        </w:tc>
        <w:tc>
          <w:tcPr>
            <w:tcW w:w="3840" w:type="dxa"/>
            <w:vAlign w:val="bottom"/>
          </w:tcPr>
          <w:p>
            <w:pPr>
              <w:spacing w:after="0"/>
              <w:rPr>
                <w:sz w:val="17"/>
                <w:szCs w:val="17"/>
                <w:color w:val="auto"/>
              </w:rPr>
            </w:pP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FMR Corp.</w:t>
            </w:r>
          </w:p>
        </w:tc>
        <w:tc>
          <w:tcPr>
            <w:tcW w:w="384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Duly 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Duly 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2019-12-11T19:42:45Z</dcterms:created>
  <dcterms:modified xsi:type="dcterms:W3CDTF">2019-12-11T19:42:45Z</dcterms:modified>
</cp:coreProperties>
</file>