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4775835</wp:posOffset>
            </wp:positionH>
            <wp:positionV relativeFrom="page">
              <wp:posOffset>144780</wp:posOffset>
            </wp:positionV>
            <wp:extent cx="1397635" cy="866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866140"/>
                    </a:xfrm>
                    <a:prstGeom prst="rect">
                      <a:avLst/>
                    </a:prstGeom>
                    <a:noFill/>
                  </pic:spPr>
                </pic:pic>
              </a:graphicData>
            </a:graphic>
          </wp:anchor>
        </w:drawing>
        <w:t>OMB APPROVAL</w:t>
      </w:r>
    </w:p>
    <w:p>
      <w:pPr>
        <w:ind w:left="7300"/>
        <w:spacing w:after="0"/>
        <w:rPr>
          <w:sz w:val="20"/>
          <w:szCs w:val="20"/>
          <w:color w:val="auto"/>
        </w:rPr>
      </w:pPr>
      <w:r>
        <w:rPr>
          <w:sz w:val="1"/>
          <w:szCs w:val="1"/>
          <w:color w:val="auto"/>
        </w:rPr>
        <w:drawing>
          <wp:inline distT="0" distB="0" distL="0" distR="0">
            <wp:extent cx="34290" cy="180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180975"/>
                    </a:xfrm>
                    <a:prstGeom prst="rect">
                      <a:avLst/>
                    </a:prstGeom>
                    <a:noFill/>
                    <a:ln>
                      <a:noFill/>
                    </a:ln>
                  </pic:spPr>
                </pic:pic>
              </a:graphicData>
            </a:graphic>
          </wp:inline>
        </w:drawing>
      </w:r>
      <w:r>
        <w:rPr>
          <w:rFonts w:ascii="Arial" w:cs="Arial" w:eastAsia="Arial" w:hAnsi="Arial"/>
          <w:sz w:val="16"/>
          <w:szCs w:val="16"/>
          <w:color w:val="auto"/>
        </w:rPr>
        <w:t>OMB Number: 3235-0145</w:t>
      </w:r>
    </w:p>
    <w:p>
      <w:pPr>
        <w:spacing w:after="0" w:line="16" w:lineRule="exact"/>
        <w:rPr>
          <w:sz w:val="24"/>
          <w:szCs w:val="24"/>
          <w:color w:val="auto"/>
        </w:rPr>
      </w:pPr>
    </w:p>
    <w:p>
      <w:pPr>
        <w:ind w:left="7340"/>
        <w:spacing w:after="0"/>
        <w:rPr>
          <w:sz w:val="20"/>
          <w:szCs w:val="20"/>
          <w:color w:val="auto"/>
        </w:rPr>
      </w:pPr>
      <w:r>
        <w:rPr>
          <w:rFonts w:ascii="Arial" w:cs="Arial" w:eastAsia="Arial" w:hAnsi="Arial"/>
          <w:sz w:val="15"/>
          <w:szCs w:val="15"/>
          <w:color w:val="auto"/>
        </w:rPr>
        <w:t>Expires: February 28, 2009</w:t>
      </w:r>
    </w:p>
    <w:p>
      <w:pPr>
        <w:spacing w:after="0" w:line="96" w:lineRule="exact"/>
        <w:rPr>
          <w:sz w:val="24"/>
          <w:szCs w:val="24"/>
          <w:color w:val="auto"/>
        </w:rPr>
      </w:pPr>
    </w:p>
    <w:p>
      <w:pPr>
        <w:ind w:left="7340"/>
        <w:spacing w:after="0"/>
        <w:rPr>
          <w:sz w:val="20"/>
          <w:szCs w:val="20"/>
          <w:color w:val="auto"/>
        </w:rPr>
      </w:pPr>
      <w:r>
        <w:rPr>
          <w:rFonts w:ascii="Arial" w:cs="Arial" w:eastAsia="Arial" w:hAnsi="Arial"/>
          <w:sz w:val="16"/>
          <w:szCs w:val="16"/>
          <w:color w:val="auto"/>
        </w:rPr>
        <w:t>Estimated average burden</w:t>
      </w:r>
    </w:p>
    <w:p>
      <w:pPr>
        <w:spacing w:after="0" w:line="38" w:lineRule="exact"/>
        <w:rPr>
          <w:sz w:val="24"/>
          <w:szCs w:val="24"/>
          <w:color w:val="auto"/>
        </w:rPr>
      </w:pPr>
    </w:p>
    <w:p>
      <w:pPr>
        <w:ind w:left="7340"/>
        <w:spacing w:after="0"/>
        <w:rPr>
          <w:sz w:val="20"/>
          <w:szCs w:val="20"/>
          <w:color w:val="auto"/>
        </w:rPr>
      </w:pPr>
      <w:r>
        <w:rPr>
          <w:rFonts w:ascii="Arial" w:cs="Arial" w:eastAsia="Arial" w:hAnsi="Arial"/>
          <w:sz w:val="16"/>
          <w:szCs w:val="16"/>
          <w:color w:val="auto"/>
        </w:rPr>
        <w:t>hours per response. . . 11</w:t>
      </w:r>
    </w:p>
    <w:p>
      <w:pPr>
        <w:spacing w:after="0" w:line="200" w:lineRule="exact"/>
        <w:rPr>
          <w:sz w:val="24"/>
          <w:szCs w:val="24"/>
          <w:color w:val="auto"/>
        </w:rPr>
      </w:pPr>
    </w:p>
    <w:p>
      <w:pPr>
        <w:spacing w:after="0" w:line="266"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59"/>
        <w:spacing w:after="0"/>
        <w:rPr>
          <w:sz w:val="20"/>
          <w:szCs w:val="20"/>
          <w:color w:val="auto"/>
        </w:rPr>
      </w:pPr>
      <w:r>
        <w:rPr>
          <w:rFonts w:ascii="Arial" w:cs="Arial" w:eastAsia="Arial" w:hAnsi="Arial"/>
          <w:sz w:val="22"/>
          <w:szCs w:val="22"/>
          <w:b w:val="1"/>
          <w:bCs w:val="1"/>
          <w:color w:val="auto"/>
        </w:rPr>
        <w:t>Washington, D.C. 20549</w:t>
      </w:r>
    </w:p>
    <w:p>
      <w:pPr>
        <w:spacing w:after="0" w:line="267" w:lineRule="exact"/>
        <w:rPr>
          <w:sz w:val="24"/>
          <w:szCs w:val="24"/>
          <w:color w:val="auto"/>
        </w:rPr>
      </w:pPr>
    </w:p>
    <w:p>
      <w:pPr>
        <w:jc w:val="center"/>
        <w:ind w:right="759"/>
        <w:spacing w:after="0"/>
        <w:rPr>
          <w:sz w:val="20"/>
          <w:szCs w:val="20"/>
          <w:color w:val="auto"/>
        </w:rPr>
      </w:pPr>
      <w:r>
        <w:rPr>
          <w:rFonts w:ascii="Arial" w:cs="Arial" w:eastAsia="Arial" w:hAnsi="Arial"/>
          <w:sz w:val="25"/>
          <w:szCs w:val="25"/>
          <w:b w:val="1"/>
          <w:bCs w:val="1"/>
          <w:color w:val="auto"/>
        </w:rPr>
        <w:t>SCHEDULE 13G</w:t>
      </w:r>
    </w:p>
    <w:p>
      <w:pPr>
        <w:spacing w:after="0" w:line="289"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(Amendment No. 1 )</w:t>
      </w:r>
    </w:p>
    <w:p>
      <w:pPr>
        <w:spacing w:after="0" w:line="256"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(Name of Issuer)</w:t>
      </w:r>
    </w:p>
    <w:p>
      <w:pPr>
        <w:spacing w:after="0" w:line="23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Common Stock, par value $0.10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(Title of Class of Securities)</w:t>
      </w:r>
    </w:p>
    <w:p>
      <w:pPr>
        <w:spacing w:after="0" w:line="23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852170</wp:posOffset>
            </wp:positionH>
            <wp:positionV relativeFrom="paragraph">
              <wp:posOffset>73660</wp:posOffset>
            </wp:positionV>
            <wp:extent cx="430911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09110" cy="21590"/>
                    </a:xfrm>
                    <a:prstGeom prst="rect">
                      <a:avLst/>
                    </a:prstGeom>
                    <a:noFill/>
                  </pic:spPr>
                </pic:pic>
              </a:graphicData>
            </a:graphic>
          </wp:anchor>
        </w:drawing>
      </w:r>
    </w:p>
    <w:p>
      <w:pPr>
        <w:spacing w:after="0" w:line="21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June 04,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2300"/>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60" w:lineRule="exact"/>
        <w:rPr>
          <w:sz w:val="24"/>
          <w:szCs w:val="24"/>
          <w:color w:val="auto"/>
        </w:rPr>
      </w:pPr>
    </w:p>
    <w:p>
      <w:pPr>
        <w:ind w:left="60"/>
        <w:spacing w:after="0"/>
        <w:tabs>
          <w:tab w:leader="none" w:pos="6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Rule 13d-1(b)</w:t>
      </w:r>
    </w:p>
    <w:p>
      <w:pPr>
        <w:spacing w:after="0" w:line="98" w:lineRule="exact"/>
        <w:rPr>
          <w:sz w:val="24"/>
          <w:szCs w:val="24"/>
          <w:color w:val="auto"/>
        </w:rPr>
      </w:pPr>
    </w:p>
    <w:p>
      <w:pPr>
        <w:ind w:left="620" w:hanging="55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13d-1(c)</w:t>
      </w:r>
    </w:p>
    <w:p>
      <w:pPr>
        <w:spacing w:after="0" w:line="98" w:lineRule="exact"/>
        <w:rPr>
          <w:sz w:val="24"/>
          <w:szCs w:val="24"/>
          <w:color w:val="auto"/>
        </w:rPr>
      </w:pPr>
    </w:p>
    <w:p>
      <w:pPr>
        <w:ind w:left="60"/>
        <w:spacing w:after="0"/>
        <w:tabs>
          <w:tab w:leader="none" w:pos="6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Rule 13d-1(d)</w:t>
      </w:r>
    </w:p>
    <w:p>
      <w:pPr>
        <w:spacing w:after="0" w:line="274" w:lineRule="exact"/>
        <w:rPr>
          <w:sz w:val="24"/>
          <w:szCs w:val="24"/>
          <w:color w:val="auto"/>
        </w:rPr>
      </w:pPr>
    </w:p>
    <w:p>
      <w:pPr>
        <w:jc w:val="both"/>
        <w:ind w:left="20" w:right="1259"/>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ind w:left="20" w:right="1259"/>
        <w:spacing w:after="0" w:line="238"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8" w:lineRule="exact"/>
        <w:rPr>
          <w:sz w:val="24"/>
          <w:szCs w:val="24"/>
          <w:color w:val="auto"/>
        </w:rPr>
      </w:pPr>
    </w:p>
    <w:p>
      <w:pPr>
        <w:ind w:left="60"/>
        <w:spacing w:after="0"/>
        <w:rPr>
          <w:sz w:val="20"/>
          <w:szCs w:val="20"/>
          <w:color w:val="auto"/>
        </w:rPr>
      </w:pPr>
      <w:r>
        <w:rPr>
          <w:rFonts w:ascii="Arial" w:cs="Arial" w:eastAsia="Arial" w:hAnsi="Arial"/>
          <w:sz w:val="22"/>
          <w:szCs w:val="22"/>
          <w:color w:val="auto"/>
        </w:rPr>
        <w:t>CUSIP No. 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Person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6940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11" w:lineRule="exact"/>
        <w:rPr>
          <w:sz w:val="24"/>
          <w:szCs w:val="24"/>
          <w:color w:val="auto"/>
        </w:rPr>
      </w:pPr>
    </w:p>
    <w:p>
      <w:pPr>
        <w:ind w:left="700" w:hanging="435"/>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(a) Names of Reporting Persons.</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Orbis Investment Management Limited, Orbis Asset Management Limited</w:t>
      </w:r>
    </w:p>
    <w:p>
      <w:pPr>
        <w:spacing w:after="0" w:line="80" w:lineRule="exact"/>
        <w:rPr>
          <w:rFonts w:ascii="Arial" w:cs="Arial" w:eastAsia="Arial" w:hAnsi="Arial"/>
          <w:sz w:val="22"/>
          <w:szCs w:val="22"/>
          <w:color w:val="auto"/>
        </w:rPr>
      </w:pPr>
    </w:p>
    <w:p>
      <w:pPr>
        <w:ind w:left="1000" w:hanging="303"/>
        <w:spacing w:after="0"/>
        <w:tabs>
          <w:tab w:leader="none" w:pos="1000" w:val="left"/>
        </w:tabs>
        <w:numPr>
          <w:ilvl w:val="1"/>
          <w:numId w:val="2"/>
        </w:numPr>
        <w:rPr>
          <w:rFonts w:ascii="Arial" w:cs="Arial" w:eastAsia="Arial" w:hAnsi="Arial"/>
          <w:sz w:val="22"/>
          <w:szCs w:val="22"/>
          <w:color w:val="auto"/>
        </w:rPr>
      </w:pPr>
      <w:r>
        <w:rPr>
          <w:rFonts w:ascii="Arial" w:cs="Arial" w:eastAsia="Arial" w:hAnsi="Arial"/>
          <w:sz w:val="22"/>
          <w:szCs w:val="22"/>
          <w:color w:val="auto"/>
        </w:rPr>
        <w:t>Tax ID</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700" w:hanging="435"/>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1040" w:hanging="343"/>
        <w:spacing w:after="0"/>
        <w:tabs>
          <w:tab w:leader="none" w:pos="1040" w:val="left"/>
        </w:tabs>
        <w:numPr>
          <w:ilvl w:val="1"/>
          <w:numId w:val="3"/>
        </w:numPr>
        <w:rPr>
          <w:rFonts w:ascii="Arial" w:cs="Arial" w:eastAsia="Arial" w:hAnsi="Arial"/>
          <w:sz w:val="22"/>
          <w:szCs w:val="22"/>
          <w:color w:val="auto"/>
        </w:rPr>
      </w:pPr>
      <w:r>
        <w:rPr>
          <w:rFonts w:ascii="Arial" w:cs="Arial" w:eastAsia="Arial" w:hAnsi="Arial"/>
          <w:sz w:val="22"/>
          <w:szCs w:val="22"/>
          <w:color w:val="auto"/>
        </w:rPr>
        <w:t>[X]</w:t>
      </w:r>
    </w:p>
    <w:p>
      <w:pPr>
        <w:spacing w:after="0" w:line="98" w:lineRule="exact"/>
        <w:rPr>
          <w:rFonts w:ascii="Arial" w:cs="Arial" w:eastAsia="Arial" w:hAnsi="Arial"/>
          <w:sz w:val="22"/>
          <w:szCs w:val="22"/>
          <w:color w:val="auto"/>
        </w:rPr>
      </w:pPr>
    </w:p>
    <w:p>
      <w:pPr>
        <w:ind w:left="1060" w:hanging="363"/>
        <w:spacing w:after="0"/>
        <w:tabs>
          <w:tab w:leader="none" w:pos="1060" w:val="left"/>
        </w:tabs>
        <w:numPr>
          <w:ilvl w:val="1"/>
          <w:numId w:val="3"/>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700" w:hanging="435"/>
        <w:spacing w:after="0"/>
        <w:tabs>
          <w:tab w:leader="none" w:pos="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-1194435</wp:posOffset>
            </wp:positionV>
            <wp:extent cx="562991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-302895</wp:posOffset>
            </wp:positionV>
            <wp:extent cx="562991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219"/>
          </w:cols>
          <w:pgMar w:left="240" w:top="280" w:right="1440" w:bottom="0" w:gutter="0" w:footer="0" w:header="0"/>
        </w:sectPr>
      </w:pPr>
    </w:p>
    <w:bookmarkStart w:id="1" w:name="page2"/>
    <w:bookmarkEnd w:id="1"/>
    <w:p>
      <w:pPr>
        <w:ind w:left="640" w:right="1479" w:hanging="439"/>
        <w:spacing w:after="0" w:line="183" w:lineRule="auto"/>
        <w:tabs>
          <w:tab w:leader="none" w:pos="620" w:val="left"/>
        </w:tabs>
        <w:rPr>
          <w:sz w:val="20"/>
          <w:szCs w:val="20"/>
          <w:color w:val="auto"/>
        </w:rPr>
      </w:pPr>
      <w:r>
        <w:rPr>
          <w:rFonts w:ascii="Arial" w:cs="Arial" w:eastAsia="Arial" w:hAnsi="Arial"/>
          <w:sz w:val="39"/>
          <w:szCs w:val="39"/>
          <w:color w:val="auto"/>
          <w:vertAlign w:val="subscript"/>
        </w:rPr>
        <w:drawing>
          <wp:anchor simplePos="0" relativeHeight="251657728" behindDoc="1" locked="0" layoutInCell="0" allowOverlap="1">
            <wp:simplePos x="0" y="0"/>
            <wp:positionH relativeFrom="page">
              <wp:posOffset>189865</wp:posOffset>
            </wp:positionH>
            <wp:positionV relativeFrom="page">
              <wp:posOffset>88900</wp:posOffset>
            </wp:positionV>
            <wp:extent cx="5629910"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29910" cy="19050"/>
                    </a:xfrm>
                    <a:prstGeom prst="rect">
                      <a:avLst/>
                    </a:prstGeom>
                    <a:noFill/>
                  </pic:spPr>
                </pic:pic>
              </a:graphicData>
            </a:graphic>
          </wp:anchor>
        </w:drawing>
        <w:t>4.</w:t>
      </w:r>
      <w:r>
        <w:rPr>
          <w:sz w:val="20"/>
          <w:szCs w:val="20"/>
          <w:color w:val="auto"/>
        </w:rPr>
        <w:tab/>
      </w:r>
      <w:r>
        <w:rPr>
          <w:rFonts w:ascii="Arial" w:cs="Arial" w:eastAsia="Arial" w:hAnsi="Arial"/>
          <w:sz w:val="20"/>
          <w:szCs w:val="20"/>
          <w:color w:val="auto"/>
        </w:rPr>
        <w:t>Citizenship or Place of Organization The Reporting Persons are companies organized under the laws of 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167640</wp:posOffset>
            </wp:positionV>
            <wp:extent cx="562991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36,347,277</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584,928</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36,932,205</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-996315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-996315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-550545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-550545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-104140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-104140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 w:lineRule="exact"/>
        <w:rPr>
          <w:sz w:val="20"/>
          <w:szCs w:val="20"/>
          <w:color w:val="auto"/>
        </w:rPr>
      </w:pPr>
    </w:p>
    <w:p>
      <w:pPr>
        <w:ind w:left="1640" w:hanging="220"/>
        <w:spacing w:after="0"/>
        <w:tabs>
          <w:tab w:leader="none" w:pos="164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Dispositive Power 0</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right="2199" w:hanging="435"/>
        <w:spacing w:after="0" w:line="328" w:lineRule="auto"/>
        <w:tabs>
          <w:tab w:leader="none" w:pos="640" w:val="left"/>
        </w:tabs>
        <w:numPr>
          <w:ilvl w:val="0"/>
          <w:numId w:val="6"/>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Orbis Investment Management Limited 36,735,345; Orbis Asset Management Limited 196,860</w:t>
      </w:r>
    </w:p>
    <w:p>
      <w:pPr>
        <w:spacing w:after="0" w:line="348" w:lineRule="exact"/>
        <w:rPr>
          <w:rFonts w:ascii="Arial" w:cs="Arial" w:eastAsia="Arial" w:hAnsi="Arial"/>
          <w:sz w:val="19"/>
          <w:szCs w:val="19"/>
          <w:color w:val="auto"/>
        </w:rPr>
      </w:pPr>
    </w:p>
    <w:p>
      <w:pPr>
        <w:ind w:left="640" w:hanging="435"/>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640" w:hanging="435"/>
        <w:spacing w:after="0"/>
        <w:tabs>
          <w:tab w:leader="none" w:pos="640" w:val="left"/>
        </w:tabs>
        <w:numPr>
          <w:ilvl w:val="0"/>
          <w:numId w:val="6"/>
        </w:numPr>
        <w:rPr>
          <w:rFonts w:ascii="Arial" w:cs="Arial" w:eastAsia="Arial" w:hAnsi="Arial"/>
          <w:sz w:val="22"/>
          <w:szCs w:val="22"/>
          <w:color w:val="auto"/>
        </w:rPr>
      </w:pPr>
      <w:r>
        <w:rPr>
          <w:rFonts w:ascii="Arial" w:cs="Arial" w:eastAsia="Arial" w:hAnsi="Arial"/>
          <w:sz w:val="22"/>
          <w:szCs w:val="22"/>
          <w:color w:val="auto"/>
        </w:rPr>
        <w:t>Percent of Class Represented by Amount in Row (9) 4.85 %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6"/>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-1795145</wp:posOffset>
            </wp:positionV>
            <wp:extent cx="562991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hanging="374"/>
        <w:spacing w:after="0"/>
        <w:tabs>
          <w:tab w:leader="none" w:pos="700" w:val="left"/>
        </w:tabs>
        <w:numPr>
          <w:ilvl w:val="0"/>
          <w:numId w:val="7"/>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Micron Technology, Inc.</w:t>
      </w:r>
    </w:p>
    <w:p>
      <w:pPr>
        <w:spacing w:after="0" w:line="80" w:lineRule="exact"/>
        <w:rPr>
          <w:rFonts w:ascii="Arial" w:cs="Arial" w:eastAsia="Arial" w:hAnsi="Arial"/>
          <w:sz w:val="22"/>
          <w:szCs w:val="22"/>
          <w:color w:val="auto"/>
        </w:rPr>
      </w:pPr>
    </w:p>
    <w:p>
      <w:pPr>
        <w:ind w:left="700" w:right="5039" w:hanging="374"/>
        <w:spacing w:after="0" w:line="382" w:lineRule="auto"/>
        <w:tabs>
          <w:tab w:leader="none" w:pos="700" w:val="left"/>
        </w:tabs>
        <w:numPr>
          <w:ilvl w:val="0"/>
          <w:numId w:val="7"/>
        </w:numPr>
        <w:rPr>
          <w:rFonts w:ascii="Arial" w:cs="Arial" w:eastAsia="Arial" w:hAnsi="Arial"/>
          <w:sz w:val="19"/>
          <w:szCs w:val="19"/>
          <w:color w:val="auto"/>
        </w:rPr>
      </w:pPr>
      <w:r>
        <w:rPr>
          <w:rFonts w:ascii="Arial" w:cs="Arial" w:eastAsia="Arial" w:hAnsi="Arial"/>
          <w:sz w:val="19"/>
          <w:szCs w:val="19"/>
          <w:color w:val="auto"/>
        </w:rPr>
        <w:t>Address of Issuer's Principal Executive Offices 8000 South Federal Way, Boise, Idaho 83716-9632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hanging="374"/>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Orbis Investment Management Limited, Orbis Asset Management Limited</w:t>
      </w:r>
    </w:p>
    <w:p>
      <w:pPr>
        <w:spacing w:after="0" w:line="80" w:lineRule="exact"/>
        <w:rPr>
          <w:rFonts w:ascii="Arial" w:cs="Arial" w:eastAsia="Arial" w:hAnsi="Arial"/>
          <w:sz w:val="22"/>
          <w:szCs w:val="22"/>
          <w:color w:val="auto"/>
        </w:rPr>
      </w:pPr>
    </w:p>
    <w:p>
      <w:pPr>
        <w:ind w:left="700" w:right="4339" w:hanging="374"/>
        <w:spacing w:after="0" w:line="326" w:lineRule="auto"/>
        <w:tabs>
          <w:tab w:leader="none" w:pos="700" w:val="left"/>
        </w:tabs>
        <w:numPr>
          <w:ilvl w:val="0"/>
          <w:numId w:val="8"/>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34 Bermudiana Road, Hamilton, HM 11, Bermuda</w:t>
      </w:r>
    </w:p>
    <w:p>
      <w:pPr>
        <w:ind w:left="700" w:hanging="374"/>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Citizenship</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The Reporting Persons are companies organized under the laws of Bermuda</w:t>
      </w:r>
    </w:p>
    <w:p>
      <w:pPr>
        <w:spacing w:after="0" w:line="80" w:lineRule="exact"/>
        <w:rPr>
          <w:rFonts w:ascii="Arial" w:cs="Arial" w:eastAsia="Arial" w:hAnsi="Arial"/>
          <w:sz w:val="22"/>
          <w:szCs w:val="22"/>
          <w:color w:val="auto"/>
        </w:rPr>
      </w:pPr>
    </w:p>
    <w:p>
      <w:pPr>
        <w:ind w:left="700" w:hanging="374"/>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Common Stock, par value $0.10 per share</w:t>
      </w:r>
    </w:p>
    <w:p>
      <w:pPr>
        <w:spacing w:after="0" w:line="80" w:lineRule="exact"/>
        <w:rPr>
          <w:rFonts w:ascii="Arial" w:cs="Arial" w:eastAsia="Arial" w:hAnsi="Arial"/>
          <w:sz w:val="22"/>
          <w:szCs w:val="22"/>
          <w:color w:val="auto"/>
        </w:rPr>
      </w:pPr>
    </w:p>
    <w:p>
      <w:pPr>
        <w:ind w:left="700" w:right="8099" w:hanging="374"/>
        <w:spacing w:after="0" w:line="328" w:lineRule="auto"/>
        <w:tabs>
          <w:tab w:leader="none" w:pos="700" w:val="left"/>
        </w:tabs>
        <w:numPr>
          <w:ilvl w:val="0"/>
          <w:numId w:val="8"/>
        </w:numPr>
        <w:rPr>
          <w:rFonts w:ascii="Arial" w:cs="Arial" w:eastAsia="Arial" w:hAnsi="Arial"/>
          <w:sz w:val="19"/>
          <w:szCs w:val="19"/>
          <w:color w:val="auto"/>
        </w:rPr>
      </w:pPr>
      <w:r>
        <w:rPr>
          <w:rFonts w:ascii="Arial" w:cs="Arial" w:eastAsia="Arial" w:hAnsi="Arial"/>
          <w:sz w:val="19"/>
          <w:szCs w:val="19"/>
          <w:color w:val="auto"/>
        </w:rPr>
        <w:t>CUSIP Number 595112103</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9"/>
        </w:numPr>
        <w:rPr>
          <w:rFonts w:ascii="Arial" w:cs="Arial" w:eastAsia="Arial" w:hAnsi="Arial"/>
          <w:sz w:val="22"/>
          <w:szCs w:val="22"/>
          <w:color w:val="auto"/>
        </w:rPr>
      </w:pPr>
      <w:r>
        <w:rPr>
          <w:rFonts w:ascii="Arial" w:cs="Arial" w:eastAsia="Arial" w:hAnsi="Arial"/>
          <w:sz w:val="22"/>
          <w:szCs w:val="22"/>
          <w:color w:val="auto"/>
        </w:rPr>
        <w:t>[  Broker or dealer registered under section 15 of the Act (15 U.S.C. 78c)</w:t>
      </w:r>
    </w:p>
    <w:p>
      <w:pPr>
        <w:spacing w:after="0" w:line="8" w:lineRule="exact"/>
        <w:rPr>
          <w:rFonts w:ascii="Arial" w:cs="Arial" w:eastAsia="Arial" w:hAnsi="Arial"/>
          <w:sz w:val="22"/>
          <w:szCs w:val="22"/>
          <w:color w:val="auto"/>
        </w:rPr>
      </w:pPr>
    </w:p>
    <w:p>
      <w:pPr>
        <w:ind w:left="780"/>
        <w:spacing w:after="0"/>
        <w:rPr>
          <w:rFonts w:ascii="Arial" w:cs="Arial" w:eastAsia="Arial" w:hAnsi="Arial"/>
          <w:sz w:val="22"/>
          <w:szCs w:val="22"/>
          <w:color w:val="auto"/>
        </w:rPr>
      </w:pPr>
      <w:r>
        <w:rPr>
          <w:rFonts w:ascii="Arial" w:cs="Arial" w:eastAsia="Arial" w:hAnsi="Arial"/>
          <w:sz w:val="22"/>
          <w:szCs w:val="22"/>
          <w:color w:val="auto"/>
        </w:rPr>
        <w:t>]</w:t>
      </w:r>
    </w:p>
    <w:p>
      <w:pPr>
        <w:spacing w:after="0" w:line="80" w:lineRule="exact"/>
        <w:rPr>
          <w:rFonts w:ascii="Arial" w:cs="Arial" w:eastAsia="Arial" w:hAnsi="Arial"/>
          <w:sz w:val="22"/>
          <w:szCs w:val="22"/>
          <w:color w:val="auto"/>
        </w:rPr>
      </w:pPr>
    </w:p>
    <w:p>
      <w:pPr>
        <w:ind w:left="780" w:hanging="476"/>
        <w:spacing w:after="0"/>
        <w:tabs>
          <w:tab w:leader="none" w:pos="780" w:val="left"/>
        </w:tabs>
        <w:numPr>
          <w:ilvl w:val="0"/>
          <w:numId w:val="9"/>
        </w:numPr>
        <w:rPr>
          <w:rFonts w:ascii="Arial" w:cs="Arial" w:eastAsia="Arial" w:hAnsi="Arial"/>
          <w:sz w:val="22"/>
          <w:szCs w:val="22"/>
          <w:color w:val="auto"/>
        </w:rPr>
      </w:pPr>
      <w:r>
        <w:rPr>
          <w:rFonts w:ascii="Arial" w:cs="Arial" w:eastAsia="Arial" w:hAnsi="Arial"/>
          <w:sz w:val="22"/>
          <w:szCs w:val="22"/>
          <w:color w:val="auto"/>
        </w:rPr>
        <w:t>[  Bank as defined in section 3(a)(6) of the Act (15 U.S.C. 78c).</w:t>
      </w:r>
    </w:p>
    <w:p>
      <w:pPr>
        <w:spacing w:after="0" w:line="8" w:lineRule="exact"/>
        <w:rPr>
          <w:rFonts w:ascii="Arial" w:cs="Arial" w:eastAsia="Arial" w:hAnsi="Arial"/>
          <w:sz w:val="22"/>
          <w:szCs w:val="22"/>
          <w:color w:val="auto"/>
        </w:rPr>
      </w:pPr>
    </w:p>
    <w:p>
      <w:pPr>
        <w:ind w:left="780"/>
        <w:spacing w:after="0"/>
        <w:rPr>
          <w:rFonts w:ascii="Arial" w:cs="Arial" w:eastAsia="Arial" w:hAnsi="Arial"/>
          <w:sz w:val="22"/>
          <w:szCs w:val="22"/>
          <w:color w:val="auto"/>
        </w:rPr>
      </w:pPr>
      <w:r>
        <w:rPr>
          <w:rFonts w:ascii="Arial" w:cs="Arial" w:eastAsia="Arial" w:hAnsi="Arial"/>
          <w:sz w:val="22"/>
          <w:szCs w:val="22"/>
          <w:color w:val="auto"/>
        </w:rPr>
        <w:t>]</w:t>
      </w:r>
    </w:p>
    <w:p>
      <w:pPr>
        <w:spacing w:after="0" w:line="80" w:lineRule="exact"/>
        <w:rPr>
          <w:rFonts w:ascii="Arial" w:cs="Arial" w:eastAsia="Arial" w:hAnsi="Arial"/>
          <w:sz w:val="22"/>
          <w:szCs w:val="22"/>
          <w:color w:val="auto"/>
        </w:rPr>
      </w:pPr>
    </w:p>
    <w:p>
      <w:pPr>
        <w:ind w:left="780" w:hanging="464"/>
        <w:spacing w:after="0"/>
        <w:tabs>
          <w:tab w:leader="none" w:pos="780" w:val="left"/>
        </w:tabs>
        <w:numPr>
          <w:ilvl w:val="0"/>
          <w:numId w:val="9"/>
        </w:numPr>
        <w:rPr>
          <w:rFonts w:ascii="Arial" w:cs="Arial" w:eastAsia="Arial" w:hAnsi="Arial"/>
          <w:sz w:val="22"/>
          <w:szCs w:val="22"/>
          <w:color w:val="auto"/>
        </w:rPr>
      </w:pPr>
      <w:r>
        <w:rPr>
          <w:rFonts w:ascii="Arial" w:cs="Arial" w:eastAsia="Arial" w:hAnsi="Arial"/>
          <w:sz w:val="22"/>
          <w:szCs w:val="22"/>
          <w:color w:val="auto"/>
        </w:rPr>
        <w:t>[  Insurance company as defined in section 3(a)(19) of the Act (15 U.S.C. 78c).</w:t>
      </w:r>
    </w:p>
    <w:p>
      <w:pPr>
        <w:spacing w:after="0" w:line="8" w:lineRule="exact"/>
        <w:rPr>
          <w:rFonts w:ascii="Arial" w:cs="Arial" w:eastAsia="Arial" w:hAnsi="Arial"/>
          <w:sz w:val="22"/>
          <w:szCs w:val="22"/>
          <w:color w:val="auto"/>
        </w:rPr>
      </w:pPr>
    </w:p>
    <w:p>
      <w:pPr>
        <w:ind w:left="780"/>
        <w:spacing w:after="0"/>
        <w:rPr>
          <w:rFonts w:ascii="Arial" w:cs="Arial" w:eastAsia="Arial" w:hAnsi="Arial"/>
          <w:sz w:val="22"/>
          <w:szCs w:val="22"/>
          <w:color w:val="auto"/>
        </w:rPr>
      </w:pPr>
      <w:r>
        <w:rPr>
          <w:rFonts w:ascii="Arial" w:cs="Arial" w:eastAsia="Arial" w:hAnsi="Arial"/>
          <w:sz w:val="22"/>
          <w:szCs w:val="22"/>
          <w:color w:val="auto"/>
        </w:rPr>
        <w:t>]</w:t>
      </w:r>
    </w:p>
    <w:p>
      <w:pPr>
        <w:spacing w:after="0" w:line="80" w:lineRule="exact"/>
        <w:rPr>
          <w:rFonts w:ascii="Arial" w:cs="Arial" w:eastAsia="Arial" w:hAnsi="Arial"/>
          <w:sz w:val="22"/>
          <w:szCs w:val="22"/>
          <w:color w:val="auto"/>
        </w:rPr>
      </w:pPr>
    </w:p>
    <w:p>
      <w:pPr>
        <w:ind w:left="780" w:right="1459" w:hanging="476"/>
        <w:spacing w:after="0" w:line="251" w:lineRule="auto"/>
        <w:tabs>
          <w:tab w:leader="none" w:pos="780" w:val="left"/>
        </w:tabs>
        <w:numPr>
          <w:ilvl w:val="0"/>
          <w:numId w:val="9"/>
        </w:numPr>
        <w:rPr>
          <w:rFonts w:ascii="Arial" w:cs="Arial" w:eastAsia="Arial" w:hAnsi="Arial"/>
          <w:sz w:val="22"/>
          <w:szCs w:val="22"/>
          <w:color w:val="auto"/>
        </w:rPr>
      </w:pPr>
      <w:r>
        <w:rPr>
          <w:rFonts w:ascii="Arial" w:cs="Arial" w:eastAsia="Arial" w:hAnsi="Arial"/>
          <w:sz w:val="22"/>
          <w:szCs w:val="22"/>
          <w:color w:val="auto"/>
        </w:rPr>
        <w:t>[ Investment company registered under section 8 of the Investment Company Act of 1940 ] (15 U.S.C 80a-8).</w:t>
      </w:r>
    </w:p>
    <w:p>
      <w:pPr>
        <w:spacing w:after="0" w:line="65" w:lineRule="exact"/>
        <w:rPr>
          <w:rFonts w:ascii="Arial" w:cs="Arial" w:eastAsia="Arial" w:hAnsi="Arial"/>
          <w:sz w:val="22"/>
          <w:szCs w:val="22"/>
          <w:color w:val="auto"/>
        </w:rPr>
      </w:pPr>
    </w:p>
    <w:p>
      <w:pPr>
        <w:ind w:left="780" w:hanging="464"/>
        <w:spacing w:after="0"/>
        <w:tabs>
          <w:tab w:leader="none" w:pos="780" w:val="left"/>
        </w:tabs>
        <w:numPr>
          <w:ilvl w:val="0"/>
          <w:numId w:val="9"/>
        </w:numPr>
        <w:rPr>
          <w:rFonts w:ascii="Arial" w:cs="Arial" w:eastAsia="Arial" w:hAnsi="Arial"/>
          <w:sz w:val="22"/>
          <w:szCs w:val="22"/>
          <w:color w:val="auto"/>
        </w:rPr>
      </w:pPr>
      <w:r>
        <w:rPr>
          <w:rFonts w:ascii="Arial" w:cs="Arial" w:eastAsia="Arial" w:hAnsi="Arial"/>
          <w:sz w:val="22"/>
          <w:szCs w:val="22"/>
          <w:color w:val="auto"/>
        </w:rPr>
        <w:t>[  An investment adviser in accordance with 240.13d-1(b)(1)(ii)(E);</w:t>
      </w:r>
    </w:p>
    <w:p>
      <w:pPr>
        <w:sectPr>
          <w:pgSz w:w="11900" w:h="16838" w:orient="portrait"/>
          <w:cols w:equalWidth="0" w:num="1">
            <w:col w:w="10159"/>
          </w:cols>
          <w:pgMar w:left="300" w:top="300" w:right="1440" w:bottom="0" w:gutter="0" w:footer="0" w:header="0"/>
        </w:sectPr>
      </w:pPr>
    </w:p>
    <w:bookmarkStart w:id="2" w:name="page3"/>
    <w:bookmarkEnd w:id="2"/>
    <w:p>
      <w:pPr>
        <w:ind w:left="780"/>
        <w:spacing w:after="0"/>
        <w:rPr>
          <w:sz w:val="20"/>
          <w:szCs w:val="20"/>
          <w:color w:val="auto"/>
        </w:rPr>
      </w:pPr>
      <w:r>
        <w:rPr>
          <w:rFonts w:ascii="Arial" w:cs="Arial" w:eastAsia="Arial" w:hAnsi="Arial"/>
          <w:sz w:val="22"/>
          <w:szCs w:val="22"/>
          <w:color w:val="auto"/>
        </w:rPr>
        <w:t>]</w:t>
      </w:r>
    </w:p>
    <w:p>
      <w:pPr>
        <w:spacing w:after="0" w:line="99" w:lineRule="exact"/>
        <w:rPr>
          <w:sz w:val="20"/>
          <w:szCs w:val="20"/>
          <w:color w:val="auto"/>
        </w:rPr>
      </w:pPr>
    </w:p>
    <w:p>
      <w:pPr>
        <w:ind w:left="780" w:hanging="440"/>
        <w:spacing w:after="0"/>
        <w:tabs>
          <w:tab w:leader="none" w:pos="780" w:val="left"/>
        </w:tabs>
        <w:numPr>
          <w:ilvl w:val="0"/>
          <w:numId w:val="10"/>
        </w:numPr>
        <w:rPr>
          <w:rFonts w:ascii="Arial" w:cs="Arial" w:eastAsia="Arial" w:hAnsi="Arial"/>
          <w:sz w:val="19"/>
          <w:szCs w:val="19"/>
          <w:color w:val="auto"/>
        </w:rPr>
      </w:pPr>
      <w:r>
        <w:rPr>
          <w:rFonts w:ascii="Arial" w:cs="Arial" w:eastAsia="Arial" w:hAnsi="Arial"/>
          <w:sz w:val="19"/>
          <w:szCs w:val="19"/>
          <w:color w:val="auto"/>
        </w:rPr>
        <w:t>[  An employee benefit plan or endowment fund in accordance with 240.13d-1(b)(1)(ii)(F);</w:t>
      </w:r>
    </w:p>
    <w:p>
      <w:pPr>
        <w:spacing w:after="0" w:line="42" w:lineRule="exact"/>
        <w:rPr>
          <w:rFonts w:ascii="Arial" w:cs="Arial" w:eastAsia="Arial" w:hAnsi="Arial"/>
          <w:sz w:val="19"/>
          <w:szCs w:val="19"/>
          <w:color w:val="auto"/>
        </w:rPr>
      </w:pPr>
    </w:p>
    <w:p>
      <w:pPr>
        <w:ind w:left="780"/>
        <w:spacing w:after="0"/>
        <w:rPr>
          <w:rFonts w:ascii="Arial" w:cs="Arial" w:eastAsia="Arial" w:hAnsi="Arial"/>
          <w:sz w:val="19"/>
          <w:szCs w:val="19"/>
          <w:color w:val="auto"/>
        </w:rPr>
      </w:pPr>
      <w:r>
        <w:rPr>
          <w:rFonts w:ascii="Arial" w:cs="Arial" w:eastAsia="Arial" w:hAnsi="Arial"/>
          <w:sz w:val="22"/>
          <w:szCs w:val="22"/>
          <w:color w:val="auto"/>
        </w:rPr>
        <w:t>]</w:t>
      </w:r>
    </w:p>
    <w:p>
      <w:pPr>
        <w:spacing w:after="0" w:line="80" w:lineRule="exact"/>
        <w:rPr>
          <w:rFonts w:ascii="Arial" w:cs="Arial" w:eastAsia="Arial" w:hAnsi="Arial"/>
          <w:sz w:val="19"/>
          <w:szCs w:val="19"/>
          <w:color w:val="auto"/>
        </w:rPr>
      </w:pPr>
    </w:p>
    <w:p>
      <w:pPr>
        <w:ind w:left="780" w:hanging="476"/>
        <w:spacing w:after="0"/>
        <w:tabs>
          <w:tab w:leader="none" w:pos="780" w:val="left"/>
        </w:tabs>
        <w:numPr>
          <w:ilvl w:val="0"/>
          <w:numId w:val="10"/>
        </w:numPr>
        <w:rPr>
          <w:rFonts w:ascii="Arial" w:cs="Arial" w:eastAsia="Arial" w:hAnsi="Arial"/>
          <w:sz w:val="19"/>
          <w:szCs w:val="19"/>
          <w:color w:val="auto"/>
        </w:rPr>
      </w:pPr>
      <w:r>
        <w:rPr>
          <w:rFonts w:ascii="Arial" w:cs="Arial" w:eastAsia="Arial" w:hAnsi="Arial"/>
          <w:sz w:val="19"/>
          <w:szCs w:val="19"/>
          <w:color w:val="auto"/>
        </w:rPr>
        <w:t>[  A parent holding company or control person in accordance with 240.13d-1(b)(1)(ii)(G);</w:t>
      </w:r>
    </w:p>
    <w:p>
      <w:pPr>
        <w:spacing w:after="0" w:line="42" w:lineRule="exact"/>
        <w:rPr>
          <w:rFonts w:ascii="Arial" w:cs="Arial" w:eastAsia="Arial" w:hAnsi="Arial"/>
          <w:sz w:val="19"/>
          <w:szCs w:val="19"/>
          <w:color w:val="auto"/>
        </w:rPr>
      </w:pPr>
    </w:p>
    <w:p>
      <w:pPr>
        <w:ind w:left="780"/>
        <w:spacing w:after="0"/>
        <w:rPr>
          <w:rFonts w:ascii="Arial" w:cs="Arial" w:eastAsia="Arial" w:hAnsi="Arial"/>
          <w:sz w:val="19"/>
          <w:szCs w:val="19"/>
          <w:color w:val="auto"/>
        </w:rPr>
      </w:pPr>
      <w:r>
        <w:rPr>
          <w:rFonts w:ascii="Arial" w:cs="Arial" w:eastAsia="Arial" w:hAnsi="Arial"/>
          <w:sz w:val="22"/>
          <w:szCs w:val="22"/>
          <w:color w:val="auto"/>
        </w:rPr>
        <w:t>]</w:t>
      </w:r>
    </w:p>
    <w:p>
      <w:pPr>
        <w:spacing w:after="0" w:line="80" w:lineRule="exact"/>
        <w:rPr>
          <w:rFonts w:ascii="Arial" w:cs="Arial" w:eastAsia="Arial" w:hAnsi="Arial"/>
          <w:sz w:val="19"/>
          <w:szCs w:val="19"/>
          <w:color w:val="auto"/>
        </w:rPr>
      </w:pPr>
    </w:p>
    <w:p>
      <w:pPr>
        <w:ind w:left="780" w:right="1619" w:hanging="476"/>
        <w:spacing w:after="0" w:line="251" w:lineRule="auto"/>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A savings associations as defined in Section 3(b) of the Federal Deposit Insurance Act ] (12 U.S.C. 1813);</w:t>
      </w:r>
    </w:p>
    <w:p>
      <w:pPr>
        <w:spacing w:after="0" w:line="65" w:lineRule="exact"/>
        <w:rPr>
          <w:rFonts w:ascii="Arial" w:cs="Arial" w:eastAsia="Arial" w:hAnsi="Arial"/>
          <w:sz w:val="22"/>
          <w:szCs w:val="22"/>
          <w:color w:val="auto"/>
        </w:rPr>
      </w:pPr>
    </w:p>
    <w:p>
      <w:pPr>
        <w:ind w:left="780" w:right="1879" w:hanging="428"/>
        <w:spacing w:after="0" w:line="239" w:lineRule="auto"/>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A church plan that is excluded from the definition of an investment company under ] section</w:t>
      </w:r>
    </w:p>
    <w:p>
      <w:pPr>
        <w:ind w:left="106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Group, in accordance with 240.13d-1(b)(1)(ii)(J).</w:t>
      </w:r>
    </w:p>
    <w:p>
      <w:pPr>
        <w:spacing w:after="0" w:line="8" w:lineRule="exact"/>
        <w:rPr>
          <w:rFonts w:ascii="Arial" w:cs="Arial" w:eastAsia="Arial" w:hAnsi="Arial"/>
          <w:sz w:val="22"/>
          <w:szCs w:val="22"/>
          <w:color w:val="auto"/>
        </w:rPr>
      </w:pPr>
    </w:p>
    <w:p>
      <w:pPr>
        <w:ind w:left="780"/>
        <w:spacing w:after="0"/>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04"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1360" w:right="1719" w:hanging="359"/>
        <w:spacing w:after="0" w:line="251" w:lineRule="auto"/>
        <w:tabs>
          <w:tab w:leader="none" w:pos="13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Amount beneficially owned: Orbis Investment Management Limited 36,735,345; Orbis Asset Management Limited 196,860</w:t>
      </w:r>
    </w:p>
    <w:p>
      <w:pPr>
        <w:spacing w:after="0" w:line="65" w:lineRule="exact"/>
        <w:rPr>
          <w:rFonts w:ascii="Arial" w:cs="Arial" w:eastAsia="Arial" w:hAnsi="Arial"/>
          <w:sz w:val="22"/>
          <w:szCs w:val="22"/>
          <w:color w:val="auto"/>
        </w:rPr>
      </w:pPr>
    </w:p>
    <w:p>
      <w:pPr>
        <w:ind w:left="1360" w:hanging="359"/>
        <w:spacing w:after="0"/>
        <w:tabs>
          <w:tab w:leader="none" w:pos="13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Percent of class: 4.85%</w:t>
      </w:r>
    </w:p>
    <w:p>
      <w:pPr>
        <w:spacing w:after="0" w:line="98" w:lineRule="exact"/>
        <w:rPr>
          <w:rFonts w:ascii="Arial" w:cs="Arial" w:eastAsia="Arial" w:hAnsi="Arial"/>
          <w:sz w:val="22"/>
          <w:szCs w:val="22"/>
          <w:color w:val="auto"/>
        </w:rPr>
      </w:pPr>
    </w:p>
    <w:p>
      <w:pPr>
        <w:ind w:left="1360" w:hanging="359"/>
        <w:spacing w:after="0"/>
        <w:tabs>
          <w:tab w:leader="none" w:pos="13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1800" w:hanging="434"/>
        <w:spacing w:after="0"/>
        <w:tabs>
          <w:tab w:leader="none" w:pos="1800" w:val="left"/>
        </w:tabs>
        <w:numPr>
          <w:ilvl w:val="1"/>
          <w:numId w:val="11"/>
        </w:numPr>
        <w:rPr>
          <w:rFonts w:ascii="Arial" w:cs="Arial" w:eastAsia="Arial" w:hAnsi="Arial"/>
          <w:sz w:val="22"/>
          <w:szCs w:val="22"/>
          <w:color w:val="auto"/>
        </w:rPr>
      </w:pPr>
      <w:r>
        <w:rPr>
          <w:rFonts w:ascii="Arial" w:cs="Arial" w:eastAsia="Arial" w:hAnsi="Arial"/>
          <w:sz w:val="22"/>
          <w:szCs w:val="22"/>
          <w:color w:val="auto"/>
        </w:rPr>
        <w:t>Sole power to vote or to direct the vote 36,347,277</w:t>
      </w:r>
    </w:p>
    <w:p>
      <w:pPr>
        <w:spacing w:after="0" w:line="98" w:lineRule="exact"/>
        <w:rPr>
          <w:rFonts w:ascii="Arial" w:cs="Arial" w:eastAsia="Arial" w:hAnsi="Arial"/>
          <w:sz w:val="22"/>
          <w:szCs w:val="22"/>
          <w:color w:val="auto"/>
        </w:rPr>
      </w:pPr>
    </w:p>
    <w:p>
      <w:pPr>
        <w:ind w:left="1800" w:hanging="434"/>
        <w:spacing w:after="0"/>
        <w:tabs>
          <w:tab w:leader="none" w:pos="1800" w:val="left"/>
        </w:tabs>
        <w:numPr>
          <w:ilvl w:val="1"/>
          <w:numId w:val="11"/>
        </w:numPr>
        <w:rPr>
          <w:rFonts w:ascii="Arial" w:cs="Arial" w:eastAsia="Arial" w:hAnsi="Arial"/>
          <w:sz w:val="22"/>
          <w:szCs w:val="22"/>
          <w:color w:val="auto"/>
        </w:rPr>
      </w:pPr>
      <w:r>
        <w:rPr>
          <w:rFonts w:ascii="Arial" w:cs="Arial" w:eastAsia="Arial" w:hAnsi="Arial"/>
          <w:sz w:val="22"/>
          <w:szCs w:val="22"/>
          <w:color w:val="auto"/>
        </w:rPr>
        <w:t>Shared power to vote or to direct the vote 584,928</w:t>
      </w:r>
    </w:p>
    <w:p>
      <w:pPr>
        <w:spacing w:after="0" w:line="98" w:lineRule="exact"/>
        <w:rPr>
          <w:rFonts w:ascii="Arial" w:cs="Arial" w:eastAsia="Arial" w:hAnsi="Arial"/>
          <w:sz w:val="22"/>
          <w:szCs w:val="22"/>
          <w:color w:val="auto"/>
        </w:rPr>
      </w:pPr>
    </w:p>
    <w:p>
      <w:pPr>
        <w:ind w:left="1800" w:hanging="434"/>
        <w:spacing w:after="0"/>
        <w:tabs>
          <w:tab w:leader="none" w:pos="1800" w:val="left"/>
        </w:tabs>
        <w:numPr>
          <w:ilvl w:val="1"/>
          <w:numId w:val="11"/>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36,932,205</w:t>
      </w:r>
    </w:p>
    <w:p>
      <w:pPr>
        <w:spacing w:after="0" w:line="98" w:lineRule="exact"/>
        <w:rPr>
          <w:rFonts w:ascii="Arial" w:cs="Arial" w:eastAsia="Arial" w:hAnsi="Arial"/>
          <w:sz w:val="22"/>
          <w:szCs w:val="22"/>
          <w:color w:val="auto"/>
        </w:rPr>
      </w:pPr>
    </w:p>
    <w:p>
      <w:pPr>
        <w:ind w:left="1800" w:hanging="434"/>
        <w:spacing w:after="0"/>
        <w:tabs>
          <w:tab w:leader="none" w:pos="1800" w:val="left"/>
        </w:tabs>
        <w:numPr>
          <w:ilvl w:val="1"/>
          <w:numId w:val="11"/>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0</w:t>
      </w:r>
    </w:p>
    <w:p>
      <w:pPr>
        <w:spacing w:after="0" w:line="200" w:lineRule="exact"/>
        <w:rPr>
          <w:sz w:val="20"/>
          <w:szCs w:val="20"/>
          <w:color w:val="auto"/>
        </w:rPr>
      </w:pPr>
    </w:p>
    <w:p>
      <w:pPr>
        <w:spacing w:after="0" w:line="243"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104" w:lineRule="exact"/>
        <w:rPr>
          <w:sz w:val="20"/>
          <w:szCs w:val="20"/>
          <w:color w:val="auto"/>
        </w:rPr>
      </w:pPr>
    </w:p>
    <w:p>
      <w:pPr>
        <w:ind w:right="1779"/>
        <w:spacing w:after="0"/>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following.[X ].</w:t>
      </w:r>
    </w:p>
    <w:p>
      <w:pPr>
        <w:sectPr>
          <w:pgSz w:w="11900" w:h="16838" w:orient="portrait"/>
          <w:cols w:equalWidth="0" w:num="1">
            <w:col w:w="10159"/>
          </w:cols>
          <w:pgMar w:left="300" w:top="118" w:right="1440" w:bottom="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w:t>
      </w:r>
    </w:p>
    <w:p>
      <w:pPr>
        <w:spacing w:after="0" w:line="8" w:lineRule="exact"/>
        <w:rPr>
          <w:sz w:val="20"/>
          <w:szCs w:val="20"/>
          <w:color w:val="auto"/>
        </w:rPr>
      </w:pPr>
    </w:p>
    <w:p>
      <w:pPr>
        <w:ind w:right="360"/>
        <w:spacing w:after="0" w:line="207" w:lineRule="auto"/>
        <w:rPr>
          <w:sz w:val="20"/>
          <w:szCs w:val="20"/>
          <w:color w:val="auto"/>
        </w:rPr>
      </w:pPr>
      <w:r>
        <w:rPr>
          <w:rFonts w:ascii="Arial" w:cs="Arial" w:eastAsia="Arial" w:hAnsi="Arial"/>
          <w:sz w:val="19"/>
          <w:szCs w:val="19"/>
          <w:color w:val="auto"/>
        </w:rPr>
        <w:t xml:space="preserve">applicable </w:t>
      </w:r>
      <w:r>
        <w:rPr>
          <w:rFonts w:ascii="Arial" w:cs="Arial" w:eastAsia="Arial" w:hAnsi="Arial"/>
          <w:sz w:val="19"/>
          <w:szCs w:val="19"/>
          <w:b w:val="1"/>
          <w:bCs w:val="1"/>
          <w:color w:val="auto"/>
        </w:rPr>
        <w:t>Item 7.</w:t>
      </w:r>
    </w:p>
    <w:p>
      <w:pPr>
        <w:spacing w:after="0" w:line="321" w:lineRule="exact"/>
        <w:rPr>
          <w:sz w:val="20"/>
          <w:szCs w:val="20"/>
          <w:color w:val="auto"/>
        </w:rPr>
      </w:pPr>
    </w:p>
    <w:p>
      <w:pPr>
        <w:spacing w:after="0" w:line="385" w:lineRule="auto"/>
        <w:rPr>
          <w:sz w:val="20"/>
          <w:szCs w:val="20"/>
          <w:color w:val="auto"/>
        </w:rPr>
      </w:pPr>
      <w:r>
        <w:rPr>
          <w:rFonts w:ascii="Arial" w:cs="Arial" w:eastAsia="Arial" w:hAnsi="Arial"/>
          <w:sz w:val="19"/>
          <w:szCs w:val="19"/>
          <w:color w:val="auto"/>
        </w:rPr>
        <w:t xml:space="preserve">Not applicable </w:t>
      </w: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Ownership of More than Five Percent on Behalf of Another Person.</w:t>
      </w:r>
    </w:p>
    <w:p>
      <w:pPr>
        <w:spacing w:after="0" w:line="200" w:lineRule="exact"/>
        <w:rPr>
          <w:sz w:val="20"/>
          <w:szCs w:val="20"/>
          <w:color w:val="auto"/>
        </w:rPr>
      </w:pPr>
    </w:p>
    <w:p>
      <w:pPr>
        <w:spacing w:after="0" w:line="263" w:lineRule="exact"/>
        <w:rPr>
          <w:sz w:val="20"/>
          <w:szCs w:val="20"/>
          <w:color w:val="auto"/>
        </w:rPr>
      </w:pPr>
    </w:p>
    <w:p>
      <w:pPr>
        <w:ind w:right="1459"/>
        <w:spacing w:after="0" w:line="335" w:lineRule="auto"/>
        <w:rPr>
          <w:sz w:val="20"/>
          <w:szCs w:val="20"/>
          <w:color w:val="auto"/>
        </w:rPr>
      </w:pPr>
      <w:r>
        <w:rPr>
          <w:rFonts w:ascii="Arial" w:cs="Arial" w:eastAsia="Arial" w:hAnsi="Arial"/>
          <w:sz w:val="19"/>
          <w:szCs w:val="19"/>
          <w:b w:val="1"/>
          <w:bCs w:val="1"/>
          <w:color w:val="auto"/>
        </w:rPr>
        <w:t>Identification and Classification of the Subsidiary Which Acquired the Security Being Reported on By the Parent Holding Company or Control Person.</w:t>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Identification and Classification of Members of the Group</w:t>
      </w:r>
    </w:p>
    <w:p>
      <w:pPr>
        <w:spacing w:after="0" w:line="103" w:lineRule="exact"/>
        <w:rPr>
          <w:sz w:val="20"/>
          <w:szCs w:val="20"/>
          <w:color w:val="auto"/>
        </w:rPr>
      </w:pPr>
    </w:p>
    <w:p>
      <w:pPr>
        <w:sectPr>
          <w:pgSz w:w="11900" w:h="16838" w:orient="portrait"/>
          <w:cols w:equalWidth="0" w:num="2">
            <w:col w:w="1260" w:space="100"/>
            <w:col w:w="8799"/>
          </w:cols>
          <w:pgMar w:left="300" w:top="118" w:right="1440" w:bottom="0" w:gutter="0" w:footer="0" w:header="0"/>
          <w:type w:val="continuous"/>
        </w:sectPr>
      </w:pPr>
    </w:p>
    <w:p>
      <w:pPr>
        <w:ind w:right="1279"/>
        <w:spacing w:after="0" w:line="274" w:lineRule="auto"/>
        <w:rPr>
          <w:sz w:val="20"/>
          <w:szCs w:val="20"/>
          <w:color w:val="auto"/>
        </w:rPr>
      </w:pPr>
      <w:r>
        <w:rPr>
          <w:rFonts w:ascii="Arial" w:cs="Arial" w:eastAsia="Arial" w:hAnsi="Arial"/>
          <w:sz w:val="19"/>
          <w:szCs w:val="19"/>
          <w:color w:val="auto"/>
        </w:rPr>
        <w:t>Orbis Investment Management Limited ("OIML") and Orbis Asset Management Limited ("OAML") are together making this filing because they may be deemed to constitute a "group" for the purposes of Section 13(d)(3) of the Securities Exchange Act of 1934, as amended. Information with respect to each of OIML and OAML (collectively, the "Reporting Persons") is given solely by each such Reporting Person and no Reporting Person has responsibility for the accuracy or completeness of information supplied by the other Reporting Person. OIML is the beneficial owner of 36,735,345 shares or 4.83% of the 760,834,736 shares of common stock of Micron Technology, Inc. believed to be outstanding. OAML is the beneficial owner of 196,860 shares or 0.02 % of the 760,834,736 shares of common stock of Micron Technology, Inc. believed to be outstanding.</w:t>
      </w:r>
    </w:p>
    <w:p>
      <w:pPr>
        <w:spacing w:after="0" w:line="45"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3"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50" w:lineRule="exact"/>
        <w:rPr>
          <w:sz w:val="20"/>
          <w:szCs w:val="20"/>
          <w:color w:val="auto"/>
        </w:rPr>
      </w:pPr>
    </w:p>
    <w:p>
      <w:pPr>
        <w:jc w:val="both"/>
        <w:ind w:left="480" w:right="1979"/>
        <w:spacing w:after="0" w:line="236"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159"/>
          </w:cols>
          <w:pgMar w:left="300" w:top="118" w:right="1440" w:bottom="0" w:gutter="0" w:footer="0" w:header="0"/>
          <w:type w:val="continuous"/>
        </w:sectPr>
      </w:pPr>
    </w:p>
    <w:p>
      <w:pPr>
        <w:spacing w:after="0" w:line="200" w:lineRule="exact"/>
        <w:rPr>
          <w:sz w:val="20"/>
          <w:szCs w:val="20"/>
          <w:color w:val="auto"/>
        </w:rPr>
      </w:pPr>
    </w:p>
    <w:p>
      <w:pPr>
        <w:spacing w:after="0" w:line="242" w:lineRule="exact"/>
        <w:rPr>
          <w:sz w:val="20"/>
          <w:szCs w:val="20"/>
          <w:color w:val="auto"/>
        </w:rPr>
      </w:pPr>
    </w:p>
    <w:p>
      <w:pPr>
        <w:ind w:left="3940"/>
        <w:spacing w:after="0"/>
        <w:rPr>
          <w:sz w:val="20"/>
          <w:szCs w:val="20"/>
          <w:color w:val="auto"/>
        </w:rPr>
      </w:pPr>
      <w:r>
        <w:rPr>
          <w:rFonts w:ascii="Arial" w:cs="Arial" w:eastAsia="Arial" w:hAnsi="Arial"/>
          <w:sz w:val="25"/>
          <w:szCs w:val="25"/>
          <w:b w:val="1"/>
          <w:bCs w:val="1"/>
          <w:color w:val="auto"/>
        </w:rPr>
        <w:t>SIGNATURE</w:t>
      </w:r>
    </w:p>
    <w:p>
      <w:pPr>
        <w:sectPr>
          <w:pgSz w:w="11900" w:h="16838" w:orient="portrait"/>
          <w:cols w:equalWidth="0" w:num="1">
            <w:col w:w="10159"/>
          </w:cols>
          <w:pgMar w:left="300" w:top="118" w:right="1440" w:bottom="0" w:gutter="0" w:footer="0" w:header="0"/>
          <w:type w:val="continuous"/>
        </w:sectPr>
      </w:pPr>
    </w:p>
    <w:bookmarkStart w:id="3" w:name="page4"/>
    <w:bookmarkEnd w:id="3"/>
    <w:p>
      <w:pPr>
        <w:ind w:right="11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August 18,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1118235</wp:posOffset>
            </wp:positionH>
            <wp:positionV relativeFrom="paragraph">
              <wp:posOffset>15875</wp:posOffset>
            </wp:positionV>
            <wp:extent cx="3395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Date</w:t>
      </w:r>
    </w:p>
    <w:p>
      <w:pPr>
        <w:spacing w:after="0" w:line="44"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Orbis Investment Management Limited, Orbis Asset</w:t>
      </w:r>
    </w:p>
    <w:p>
      <w:pPr>
        <w:spacing w:after="0" w:line="8" w:lineRule="exact"/>
        <w:rPr>
          <w:sz w:val="20"/>
          <w:szCs w:val="20"/>
          <w:color w:val="auto"/>
        </w:rPr>
      </w:pPr>
    </w:p>
    <w:p>
      <w:pPr>
        <w:jc w:val="center"/>
        <w:ind w:right="1059"/>
        <w:spacing w:after="0"/>
        <w:rPr>
          <w:sz w:val="20"/>
          <w:szCs w:val="20"/>
          <w:color w:val="auto"/>
        </w:rPr>
      </w:pPr>
      <w:r>
        <w:rPr>
          <w:rFonts w:ascii="Arial" w:cs="Arial" w:eastAsia="Arial" w:hAnsi="Arial"/>
          <w:sz w:val="22"/>
          <w:szCs w:val="22"/>
          <w:color w:val="auto"/>
        </w:rPr>
        <w:t>Management Limited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1118235</wp:posOffset>
            </wp:positionH>
            <wp:positionV relativeFrom="paragraph">
              <wp:posOffset>4445</wp:posOffset>
            </wp:positionV>
            <wp:extent cx="3395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 w:lineRule="exact"/>
        <w:rPr>
          <w:sz w:val="20"/>
          <w:szCs w:val="20"/>
          <w:color w:val="auto"/>
        </w:rPr>
      </w:pPr>
    </w:p>
    <w:p>
      <w:pPr>
        <w:jc w:val="center"/>
        <w:ind w:right="1059"/>
        <w:spacing w:after="0"/>
        <w:rPr>
          <w:sz w:val="20"/>
          <w:szCs w:val="20"/>
          <w:color w:val="auto"/>
        </w:rPr>
      </w:pPr>
      <w:r>
        <w:rPr>
          <w:rFonts w:ascii="Arial" w:cs="Arial" w:eastAsia="Arial" w:hAnsi="Arial"/>
          <w:sz w:val="22"/>
          <w:szCs w:val="22"/>
          <w:color w:val="auto"/>
        </w:rPr>
        <w:t>Signature</w:t>
      </w:r>
    </w:p>
    <w:p>
      <w:pPr>
        <w:spacing w:after="0" w:line="44" w:lineRule="exact"/>
        <w:rPr>
          <w:sz w:val="20"/>
          <w:szCs w:val="20"/>
          <w:color w:val="auto"/>
        </w:rPr>
      </w:pPr>
    </w:p>
    <w:p>
      <w:pPr>
        <w:jc w:val="center"/>
        <w:ind w:right="1059"/>
        <w:spacing w:after="0"/>
        <w:rPr>
          <w:sz w:val="20"/>
          <w:szCs w:val="20"/>
          <w:color w:val="auto"/>
        </w:rPr>
      </w:pPr>
      <w:r>
        <w:rPr>
          <w:rFonts w:ascii="Arial" w:cs="Arial" w:eastAsia="Arial" w:hAnsi="Arial"/>
          <w:sz w:val="22"/>
          <w:szCs w:val="22"/>
          <w:color w:val="auto"/>
        </w:rPr>
        <w:t>James J. Dorr,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1118235</wp:posOffset>
            </wp:positionH>
            <wp:positionV relativeFrom="paragraph">
              <wp:posOffset>15875</wp:posOffset>
            </wp:positionV>
            <wp:extent cx="3395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1059"/>
        <w:spacing w:after="0"/>
        <w:rPr>
          <w:sz w:val="20"/>
          <w:szCs w:val="20"/>
          <w:color w:val="auto"/>
        </w:rPr>
      </w:pPr>
      <w:r>
        <w:rPr>
          <w:rFonts w:ascii="Arial" w:cs="Arial" w:eastAsia="Arial" w:hAnsi="Arial"/>
          <w:sz w:val="22"/>
          <w:szCs w:val="22"/>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820" w:right="1379" w:hanging="1079"/>
        <w:spacing w:after="0" w:line="256" w:lineRule="auto"/>
        <w:tabs>
          <w:tab w:leader="none" w:pos="800" w:val="left"/>
        </w:tabs>
        <w:rPr>
          <w:sz w:val="20"/>
          <w:szCs w:val="20"/>
          <w:color w:val="auto"/>
        </w:rPr>
      </w:pPr>
      <w:r>
        <w:rPr>
          <w:rFonts w:ascii="Arial" w:cs="Arial" w:eastAsia="Arial" w:hAnsi="Arial"/>
          <w:sz w:val="22"/>
          <w:szCs w:val="22"/>
          <w:b w:val="1"/>
          <w:bCs w:val="1"/>
          <w:color w:val="auto"/>
        </w:rPr>
        <w:t>Attention:</w:t>
        <w:tab/>
        <w:t>Intentional misstatements or omissions of fact constitute Federal criminal violations (See 18 U.S.C. 1001)</w:t>
      </w:r>
    </w:p>
    <w:p>
      <w:pPr>
        <w:spacing w:after="0" w:line="58" w:lineRule="exact"/>
        <w:rPr>
          <w:sz w:val="20"/>
          <w:szCs w:val="20"/>
          <w:color w:val="auto"/>
        </w:rPr>
      </w:pPr>
    </w:p>
    <w:p>
      <w:pPr>
        <w:ind w:left="5460"/>
        <w:spacing w:after="0"/>
        <w:rPr>
          <w:sz w:val="20"/>
          <w:szCs w:val="20"/>
          <w:color w:val="auto"/>
        </w:rPr>
      </w:pPr>
      <w:r>
        <w:rPr>
          <w:rFonts w:ascii="Arial" w:cs="Arial" w:eastAsia="Arial" w:hAnsi="Arial"/>
          <w:sz w:val="12"/>
          <w:szCs w:val="12"/>
          <w:color w:val="auto"/>
        </w:rPr>
        <w:t>Advisor Consultant Network, Inc. Copyright © 2007-2008</w:t>
      </w:r>
    </w:p>
    <w:sectPr>
      <w:pgSz w:w="11900" w:h="16838" w:orient="portrait"/>
      <w:cols w:equalWidth="0" w:num="1">
        <w:col w:w="9919"/>
      </w:cols>
      <w:pgMar w:left="540" w:top="17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lvl w:ilvl="1">
      <w:lvlJc w:val="left"/>
      <w:lvlText w:val="(%2)"/>
      <w:numFmt w:val="lowerLetter"/>
      <w:start w:val="2"/>
    </w:lvl>
  </w:abstractNum>
  <w:abstractNum w:abstractNumId="2">
    <w:nsid w:val="41B71EFB"/>
    <w:multiLevelType w:val="hybridMultilevel"/>
    <w:lvl w:ilvl="0">
      <w:lvlJc w:val="left"/>
      <w:lvlText w:val="%1"/>
      <w:numFmt w:val="decimal"/>
      <w:start w:val="1"/>
    </w:lvl>
    <w:lvl w:ilvl="1">
      <w:lvlJc w:val="left"/>
      <w:lvlText w:val="(%2)"/>
      <w:numFmt w:val="lowerLetter"/>
      <w:start w:val="1"/>
    </w:lvl>
  </w:abstractNum>
  <w:abstractNum w:abstractNumId="3">
    <w:nsid w:val="79E2A9E3"/>
    <w:multiLevelType w:val="hybridMultilevel"/>
    <w:lvl w:ilvl="0">
      <w:lvlJc w:val="left"/>
      <w:lvlText w:val="%1."/>
      <w:numFmt w:val="decimal"/>
      <w:start w:val="3"/>
    </w:lvl>
    <w:lvl w:ilvl="1">
      <w:lvlJc w:val="left"/>
      <w:lvlText w:val="%2"/>
      <w:numFmt w:val="lowerLetter"/>
      <w:start w:val="1"/>
    </w:lvl>
  </w:abstractNum>
  <w:abstractNum w:abstractNumId="4">
    <w:nsid w:val="7545E146"/>
    <w:multiLevelType w:val="hybridMultilevel"/>
    <w:lvl w:ilvl="0">
      <w:lvlJc w:val="left"/>
      <w:lvlText w:val="%1"/>
      <w:numFmt w:val="decimal"/>
      <w:start w:val="1"/>
    </w:lvl>
    <w:lvl w:ilvl="1">
      <w:lvlJc w:val="left"/>
      <w:lvlText w:val="%2."/>
      <w:numFmt w:val="decimal"/>
      <w:start w:val="8"/>
    </w:lvl>
  </w:abstractNum>
  <w:abstractNum w:abstractNumId="5">
    <w:nsid w:val="515F007C"/>
    <w:multiLevelType w:val="hybridMultilevel"/>
    <w:lvl w:ilvl="0">
      <w:lvlJc w:val="left"/>
      <w:lvlText w:val="%1."/>
      <w:numFmt w:val="decimal"/>
      <w:start w:val="9"/>
    </w:lvl>
    <w:lvl w:ilvl="1">
      <w:lvlJc w:val="left"/>
      <w:lvlText w:val="%2"/>
      <w:numFmt w:val="decimal"/>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6"/>
    </w:lvl>
  </w:abstractNum>
  <w:abstractNum w:abstractNumId="10">
    <w:nsid w:val="1F16E9E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2019-12-11T14:26:56Z</dcterms:created>
  <dcterms:modified xsi:type="dcterms:W3CDTF">2019-12-11T14:26:56Z</dcterms:modified>
</cp:coreProperties>
</file>