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17,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00" w:space="720"/>
            <w:col w:w="2860" w:space="720"/>
            <w:col w:w="3120"/>
          </w:cols>
          <w:pgMar w:left="240" w:top="530" w:right="239"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530"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5" w:lineRule="exact"/>
        <w:rPr>
          <w:sz w:val="24"/>
          <w:szCs w:val="24"/>
          <w:color w:val="auto"/>
        </w:rPr>
      </w:pPr>
    </w:p>
    <w:p>
      <w:pPr>
        <w:ind w:firstLine="45"/>
        <w:spacing w:after="0" w:line="289" w:lineRule="auto"/>
        <w:rPr>
          <w:sz w:val="20"/>
          <w:szCs w:val="20"/>
          <w:color w:val="auto"/>
        </w:rPr>
      </w:pPr>
      <w:r>
        <w:rPr>
          <w:rFonts w:ascii="Arial" w:cs="Arial" w:eastAsia="Arial" w:hAnsi="Arial"/>
          <w:sz w:val="16"/>
          <w:szCs w:val="16"/>
          <w:color w:val="auto"/>
        </w:rPr>
        <w:t>On May 17, 2007, Micron Technology, Inc., a Delaware corporation (“Micron”), entered into an underwriting agreement (the “Underwriting Agreement”) with Morgan Stanley &amp; Co. Incorporated, as representative of the underwriters (collectively, the “Underwriters”) to issue and sell $1.135 billion aggregate principal amount of 1.875% Convertible Senior Notes due June 1, 2014 (the “Notes”) in a public offering pursuant to a Registration Statement on Form S-3 (the “Registration Statement”) and a related prospectus (the “Prospectus”) filed with the Securities and Exchange Commission. In addition, Micron granted the Underwriters an option to purchase up to an additional $165 million aggregate principal amount of Notes solely to cover over-allotments. On May 18, 2007, the Underwriters exercised this option in full. Micron estimates that the net proceeds from the offering, including the exercise of the Underwriters’ option to purchase the additional Notes, will be approximately $1.27 billion, after deducting underwriting discounts and estimated offering expenses. The Underwriting Agreement is filed as Exhibit 1.1 to this Current Report on Form 8-K.</w:t>
      </w:r>
    </w:p>
    <w:p>
      <w:pPr>
        <w:spacing w:after="0" w:line="166"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On May 23, 2007, Micron entered into an indenture (the “Indenture”) with Wells Fargo Bank, National Association, as trustee, relating to the Notes. The Indenture is filed as Exhibit 4.1 to this Current Report on Form 8-K. The Notes bear interest at a rate of 1.875% per year on the principal amount, accruing from May 23, 2007. Interest is payable semiannually in arrears in cash on June 1 and December 1 of each year, beginning on December 1, 2007. The Notes will mature on June 1, 2014, subject to earlier repurchase or conversion.</w:t>
      </w:r>
    </w:p>
    <w:p>
      <w:pPr>
        <w:spacing w:after="0" w:line="187"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The initial conversion rate for the Notes is 70.2679 shares of common stock per $1,000 principal amount of Notes. This is equivalent to an initial conversion price of approximately $14.23 per share of common stock. Holders may surrender their Notes for conversion prior to the close of business on the business day immediately preceding the maturity date for the Notes only under the following circumstances: (1) during any calendar quarter beginning after August 30, 2007 (and only during such calendar quarter), if the closing price of Micron’s common stock for at least 20 trading days in the 30 consecutive trading days ending on the last trading day of the immediately preceding calendar quarter is more than 130% of the then applicable conversion price per share of the Notes, which is $1,000 divided by the then applicable conversion rate of the Notes; (2) if the Notes have been called for redemption; (3) if specified distributions to holders of Micron’s common stock are made, or specified corporate events occur; (4) during the five business days after any five consecutive trading day period in which the trading price per $1,000 principal amount of Notes for each day of that period was less than 98% of the product of the closing price of Micron’s common stock and the then applicable conversion rate of the Notes; or (5) at any time on or after March 1, 2014.</w:t>
      </w:r>
    </w:p>
    <w:p>
      <w:pPr>
        <w:spacing w:after="0" w:line="167" w:lineRule="exact"/>
        <w:rPr>
          <w:sz w:val="24"/>
          <w:szCs w:val="24"/>
          <w:color w:val="auto"/>
        </w:rPr>
      </w:pPr>
    </w:p>
    <w:p>
      <w:pPr>
        <w:ind w:right="80"/>
        <w:spacing w:after="0" w:line="238" w:lineRule="auto"/>
        <w:rPr>
          <w:sz w:val="20"/>
          <w:szCs w:val="20"/>
          <w:color w:val="auto"/>
        </w:rPr>
      </w:pPr>
      <w:r>
        <w:rPr>
          <w:rFonts w:ascii="Arial" w:cs="Arial" w:eastAsia="Arial" w:hAnsi="Arial"/>
          <w:sz w:val="18"/>
          <w:szCs w:val="18"/>
          <w:color w:val="auto"/>
        </w:rPr>
        <w:t>Upon conversion, Micron will have the right to deliver, in lieu of shares of its common stock, cash or a combination of cash and shares of common stock. At any time on or prior to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scheduled trading day prior to the maturity date of the Notes, Micron may irrevocably elect to deliver cash up to the aggregate principal amount of the Notes to be converted, and shares of common stock, cash or a combination thereof in respect of the remainder, if any, of the conversion obligation in excess of the aggregate principal amount of the Notes being converted.</w:t>
      </w:r>
    </w:p>
    <w:p>
      <w:pPr>
        <w:sectPr>
          <w:pgSz w:w="11900" w:h="16838" w:orient="portrait"/>
          <w:cols w:equalWidth="0" w:num="1">
            <w:col w:w="11420"/>
          </w:cols>
          <w:pgMar w:left="240" w:top="530" w:right="239" w:bottom="0" w:gutter="0" w:footer="0" w:header="0"/>
          <w:type w:val="continuous"/>
        </w:sectPr>
      </w:pPr>
    </w:p>
    <w:bookmarkStart w:id="1" w:name="page2"/>
    <w:bookmarkEnd w:id="1"/>
    <w:p>
      <w:pPr>
        <w:ind w:right="100"/>
        <w:spacing w:after="0" w:line="257" w:lineRule="auto"/>
        <w:rPr>
          <w:sz w:val="20"/>
          <w:szCs w:val="20"/>
          <w:color w:val="auto"/>
        </w:rPr>
      </w:pPr>
      <w:r>
        <w:rPr>
          <w:rFonts w:ascii="Arial" w:cs="Arial" w:eastAsia="Arial" w:hAnsi="Arial"/>
          <w:sz w:val="18"/>
          <w:szCs w:val="18"/>
          <w:color w:val="auto"/>
        </w:rPr>
        <w:t>If a holder elects to convert its Notes in connection with a make-whole change in control, as defined in the Indenture, Micron will, in certain circumstances, pay a make-whole premium by increasing the conversion rate for the Notes converted in connection with such make-whole change in control. Micron may not redeem the Notes prior to June 6, 2011. Upon a change in control or a termination of trading, as defined in the Indenture, the holders may require Micron to repurchase for cash all or a portion of their Notes at a repurchase price equal to 100% of the principal amount of the Notes, plus accrued and unpaid interest, if any.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Micron’s general, unsecured obligations and are effectively subordinated to all of Micron’s existing and future secured debt, to the extent of the assets securing such debt, and are structurally subordinated to all liabilities of Micron’s subsidiaries, including trade payables. The Indenture does not limit the amount of indebtedness that Micron or any of its subsidiaries may incur.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which may result in the acceleration of the maturity of the Notes:</w:t>
      </w:r>
    </w:p>
    <w:p>
      <w:pPr>
        <w:spacing w:after="0" w:line="225" w:lineRule="exact"/>
        <w:rPr>
          <w:sz w:val="20"/>
          <w:szCs w:val="20"/>
          <w:color w:val="auto"/>
        </w:rPr>
      </w:pPr>
    </w:p>
    <w:p>
      <w:pPr>
        <w:ind w:left="1300" w:right="200" w:hanging="320"/>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pay when due the principal on any of the Notes at maturity, upon optional redemption, upon required repurchase, upon declaration or otherwise;</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pay interest on any of the Notes for 30 days after the date when due;</w:t>
      </w:r>
    </w:p>
    <w:p>
      <w:pPr>
        <w:spacing w:after="0" w:line="225" w:lineRule="exact"/>
        <w:rPr>
          <w:rFonts w:ascii="Arial" w:cs="Arial" w:eastAsia="Arial" w:hAnsi="Arial"/>
          <w:sz w:val="18"/>
          <w:szCs w:val="18"/>
          <w:color w:val="auto"/>
        </w:rPr>
      </w:pPr>
    </w:p>
    <w:p>
      <w:pPr>
        <w:ind w:left="1300" w:right="500" w:hanging="320"/>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give timely notice of a termination of trading, a change of control or a make-whole change in control that does not constitute a change in control, which continues for a period of three business days;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give timely notice of a distribution to its stockholders, which continues for a period of three business days;</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comply with its obligation to convert the Notes into common stock, cash or a combination of cash and common stock, upon exercise of a holder’s conversion right;</w:t>
      </w:r>
    </w:p>
    <w:p>
      <w:pPr>
        <w:spacing w:after="0" w:line="170" w:lineRule="exact"/>
        <w:rPr>
          <w:rFonts w:ascii="Arial" w:cs="Arial" w:eastAsia="Arial" w:hAnsi="Arial"/>
          <w:sz w:val="18"/>
          <w:szCs w:val="18"/>
          <w:color w:val="auto"/>
        </w:rPr>
      </w:pPr>
    </w:p>
    <w:p>
      <w:pPr>
        <w:ind w:left="1300" w:right="140" w:hanging="320"/>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perform or observe any other covenants or agreement under the Indenture governing the Notes and Micron fails to cure or obtain a waiver of such default for a period of 60 days after receiving notice of such failure;</w:t>
      </w:r>
    </w:p>
    <w:p>
      <w:pPr>
        <w:spacing w:after="0" w:line="170" w:lineRule="exact"/>
        <w:rPr>
          <w:rFonts w:ascii="Arial" w:cs="Arial" w:eastAsia="Arial" w:hAnsi="Arial"/>
          <w:sz w:val="18"/>
          <w:szCs w:val="18"/>
          <w:color w:val="auto"/>
        </w:rPr>
      </w:pPr>
    </w:p>
    <w:p>
      <w:pPr>
        <w:ind w:left="1300" w:right="100" w:hanging="320"/>
        <w:spacing w:after="0" w:line="264"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default by Micron under any indebtedness that results in acceleration of such indebtedness, or the failure to pay any such indebtedness at maturity, in an aggregate principal amount in excess of $100 million, and such acceleration has not been rescinded or annulled within 30 days;</w:t>
      </w:r>
    </w:p>
    <w:p>
      <w:pPr>
        <w:spacing w:after="0" w:line="181" w:lineRule="exact"/>
        <w:rPr>
          <w:rFonts w:ascii="Arial" w:cs="Arial" w:eastAsia="Arial" w:hAnsi="Arial"/>
          <w:sz w:val="18"/>
          <w:szCs w:val="18"/>
          <w:color w:val="auto"/>
        </w:rPr>
      </w:pPr>
    </w:p>
    <w:p>
      <w:pPr>
        <w:ind w:left="1260" w:hanging="280"/>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the Company or any significant subsidiary.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offering of the notes, the Company also entered into capped call transactions with the following entities affiliated with the Underwriters: one capped call transaction with Morgan Stanley &amp; Co. International plc (the “Morgan Stanley Capped Call”) and two capped call transactions with Credit Suisse International (the “First Credit Suisse Capped Call” and the “Second Credit Suisse Capped Call” and collectively with the Morgan Stanley Capped Call and the First Credit Suisse Capped Call, the “Capped Calls”). The Capped Calls each have an initial strike price of $14.2312 per share, subject to certain adjustments, which matches the initial conversion price of the Notes. The Morgan Stanley Capped Call has a cap price of $17.25000 per share; the First Credit Suisse Capped Call has a cap price of $20.1250 per share; and the Second Credit Suisse Capped Call has a cap price of $23.0000 per share. The Capped Calls are in three equal tranches and cover, subject to anti-dilution adjustments similar to those contained in the notes, an approximate combined total of 91.3 million shares of common stock (after adjustment for the Underwriters’ exercise of their over-allotment option pursuant to the Underwriting Agreement). The Capped Calls are intended to reduce the potential dilution upon conversion of the Notes. If, however, the market value per share of the common stock, as measured under the terms of the Capped Calls, exceeds the applicable cap price of the Capped Calls, there would be dilution to the extent that the then market value per share of the common stock exceeds the cap price. Micron paid approximately $151.1 million from the net proceeds from the issuance and sale of the Notes to purchase the Capped Calls. The Morgan Stanley Capped Call expires in four and one-half years, the First Credit Suisse Capped Call expires in five years, and the Second Credit Suisse Capped Call expires in five and one-half years. The Morgan Stanley Capped Call is filed as Exhibit 10.1, the First Credit Suisse Capped Call is filed as Exhibit 10.2 and the Second Credit Suisse Capped Call is filed as Exhibit 10.3 to this Current Report on Form 8-K.</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summary of the foregoing transactions is qualified in its entirety by reference to the text of the Underwriting Agreement, Indenture and Capped Calls, which are included as exhibits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1.01 above.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following exhibits are filed herewith:</w:t>
      </w:r>
    </w:p>
    <w:p>
      <w:pPr>
        <w:sectPr>
          <w:pgSz w:w="11900" w:h="16838" w:orient="portrait"/>
          <w:cols w:equalWidth="0" w:num="1">
            <w:col w:w="11400"/>
          </w:cols>
          <w:pgMar w:left="240" w:top="125" w:right="259" w:bottom="0" w:gutter="0" w:footer="0" w:header="0"/>
        </w:sectPr>
      </w:pPr>
    </w:p>
    <w:p>
      <w:pPr>
        <w:spacing w:after="0" w:line="257" w:lineRule="exact"/>
        <w:rPr>
          <w:sz w:val="20"/>
          <w:szCs w:val="20"/>
          <w:color w:val="auto"/>
        </w:rPr>
      </w:pPr>
    </w:p>
    <w:p>
      <w:pPr>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8"/>
                <w:szCs w:val="18"/>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Underwriting Agreement, dated as of May 17, 2007, by and between Micron Technology, Inc. and Morgan Stanley &amp; Co. Incorporated, as</w:t>
            </w:r>
          </w:p>
        </w:tc>
      </w:t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representative of the underwriters.</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Indenture, dated as of May 23, 2007, by and between Micron Technology, Inc. and Wells Fargo Bank, National Association, as trustee.</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Capped Call Confirmation (Reference No. CEODL6), by and between Micron Technology, Inc. and Morgan Stanley &amp; Co. International</w:t>
            </w:r>
          </w:p>
        </w:tc>
      </w:tr>
      <w:tr>
        <w:trPr>
          <w:trHeight w:val="216"/>
        </w:trPr>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plc.</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9"/>
              </w:rPr>
              <w:t>Capped Call Confirmation (Reference No. 53228800), by and between Micron Technology, Inc. and Credit Suisse International.</w:t>
            </w: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9"/>
              </w:rPr>
              <w:t>Capped Call Confirmation (Reference No. 53228855), by and between Micron Technology, Inc. and Credit Suisse International.</w:t>
            </w:r>
          </w:p>
        </w:tc>
      </w:tr>
      <w:tr>
        <w:trPr>
          <w:trHeight w:val="702"/>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306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May 23, 2007</w:t>
            </w:r>
          </w:p>
        </w:tc>
        <w:tc>
          <w:tcPr>
            <w:tcW w:w="3760" w:type="dxa"/>
            <w:vAlign w:val="bottom"/>
          </w:tcPr>
          <w:p>
            <w:pPr>
              <w:ind w:left="30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 G. Stover, Jr.</w:t>
            </w:r>
          </w:p>
        </w:tc>
      </w:tr>
      <w:tr>
        <w:trPr>
          <w:trHeight w:val="195"/>
        </w:trPr>
        <w:tc>
          <w:tcPr>
            <w:tcW w:w="3560" w:type="dxa"/>
            <w:vAlign w:val="bottom"/>
          </w:tcPr>
          <w:p>
            <w:pPr>
              <w:spacing w:after="0"/>
              <w:rPr>
                <w:sz w:val="16"/>
                <w:szCs w:val="16"/>
                <w:color w:val="auto"/>
              </w:rPr>
            </w:pPr>
          </w:p>
        </w:tc>
        <w:tc>
          <w:tcPr>
            <w:tcW w:w="3760" w:type="dxa"/>
            <w:vAlign w:val="bottom"/>
          </w:tcPr>
          <w:p>
            <w:pPr>
              <w:ind w:left="3060"/>
              <w:spacing w:after="0" w:line="195" w:lineRule="exact"/>
              <w:rPr>
                <w:sz w:val="20"/>
                <w:szCs w:val="20"/>
                <w:color w:val="auto"/>
              </w:rPr>
            </w:pPr>
            <w:r>
              <w:rPr>
                <w:rFonts w:ascii="Arial" w:cs="Arial" w:eastAsia="Arial" w:hAnsi="Arial"/>
                <w:sz w:val="18"/>
                <w:szCs w:val="18"/>
                <w:color w:val="auto"/>
              </w:rPr>
              <w:t>Name:</w:t>
            </w: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W. G. Stover, Jr.</w:t>
            </w:r>
          </w:p>
        </w:tc>
      </w:tr>
      <w:tr>
        <w:trPr>
          <w:trHeight w:val="216"/>
        </w:trPr>
        <w:tc>
          <w:tcPr>
            <w:tcW w:w="3560" w:type="dxa"/>
            <w:vAlign w:val="bottom"/>
          </w:tcPr>
          <w:p>
            <w:pPr>
              <w:spacing w:after="0"/>
              <w:rPr>
                <w:sz w:val="18"/>
                <w:szCs w:val="18"/>
                <w:color w:val="auto"/>
              </w:rPr>
            </w:pPr>
          </w:p>
        </w:tc>
        <w:tc>
          <w:tcPr>
            <w:tcW w:w="3760" w:type="dxa"/>
            <w:vAlign w:val="bottom"/>
          </w:tcPr>
          <w:p>
            <w:pPr>
              <w:ind w:left="3060"/>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02"/>
        </w:trPr>
        <w:tc>
          <w:tcPr>
            <w:tcW w:w="3560" w:type="dxa"/>
            <w:vAlign w:val="bottom"/>
          </w:tcPr>
          <w:p>
            <w:pPr>
              <w:spacing w:after="0"/>
              <w:rPr>
                <w:sz w:val="24"/>
                <w:szCs w:val="24"/>
                <w:color w:val="auto"/>
              </w:rPr>
            </w:pPr>
          </w:p>
        </w:tc>
        <w:tc>
          <w:tcPr>
            <w:tcW w:w="3760" w:type="dxa"/>
            <w:vAlign w:val="bottom"/>
          </w:tcPr>
          <w:p>
            <w:pPr>
              <w:ind w:left="2100"/>
              <w:spacing w:after="0"/>
              <w:rPr>
                <w:sz w:val="20"/>
                <w:szCs w:val="20"/>
                <w:color w:val="auto"/>
              </w:rPr>
            </w:pPr>
            <w:r>
              <w:rPr>
                <w:rFonts w:ascii="Arial" w:cs="Arial" w:eastAsia="Arial" w:hAnsi="Arial"/>
                <w:sz w:val="18"/>
                <w:szCs w:val="18"/>
                <w:color w:val="auto"/>
              </w:rPr>
              <w:t>5</w:t>
            </w: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80" w:type="dxa"/>
            <w:vAlign w:val="bottom"/>
          </w:tcPr>
          <w:p>
            <w:pPr>
              <w:jc w:val="center"/>
              <w:ind w:right="125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80" w:type="dxa"/>
            <w:vAlign w:val="bottom"/>
          </w:tcPr>
          <w:p>
            <w:pPr>
              <w:jc w:val="center"/>
              <w:ind w:right="1254"/>
              <w:spacing w:after="0"/>
              <w:rPr>
                <w:sz w:val="20"/>
                <w:szCs w:val="20"/>
                <w:color w:val="auto"/>
              </w:rPr>
            </w:pPr>
            <w:r>
              <w:rPr>
                <w:rFonts w:ascii="Arial" w:cs="Arial" w:eastAsia="Arial" w:hAnsi="Arial"/>
                <w:sz w:val="18"/>
                <w:szCs w:val="18"/>
                <w:b w:val="1"/>
                <w:bCs w:val="1"/>
                <w:color w:val="auto"/>
                <w:w w:val="98"/>
              </w:rPr>
              <w:t>THE CURRENT REPORT ON FORM 8-K DATED MAY 23, 2007</w:t>
            </w:r>
          </w:p>
        </w:tc>
        <w:tc>
          <w:tcPr>
            <w:tcW w:w="40" w:type="dxa"/>
            <w:vAlign w:val="bottom"/>
          </w:tcPr>
          <w:p>
            <w:pPr>
              <w:spacing w:after="0"/>
              <w:rPr>
                <w:sz w:val="20"/>
                <w:szCs w:val="20"/>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24"/>
                <w:szCs w:val="24"/>
                <w:color w:val="auto"/>
              </w:rPr>
            </w:pPr>
          </w:p>
        </w:tc>
        <w:tc>
          <w:tcPr>
            <w:tcW w:w="1008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6"/>
                <w:szCs w:val="16"/>
                <w:color w:val="auto"/>
              </w:rPr>
            </w:pPr>
          </w:p>
        </w:tc>
        <w:tc>
          <w:tcPr>
            <w:tcW w:w="10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Underwriting Agreement, dated as of May 17, 2007, by and between Micron Technology, Inc. and Morgan Stanley &amp; Co. Incorporated, as</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300"/>
              <w:spacing w:after="0"/>
              <w:rPr>
                <w:sz w:val="20"/>
                <w:szCs w:val="20"/>
                <w:color w:val="auto"/>
              </w:rPr>
            </w:pPr>
            <w:r>
              <w:rPr>
                <w:rFonts w:ascii="Arial" w:cs="Arial" w:eastAsia="Arial" w:hAnsi="Arial"/>
                <w:sz w:val="18"/>
                <w:szCs w:val="18"/>
                <w:color w:val="auto"/>
              </w:rPr>
              <w:t>representative of the underwriters.</w:t>
            </w:r>
          </w:p>
        </w:tc>
        <w:tc>
          <w:tcPr>
            <w:tcW w:w="40" w:type="dxa"/>
            <w:vAlign w:val="bottom"/>
          </w:tcPr>
          <w:p>
            <w:pPr>
              <w:spacing w:after="0"/>
              <w:rPr>
                <w:sz w:val="18"/>
                <w:szCs w:val="18"/>
                <w:color w:val="auto"/>
              </w:rPr>
            </w:pPr>
          </w:p>
        </w:tc>
      </w:tr>
      <w:tr>
        <w:trPr>
          <w:trHeight w:val="216"/>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380" w:type="dxa"/>
            <w:vAlign w:val="bottom"/>
            <w:gridSpan w:val="2"/>
          </w:tcPr>
          <w:p>
            <w:pPr>
              <w:ind w:left="300"/>
              <w:spacing w:after="0"/>
              <w:rPr>
                <w:sz w:val="20"/>
                <w:szCs w:val="20"/>
                <w:color w:val="auto"/>
              </w:rPr>
            </w:pPr>
            <w:r>
              <w:rPr>
                <w:rFonts w:ascii="Arial" w:cs="Arial" w:eastAsia="Arial" w:hAnsi="Arial"/>
                <w:sz w:val="18"/>
                <w:szCs w:val="18"/>
                <w:color w:val="auto"/>
                <w:w w:val="93"/>
              </w:rPr>
              <w:t>Indenture, dated as of May 23, 2007, by and between Micron Technology, Inc. and Wells Fargo Bank, National Association, as trustee.</w:t>
            </w:r>
          </w:p>
        </w:tc>
        <w:tc>
          <w:tcPr>
            <w:tcW w:w="40" w:type="dxa"/>
            <w:vAlign w:val="bottom"/>
          </w:tcPr>
          <w:p>
            <w:pPr>
              <w:spacing w:after="0"/>
              <w:rPr>
                <w:sz w:val="18"/>
                <w:szCs w:val="18"/>
                <w:color w:val="auto"/>
              </w:rPr>
            </w:pPr>
          </w:p>
        </w:tc>
      </w:tr>
      <w:tr>
        <w:trPr>
          <w:trHeight w:val="216"/>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380" w:type="dxa"/>
            <w:vAlign w:val="bottom"/>
            <w:gridSpan w:val="2"/>
          </w:tcPr>
          <w:p>
            <w:pPr>
              <w:ind w:left="300"/>
              <w:spacing w:after="0"/>
              <w:rPr>
                <w:sz w:val="20"/>
                <w:szCs w:val="20"/>
                <w:color w:val="auto"/>
              </w:rPr>
            </w:pPr>
            <w:r>
              <w:rPr>
                <w:rFonts w:ascii="Arial" w:cs="Arial" w:eastAsia="Arial" w:hAnsi="Arial"/>
                <w:sz w:val="18"/>
                <w:szCs w:val="18"/>
                <w:color w:val="auto"/>
                <w:w w:val="94"/>
              </w:rPr>
              <w:t>Capped Call Confirmation (Reference No. CEODL6), by and between Micron Technology, Inc. and Morgan Stanley &amp; Co. International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300"/>
              <w:spacing w:after="0"/>
              <w:rPr>
                <w:sz w:val="20"/>
                <w:szCs w:val="20"/>
                <w:color w:val="auto"/>
              </w:rPr>
            </w:pPr>
            <w:r>
              <w:rPr>
                <w:rFonts w:ascii="Arial" w:cs="Arial" w:eastAsia="Arial" w:hAnsi="Arial"/>
                <w:sz w:val="18"/>
                <w:szCs w:val="18"/>
                <w:color w:val="auto"/>
              </w:rPr>
              <w:t>plc.</w:t>
            </w:r>
          </w:p>
        </w:tc>
        <w:tc>
          <w:tcPr>
            <w:tcW w:w="40" w:type="dxa"/>
            <w:vAlign w:val="bottom"/>
          </w:tcPr>
          <w:p>
            <w:pPr>
              <w:spacing w:after="0"/>
              <w:rPr>
                <w:sz w:val="18"/>
                <w:szCs w:val="18"/>
                <w:color w:val="auto"/>
              </w:rPr>
            </w:pPr>
          </w:p>
        </w:tc>
      </w:tr>
      <w:tr>
        <w:trPr>
          <w:trHeight w:val="216"/>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0380" w:type="dxa"/>
            <w:vAlign w:val="bottom"/>
            <w:gridSpan w:val="2"/>
          </w:tcPr>
          <w:p>
            <w:pPr>
              <w:ind w:left="300"/>
              <w:spacing w:after="0"/>
              <w:rPr>
                <w:sz w:val="20"/>
                <w:szCs w:val="20"/>
                <w:color w:val="auto"/>
              </w:rPr>
            </w:pPr>
            <w:r>
              <w:rPr>
                <w:rFonts w:ascii="Arial" w:cs="Arial" w:eastAsia="Arial" w:hAnsi="Arial"/>
                <w:sz w:val="18"/>
                <w:szCs w:val="18"/>
                <w:color w:val="auto"/>
                <w:w w:val="99"/>
              </w:rPr>
              <w:t>Capped Call Confirmation (Reference No. 53228800), by and between Micron Technology, Inc. and Credit Suisse International.</w:t>
            </w:r>
          </w:p>
        </w:tc>
        <w:tc>
          <w:tcPr>
            <w:tcW w:w="40" w:type="dxa"/>
            <w:vAlign w:val="bottom"/>
          </w:tcPr>
          <w:p>
            <w:pPr>
              <w:spacing w:after="0"/>
              <w:rPr>
                <w:sz w:val="18"/>
                <w:szCs w:val="18"/>
                <w:color w:val="auto"/>
              </w:rPr>
            </w:pPr>
          </w:p>
        </w:tc>
      </w:tr>
      <w:tr>
        <w:trPr>
          <w:trHeight w:val="230"/>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0380" w:type="dxa"/>
            <w:vAlign w:val="bottom"/>
            <w:gridSpan w:val="2"/>
          </w:tcPr>
          <w:p>
            <w:pPr>
              <w:ind w:left="300"/>
              <w:spacing w:after="0"/>
              <w:rPr>
                <w:sz w:val="20"/>
                <w:szCs w:val="20"/>
                <w:color w:val="auto"/>
              </w:rPr>
            </w:pPr>
            <w:r>
              <w:rPr>
                <w:rFonts w:ascii="Arial" w:cs="Arial" w:eastAsia="Arial" w:hAnsi="Arial"/>
                <w:sz w:val="18"/>
                <w:szCs w:val="18"/>
                <w:color w:val="auto"/>
                <w:w w:val="99"/>
              </w:rPr>
              <w:t>Capped Call Confirmation (Reference No. 53228855), by and between Micron Technology, Inc. and Credit Suisse International.</w:t>
            </w:r>
          </w:p>
        </w:tc>
        <w:tc>
          <w:tcPr>
            <w:tcW w:w="40" w:type="dxa"/>
            <w:vAlign w:val="bottom"/>
          </w:tcPr>
          <w:p>
            <w:pPr>
              <w:spacing w:after="0"/>
              <w:rPr>
                <w:sz w:val="20"/>
                <w:szCs w:val="20"/>
                <w:color w:val="auto"/>
              </w:rPr>
            </w:pPr>
          </w:p>
        </w:tc>
      </w:tr>
      <w:tr>
        <w:trPr>
          <w:trHeight w:val="70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380" w:type="dxa"/>
            <w:vAlign w:val="bottom"/>
            <w:gridSpan w:val="2"/>
          </w:tcPr>
          <w:p>
            <w:pPr>
              <w:jc w:val="center"/>
              <w:ind w:right="954"/>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0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1.875% CONVERTIBLE SENIOR NOTES DUE JUNE 1,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May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May 17,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the Managers named in Schedule I hereto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Underwriters named in 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Micron Technology,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II</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you are acting as managers (the “Managers”), and for whom Morgan Stanley &amp; Co. Incorporated is acting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(the “</w:t>
      </w:r>
      <w:r>
        <w:rPr>
          <w:rFonts w:ascii="Arial" w:cs="Arial" w:eastAsia="Arial" w:hAnsi="Arial"/>
          <w:sz w:val="16"/>
          <w:szCs w:val="16"/>
          <w:b w:val="1"/>
          <w:bCs w:val="1"/>
          <w:color w:val="auto"/>
        </w:rPr>
        <w:t>Representative</w:t>
      </w:r>
      <w:r>
        <w:rPr>
          <w:rFonts w:ascii="Arial" w:cs="Arial" w:eastAsia="Arial" w:hAnsi="Arial"/>
          <w:sz w:val="16"/>
          <w:szCs w:val="16"/>
          <w:color w:val="auto"/>
        </w:rPr>
        <w:t>”), the aggregate principal amount of its 1.875% Convertible Senior Notes due 2014 set forth in Schedule I hereto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Firm Securities</w:t>
      </w:r>
      <w:r>
        <w:rPr>
          <w:rFonts w:ascii="Arial" w:cs="Arial" w:eastAsia="Arial" w:hAnsi="Arial"/>
          <w:sz w:val="16"/>
          <w:szCs w:val="16"/>
          <w:color w:val="auto"/>
        </w:rPr>
        <w:t>”) to be issued pursuant to the provisions of an indenture to be dated as of May 23, 2007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Wells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Fargo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Company also proposes to issue and sell to the several Underwriters not more than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principal amount of its 1.875% Convertible Senior Notes due 2014 set forth in Schedule I hereto (the “</w:t>
      </w:r>
      <w:r>
        <w:rPr>
          <w:rFonts w:ascii="Arial" w:cs="Arial" w:eastAsia="Arial" w:hAnsi="Arial"/>
          <w:sz w:val="16"/>
          <w:szCs w:val="16"/>
          <w:b w:val="1"/>
          <w:bCs w:val="1"/>
          <w:color w:val="auto"/>
        </w:rPr>
        <w:t>Additional Securities</w:t>
      </w:r>
      <w:r>
        <w:rPr>
          <w:rFonts w:ascii="Arial" w:cs="Arial" w:eastAsia="Arial" w:hAnsi="Arial"/>
          <w:sz w:val="16"/>
          <w:szCs w:val="16"/>
          <w:color w:val="auto"/>
        </w:rPr>
        <w:t>”), if and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Representative shall have determined to exercise, on behalf of the Underwriters, the right to purchase such amount of securities granted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Underwriters in Section 2 hereof. The Firm Securities and the Additional Securities are hereinafter collectively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Securities are convertible into the Company’s common stock, par value $0.10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The Common Stock into which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convertible are hereinafter collectively referred to as the “</w:t>
      </w:r>
      <w:r>
        <w:rPr>
          <w:rFonts w:ascii="Arial" w:cs="Arial" w:eastAsia="Arial" w:hAnsi="Arial"/>
          <w:sz w:val="16"/>
          <w:szCs w:val="16"/>
          <w:b w:val="1"/>
          <w:bCs w:val="1"/>
          <w:color w:val="auto"/>
        </w:rPr>
        <w:t>Underlying Securities</w:t>
      </w:r>
      <w:r>
        <w:rPr>
          <w:rFonts w:ascii="Arial" w:cs="Arial" w:eastAsia="Arial" w:hAnsi="Arial"/>
          <w:sz w:val="16"/>
          <w:szCs w:val="16"/>
          <w:color w:val="auto"/>
        </w:rPr>
        <w:t>”. If the firm or firms listed in Schedule II hereto include only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Managers listed in Schedule I hereto, then the terms “Underwriters” and “Managers” as used herein shall each be deemed to refer to such firm or firms.</w:t>
      </w:r>
    </w:p>
    <w:p>
      <w:pPr>
        <w:spacing w:after="0" w:line="23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(the file number of which is set forth in Schedule I hereto) on Form S-3, relating to the Securities and the Underlying Securities to be issued by the Company. The registration statement as amended to the date of this Agreement, including the information (if any) deemed to be part of the registration statement at the time of effectiveness pursuant to Rule 430A or Rule 430 B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any preliminary form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together with the free writing prospectuses, if any, each identified in Schedule 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“Prospectus,” “preliminary prospectus,” “Time of Sale Prospectus” and “Prospectus” shall include the documents, if any, incorporated by reference therein prior to the completion of the distribution of the Securities.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Prospectus, the Time of Sale Prospectus, any preliminary prospectus or free writing prospectus shall include all documents subsequently filed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76" w:lineRule="exact"/>
        <w:rPr>
          <w:sz w:val="20"/>
          <w:szCs w:val="20"/>
          <w:color w:val="auto"/>
        </w:rPr>
      </w:pPr>
    </w:p>
    <w:p>
      <w:pPr>
        <w:ind w:left="1380" w:hanging="7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225" w:lineRule="exact"/>
        <w:rPr>
          <w:sz w:val="20"/>
          <w:szCs w:val="20"/>
          <w:color w:val="auto"/>
        </w:rPr>
      </w:pPr>
    </w:p>
    <w:p>
      <w:pPr>
        <w:ind w:right="100" w:firstLine="656"/>
        <w:spacing w:after="0" w:line="302" w:lineRule="auto"/>
        <w:tabs>
          <w:tab w:leader="none" w:pos="13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knowledge of the Company,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54" w:lineRule="exact"/>
        <w:rPr>
          <w:rFonts w:ascii="Arial" w:cs="Arial" w:eastAsia="Arial" w:hAnsi="Arial"/>
          <w:sz w:val="16"/>
          <w:szCs w:val="16"/>
          <w:color w:val="auto"/>
        </w:rPr>
      </w:pPr>
    </w:p>
    <w:p>
      <w:pPr>
        <w:ind w:right="40" w:firstLine="656"/>
        <w:spacing w:after="0" w:line="254" w:lineRule="auto"/>
        <w:tabs>
          <w:tab w:leader="none" w:pos="1353" w:val="left"/>
        </w:tabs>
        <w:numPr>
          <w:ilvl w:val="0"/>
          <w:numId w:val="3"/>
        </w:numPr>
        <w:rPr>
          <w:rFonts w:ascii="Arial" w:cs="Arial" w:eastAsia="Arial" w:hAnsi="Arial"/>
          <w:sz w:val="18"/>
          <w:szCs w:val="18"/>
          <w:color w:val="auto"/>
        </w:rPr>
      </w:pPr>
      <w:r>
        <w:rPr>
          <w:rFonts w:ascii="Arial" w:cs="Arial" w:eastAsia="Arial" w:hAnsi="Arial"/>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right="20"/>
        <w:spacing w:after="0" w:line="270" w:lineRule="auto"/>
        <w:rPr>
          <w:sz w:val="20"/>
          <w:szCs w:val="20"/>
          <w:color w:val="auto"/>
        </w:rPr>
      </w:pPr>
      <w:r>
        <w:rPr>
          <w:rFonts w:ascii="Arial" w:cs="Arial" w:eastAsia="Arial" w:hAnsi="Arial"/>
          <w:sz w:val="17"/>
          <w:szCs w:val="17"/>
          <w:color w:val="auto"/>
        </w:rPr>
        <w:t>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light of the circumstances under which they were made, not misleading, and (vii)the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Managers expressly for use therein.</w:t>
      </w:r>
    </w:p>
    <w:p>
      <w:pPr>
        <w:spacing w:after="0" w:line="178" w:lineRule="exact"/>
        <w:rPr>
          <w:sz w:val="20"/>
          <w:szCs w:val="20"/>
          <w:color w:val="auto"/>
        </w:rPr>
      </w:pPr>
    </w:p>
    <w:p>
      <w:pPr>
        <w:ind w:firstLine="656"/>
        <w:spacing w:after="0" w:line="271" w:lineRule="auto"/>
        <w:tabs>
          <w:tab w:leader="none" w:pos="134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Representative before first use, the Company has not prepared, used or referred to, and will not, without your prior consent, prepare, use or refer to, any free writing prospectus.</w:t>
      </w:r>
    </w:p>
    <w:p>
      <w:pPr>
        <w:spacing w:after="0" w:line="178" w:lineRule="exact"/>
        <w:rPr>
          <w:rFonts w:ascii="Arial" w:cs="Arial" w:eastAsia="Arial" w:hAnsi="Arial"/>
          <w:sz w:val="17"/>
          <w:szCs w:val="17"/>
          <w:color w:val="auto"/>
        </w:rPr>
      </w:pPr>
    </w:p>
    <w:p>
      <w:pPr>
        <w:ind w:right="20" w:firstLine="656"/>
        <w:spacing w:after="0" w:line="259" w:lineRule="auto"/>
        <w:tabs>
          <w:tab w:leader="none" w:pos="1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identified on Schedule III hereto in which the conduct of its business requires such qualification or is subject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material liability or disability by reason of failure to be so qualified in any such jurisdiction.</w:t>
      </w:r>
    </w:p>
    <w:p>
      <w:pPr>
        <w:spacing w:after="0" w:line="225"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100" w:firstLine="656"/>
        <w:spacing w:after="0" w:line="264" w:lineRule="auto"/>
        <w:tabs>
          <w:tab w:leader="none" w:pos="1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 and all of the shares of Common Stock outstanding prior to the issuance of the Securities have been duly authorized and are validly issued, fully paid and non-assessable and conform in all material respects to the description thereof contained in the Time of Sale Prospectus.</w:t>
      </w:r>
    </w:p>
    <w:p>
      <w:pPr>
        <w:spacing w:after="0" w:line="181" w:lineRule="exact"/>
        <w:rPr>
          <w:rFonts w:ascii="Arial" w:cs="Arial" w:eastAsia="Arial" w:hAnsi="Arial"/>
          <w:sz w:val="18"/>
          <w:szCs w:val="18"/>
          <w:color w:val="auto"/>
        </w:rPr>
      </w:pPr>
    </w:p>
    <w:p>
      <w:pPr>
        <w:ind w:right="40" w:firstLine="656"/>
        <w:spacing w:after="0" w:line="255"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executed and authenticated in accordance with the provisions of the Indenture and delivered to and paid for by the Underwriters in accordance with the terms of this Agreement (assuming due authentication by the Trustee in the manner described in the Indenture), will be valid and binding obligations of the Company, enforceable against the Company in accordance with their terms, subject to applicable bankruptcy, insolvency, fraudulent conveyance,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and will be entitled to the benefits of the Indenture.</w:t>
      </w:r>
    </w:p>
    <w:p>
      <w:pPr>
        <w:spacing w:after="0" w:line="189" w:lineRule="exact"/>
        <w:rPr>
          <w:rFonts w:ascii="Arial" w:cs="Arial" w:eastAsia="Arial" w:hAnsi="Arial"/>
          <w:sz w:val="18"/>
          <w:szCs w:val="18"/>
          <w:color w:val="auto"/>
        </w:rPr>
      </w:pPr>
    </w:p>
    <w:p>
      <w:pPr>
        <w:ind w:right="2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Securities issuable upon conversion of the Securities have been duly authorized and reserved and, when issued upon conversion of the Securities in accordance with the terms of the Securities and the Indenture, will be validly issued, fully paid and non-assessable, the issuance of the Underlying Securities will not be subject to any preemptive or similar rights and will conform in all material respects to the description thereof contained in each of the Time of Sale Prospectus and the Prospectus.</w:t>
      </w:r>
    </w:p>
    <w:p>
      <w:pPr>
        <w:spacing w:after="0" w:line="186" w:lineRule="exact"/>
        <w:rPr>
          <w:rFonts w:ascii="Arial" w:cs="Arial" w:eastAsia="Arial" w:hAnsi="Arial"/>
          <w:sz w:val="18"/>
          <w:szCs w:val="18"/>
          <w:color w:val="auto"/>
        </w:rPr>
      </w:pPr>
    </w:p>
    <w:p>
      <w:pPr>
        <w:jc w:val="both"/>
        <w:ind w:right="60" w:firstLine="656"/>
        <w:spacing w:after="0" w:line="259" w:lineRule="auto"/>
        <w:tabs>
          <w:tab w:leader="none" w:pos="135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Indenture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 will conform in all material respects to the descriptions thereof in the Time of Sale Prospectus and the Prospectus.</w:t>
      </w:r>
    </w:p>
    <w:p>
      <w:pPr>
        <w:spacing w:after="0" w:line="186" w:lineRule="exact"/>
        <w:rPr>
          <w:rFonts w:ascii="Arial" w:cs="Arial" w:eastAsia="Arial" w:hAnsi="Arial"/>
          <w:sz w:val="18"/>
          <w:szCs w:val="18"/>
          <w:color w:val="auto"/>
        </w:rPr>
      </w:pPr>
    </w:p>
    <w:p>
      <w:pPr>
        <w:ind w:right="660" w:firstLine="656"/>
        <w:spacing w:after="0" w:line="277" w:lineRule="auto"/>
        <w:tabs>
          <w:tab w:leader="none" w:pos="135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the Indenture and the Securities will not conflict with or result in a breach of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violation of any of the terms or provisions of or constitute a default under any agreement or other 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the Indenture and the Securities, except for those that have been, or will have been prior to the Closing Date, obtained, such as may be required by the securities or Blue Sky laws of the various states in connection with the</w:t>
      </w:r>
    </w:p>
    <w:p>
      <w:pPr>
        <w:sectPr>
          <w:pgSz w:w="11900" w:h="16865" w:orient="portrait"/>
          <w:cols w:equalWidth="0" w:num="1">
            <w:col w:w="11420"/>
          </w:cols>
          <w:pgMar w:left="240" w:top="868" w:right="239" w:bottom="0" w:gutter="0" w:footer="0" w:header="0"/>
        </w:sectPr>
      </w:pPr>
    </w:p>
    <w:bookmarkStart w:id="5" w:name="page6"/>
    <w:bookmarkEnd w:id="5"/>
    <w:p>
      <w:pPr>
        <w:ind w:right="180"/>
        <w:spacing w:after="0" w:line="308" w:lineRule="auto"/>
        <w:rPr>
          <w:sz w:val="20"/>
          <w:szCs w:val="20"/>
          <w:color w:val="auto"/>
        </w:rPr>
      </w:pPr>
      <w:r>
        <w:rPr>
          <w:rFonts w:ascii="Arial" w:cs="Arial" w:eastAsia="Arial" w:hAnsi="Arial"/>
          <w:sz w:val="17"/>
          <w:szCs w:val="17"/>
          <w:color w:val="auto"/>
        </w:rPr>
        <w:t>offer and sale of the Securities, and with respect to the approval of the listing of the Underlying Shares on the New York Stock Exchange, except, where the failure to obtain such consents, individually or in the aggregate, would not have a material adverse effect on the offering of the Securities.</w:t>
      </w:r>
    </w:p>
    <w:p>
      <w:pPr>
        <w:spacing w:after="0" w:line="147" w:lineRule="exact"/>
        <w:rPr>
          <w:sz w:val="20"/>
          <w:szCs w:val="20"/>
          <w:color w:val="auto"/>
        </w:rPr>
      </w:pPr>
    </w:p>
    <w:p>
      <w:pPr>
        <w:jc w:val="both"/>
        <w:ind w:right="40" w:firstLine="656"/>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Prospectus.</w:t>
      </w:r>
    </w:p>
    <w:p>
      <w:pPr>
        <w:spacing w:after="0" w:line="181" w:lineRule="exact"/>
        <w:rPr>
          <w:rFonts w:ascii="Arial" w:cs="Arial" w:eastAsia="Arial" w:hAnsi="Arial"/>
          <w:sz w:val="18"/>
          <w:szCs w:val="18"/>
          <w:color w:val="auto"/>
        </w:rPr>
      </w:pPr>
    </w:p>
    <w:p>
      <w:pPr>
        <w:ind w:right="20" w:firstLine="656"/>
        <w:spacing w:after="0" w:line="257" w:lineRule="auto"/>
        <w:tabs>
          <w:tab w:leader="none" w:pos="1358"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as set forth in the Time of Sale Prospectus, (i) there are no legal or governmental proceedings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proceedings are threatened by governmental authorities or by others.</w:t>
      </w:r>
    </w:p>
    <w:p>
      <w:pPr>
        <w:spacing w:after="0" w:line="188" w:lineRule="exact"/>
        <w:rPr>
          <w:rFonts w:ascii="Arial" w:cs="Arial" w:eastAsia="Arial" w:hAnsi="Arial"/>
          <w:sz w:val="18"/>
          <w:szCs w:val="18"/>
          <w:color w:val="auto"/>
        </w:rPr>
      </w:pPr>
    </w:p>
    <w:p>
      <w:pPr>
        <w:ind w:right="100" w:firstLine="656"/>
        <w:spacing w:after="0" w:line="264" w:lineRule="auto"/>
        <w:tabs>
          <w:tab w:leader="none" w:pos="1358"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Securities and the application of the proceeds thereof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described in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Prospectus will not be, required to register as an “investment company” as such term is defined in the Investment Company Act of 1940, as amended.</w:t>
      </w:r>
    </w:p>
    <w:p>
      <w:pPr>
        <w:spacing w:after="0" w:line="237" w:lineRule="exact"/>
        <w:rPr>
          <w:sz w:val="20"/>
          <w:szCs w:val="20"/>
          <w:color w:val="auto"/>
        </w:rPr>
      </w:pPr>
    </w:p>
    <w:p>
      <w:pPr>
        <w:ind w:right="180" w:firstLine="656"/>
        <w:spacing w:after="0" w:line="276" w:lineRule="auto"/>
        <w:tabs>
          <w:tab w:leader="none" w:pos="135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2" w:lineRule="exact"/>
        <w:rPr>
          <w:rFonts w:ascii="Arial" w:cs="Arial" w:eastAsia="Arial" w:hAnsi="Arial"/>
          <w:sz w:val="17"/>
          <w:szCs w:val="17"/>
          <w:color w:val="auto"/>
        </w:rPr>
      </w:pPr>
    </w:p>
    <w:p>
      <w:pPr>
        <w:ind w:right="220" w:firstLine="656"/>
        <w:spacing w:after="0" w:line="264"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181" w:lineRule="exact"/>
        <w:rPr>
          <w:rFonts w:ascii="Arial" w:cs="Arial" w:eastAsia="Arial" w:hAnsi="Arial"/>
          <w:sz w:val="18"/>
          <w:szCs w:val="18"/>
          <w:color w:val="auto"/>
        </w:rPr>
      </w:pPr>
    </w:p>
    <w:p>
      <w:pPr>
        <w:ind w:firstLine="656"/>
        <w:spacing w:after="0" w:line="255"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its subsidiaries own or possess or can acquire on commercially reasonable terms adequate licenses or other rights to use all patents, trademarks, service marks, trade names, copyrights, mask work rights, technology and know how necessary to conduct the business now or proposed to be conducted by the Company and its subsidiaries as described in the Pricing Prospectus, except where the failure to own, possess or acquire such rights would not reasonably be expected to have a material adverse effect, and except as disclosed in the Time of Sale Prospectus, the Company has not received any notice of infringement of or conflict with (and knows of no such infringement of or conflict with) asserted rights of others with respect to any patents, trademarks, service marks, trade names, copyrights, mask work rights or know how which would be reasonably likely to result in a Material Adverse Effect upon the Company and its subsidiaries.</w:t>
      </w:r>
    </w:p>
    <w:p>
      <w:pPr>
        <w:spacing w:after="0" w:line="189" w:lineRule="exact"/>
        <w:rPr>
          <w:rFonts w:ascii="Arial" w:cs="Arial" w:eastAsia="Arial" w:hAnsi="Arial"/>
          <w:sz w:val="18"/>
          <w:szCs w:val="18"/>
          <w:color w:val="auto"/>
        </w:rPr>
      </w:pPr>
    </w:p>
    <w:p>
      <w:pPr>
        <w:jc w:val="both"/>
        <w:ind w:right="300" w:firstLine="656"/>
        <w:spacing w:after="0" w:line="312" w:lineRule="auto"/>
        <w:tabs>
          <w:tab w:leader="none" w:pos="136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statements set forth in each of the Time of Sale Prospectus and the Prospectus under the caption “Description of Notes”, insofar as they purport to constitute a summary of the terms of the Indenture and the Securities, and under the caption “Description of Capital Stock”, insofar as they purport to constitute a summary of the terms of the Underlying Securities, fairly summarize such terms in all material respects.</w:t>
      </w:r>
    </w:p>
    <w:p>
      <w:pPr>
        <w:spacing w:after="0" w:line="146" w:lineRule="exact"/>
        <w:rPr>
          <w:rFonts w:ascii="Arial" w:cs="Arial" w:eastAsia="Arial" w:hAnsi="Arial"/>
          <w:sz w:val="16"/>
          <w:szCs w:val="16"/>
          <w:color w:val="auto"/>
        </w:rPr>
      </w:pPr>
    </w:p>
    <w:p>
      <w:pPr>
        <w:jc w:val="both"/>
        <w:ind w:right="380" w:firstLine="656"/>
        <w:spacing w:after="0" w:line="342" w:lineRule="auto"/>
        <w:tabs>
          <w:tab w:leader="none" w:pos="1333"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PricewaterhouseCoopers LLP, who have audited certain financial statements of the Company and its subsidiaries, and have audited the Company’s internal control over financial reporting and expressed an opinion on management’s assessment thereof, are the independent registered public</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 for the Company as required by the Act and the rules and regulations of the Commission thereunder;</w:t>
      </w:r>
    </w:p>
    <w:p>
      <w:pPr>
        <w:spacing w:after="0" w:line="225" w:lineRule="exact"/>
        <w:rPr>
          <w:sz w:val="20"/>
          <w:szCs w:val="20"/>
          <w:color w:val="auto"/>
        </w:rPr>
      </w:pPr>
    </w:p>
    <w:p>
      <w:pPr>
        <w:ind w:firstLine="656"/>
        <w:spacing w:after="0" w:line="255" w:lineRule="auto"/>
        <w:tabs>
          <w:tab w:leader="none" w:pos="135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Except as disclosed in the Time of Sale Prospectus, the Company’s internal control over financial reporting was effective as of August 31, 2006 and the Company is not aware of any material weaknesses in its internal control over financial reporting;</w:t>
      </w:r>
    </w:p>
    <w:p>
      <w:pPr>
        <w:spacing w:after="0" w:line="193" w:lineRule="exact"/>
        <w:rPr>
          <w:rFonts w:ascii="Arial" w:cs="Arial" w:eastAsia="Arial" w:hAnsi="Arial"/>
          <w:sz w:val="18"/>
          <w:szCs w:val="18"/>
          <w:color w:val="auto"/>
        </w:rPr>
      </w:pPr>
    </w:p>
    <w:p>
      <w:pPr>
        <w:ind w:right="160" w:firstLine="656"/>
        <w:spacing w:after="0" w:line="264"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disclosed in the Time of Sale Prospectus, since the date of the latest audited financial statements included or incorporated by reference in the Time of Sale Prospectus, there has been no change in the Company’s internal control over financial reporting that has materially affected, or is reasonably likely to materially affect, the Company’s internal control over financial reporting;</w:t>
      </w:r>
    </w:p>
    <w:p>
      <w:pPr>
        <w:spacing w:after="0" w:line="181" w:lineRule="exact"/>
        <w:rPr>
          <w:rFonts w:ascii="Arial" w:cs="Arial" w:eastAsia="Arial" w:hAnsi="Arial"/>
          <w:sz w:val="18"/>
          <w:szCs w:val="18"/>
          <w:color w:val="auto"/>
        </w:rPr>
      </w:pPr>
    </w:p>
    <w:p>
      <w:pPr>
        <w:ind w:right="20" w:firstLine="656"/>
        <w:spacing w:after="0" w:line="279" w:lineRule="auto"/>
        <w:tabs>
          <w:tab w:leader="none" w:pos="135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March 1, 2007.</w:t>
      </w:r>
    </w:p>
    <w:p>
      <w:pPr>
        <w:sectPr>
          <w:pgSz w:w="11900" w:h="16838" w:orient="portrait"/>
          <w:cols w:equalWidth="0" w:num="1">
            <w:col w:w="11420"/>
          </w:cols>
          <w:pgMar w:left="240" w:top="125" w:right="239" w:bottom="0" w:gutter="0" w:footer="0" w:header="0"/>
        </w:sectPr>
      </w:pPr>
    </w:p>
    <w:bookmarkStart w:id="6" w:name="page7"/>
    <w:bookmarkEnd w:id="6"/>
    <w:p>
      <w:pPr>
        <w:ind w:right="40" w:firstLine="656"/>
        <w:spacing w:after="0" w:line="259" w:lineRule="auto"/>
        <w:tabs>
          <w:tab w:leader="none" w:pos="136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The Company hereby agrees to sell to the several Underwriters, and each Underwriter, upon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and warranties herein contained, but subject to the conditions hereinafter stated, agrees, severally and not jointly, to purchase from the Company the respective principal amount of Firm Securities set forth in Schedule II hereto opposite its name at the purchase price set forth in Schedule I hereto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the basis of the representations and warranties contained in this Agreement, and subject to its terms and conditions, the Company agrees to sell to the Underwriters the Additional Securities, and the Underwriters shall have the right to purchase, severally and not jointly, up to the aggregate principal amount of Additional Securities set forth in Schedule I hereto at the Purchase Price, plus accrued interest, if any, from the Closing Date to the Option Closing Date. The Representative may exercise this right on behalf of the Underwriters in whole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from time to time in part by giving written notice not later than 30 days after the date of the Prospectus. Any exercise notice shall specify the aggregate principal amount of Additional Securities to be purchased by the Underwriters and the date on which such securities are to be purchased. Each purchase date must be at least two business days after the written notice is given, unless waived in writing by the Company, and may not be earlier than the closing date for the Firm Securities nor later than ten business days after the date of such notice. Additional Securities may be purchased as provided in Section 4 hereof solely for the purpose of covering over-allotments made in connection with the offering of the Firm Securities. On each day, if any, that Additional Securities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aggregate principal amount of Additional Securities (subject to such adjustments to eliminate fractional Securities as the Representative may determine), that bears the same proportion to the total aggregate principal amount of Additional Securities to be purchased on such Option Closing Date as the aggregate principal amount of Firm Securities set forth in Schedule II hereto opposite the name of such Underwriter bears to the total aggregate principal amount of Firm Securities.</w:t>
      </w:r>
    </w:p>
    <w:p>
      <w:pPr>
        <w:spacing w:after="0" w:line="167" w:lineRule="exact"/>
        <w:rPr>
          <w:sz w:val="20"/>
          <w:szCs w:val="20"/>
          <w:color w:val="auto"/>
        </w:rPr>
      </w:pPr>
    </w:p>
    <w:p>
      <w:pPr>
        <w:ind w:right="100" w:firstLine="656"/>
        <w:spacing w:after="0" w:line="264" w:lineRule="auto"/>
        <w:tabs>
          <w:tab w:leader="none" w:pos="1233"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Company is advised by you that the Underwriters propose to make a public offering of their respective portions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soon after the Registration Statement and this Agreement have become effective as in your judgment is advisable. The Company is further advised by you that the Securities are to be offered to the public upon the terms set forth in the Prospectus.</w:t>
      </w:r>
    </w:p>
    <w:p>
      <w:pPr>
        <w:spacing w:after="0" w:line="181" w:lineRule="exact"/>
        <w:rPr>
          <w:rFonts w:ascii="Arial" w:cs="Arial" w:eastAsia="Arial" w:hAnsi="Arial"/>
          <w:sz w:val="18"/>
          <w:szCs w:val="18"/>
          <w:color w:val="auto"/>
        </w:rPr>
      </w:pPr>
    </w:p>
    <w:p>
      <w:pPr>
        <w:ind w:firstLine="656"/>
        <w:spacing w:after="0" w:line="259" w:lineRule="auto"/>
        <w:tabs>
          <w:tab w:leader="none" w:pos="1233"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the Representative on the closing date and time set forth in Schedule I hereto, or at such other time on the same or such other date, not later than the fifth business day thereafter, as may be mutually agreed in writing by the Representative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Payment for any Additional Securities shall be made to the Company in Federal or other funds immediately available to the account specified by the Company to the Representative on the date specified in the corresponding notice described in Section 2 or at such other time on the same or on such other date, in any event not later than the tenth business day thereafter, as may be designated in writing by the Representative.</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Firm Securities and the Additional Securities shall be registered in such names and in such denominations as the Representative shall request in writing not later than one full business day prior to the Closing Date or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applicable Option Closing Date, as the case may be, for the respective accounts of the several Underwriters.</w:t>
      </w:r>
    </w:p>
    <w:p>
      <w:pPr>
        <w:spacing w:after="0" w:line="225" w:lineRule="exact"/>
        <w:rPr>
          <w:sz w:val="20"/>
          <w:szCs w:val="20"/>
          <w:color w:val="auto"/>
        </w:rPr>
      </w:pPr>
    </w:p>
    <w:p>
      <w:pPr>
        <w:ind w:left="1240" w:hanging="584"/>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several obligations of the Underwriters are subject to the following conditions:</w:t>
      </w:r>
    </w:p>
    <w:p>
      <w:pPr>
        <w:spacing w:after="0" w:line="225" w:lineRule="exact"/>
        <w:rPr>
          <w:sz w:val="20"/>
          <w:szCs w:val="20"/>
          <w:color w:val="auto"/>
        </w:rPr>
      </w:pPr>
    </w:p>
    <w:p>
      <w:pPr>
        <w:ind w:left="1360" w:hanging="704"/>
        <w:spacing w:after="0"/>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 or the applicable Option Closing Date:</w:t>
      </w:r>
    </w:p>
    <w:p>
      <w:pPr>
        <w:spacing w:after="0" w:line="236" w:lineRule="exact"/>
        <w:rPr>
          <w:rFonts w:ascii="Arial" w:cs="Arial" w:eastAsia="Arial" w:hAnsi="Arial"/>
          <w:sz w:val="17"/>
          <w:szCs w:val="17"/>
          <w:color w:val="auto"/>
        </w:rPr>
      </w:pPr>
    </w:p>
    <w:p>
      <w:pPr>
        <w:ind w:left="660" w:right="60" w:firstLine="1033"/>
        <w:spacing w:after="0" w:line="259" w:lineRule="auto"/>
        <w:tabs>
          <w:tab w:leader="none" w:pos="22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for purposes of Rule 436(g)(2) under the Securities Act; and</w:t>
      </w:r>
    </w:p>
    <w:p>
      <w:pPr>
        <w:spacing w:after="0" w:line="186" w:lineRule="exact"/>
        <w:rPr>
          <w:rFonts w:ascii="Arial" w:cs="Arial" w:eastAsia="Arial" w:hAnsi="Arial"/>
          <w:sz w:val="18"/>
          <w:szCs w:val="18"/>
          <w:color w:val="auto"/>
        </w:rPr>
      </w:pPr>
    </w:p>
    <w:p>
      <w:pPr>
        <w:jc w:val="both"/>
        <w:ind w:left="660" w:right="80" w:firstLine="1033"/>
        <w:spacing w:after="0" w:line="302" w:lineRule="auto"/>
        <w:tabs>
          <w:tab w:leader="none" w:pos="22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Prospectus as of the date of this Agreement that, in your judgment, is so material and adverse and that makes it, in your judgment, impracticable to market the Securities on the terms and in the manner contemplated in the Time of Sale Prospectus.</w:t>
      </w:r>
    </w:p>
    <w:p>
      <w:pPr>
        <w:spacing w:after="0" w:line="154" w:lineRule="exact"/>
        <w:rPr>
          <w:rFonts w:ascii="Arial" w:cs="Arial" w:eastAsia="Arial" w:hAnsi="Arial"/>
          <w:sz w:val="16"/>
          <w:szCs w:val="16"/>
          <w:color w:val="auto"/>
        </w:rPr>
      </w:pPr>
    </w:p>
    <w:p>
      <w:pPr>
        <w:ind w:right="120" w:firstLine="656"/>
        <w:spacing w:after="0" w:line="270" w:lineRule="auto"/>
        <w:tabs>
          <w:tab w:leader="none" w:pos="1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and each Option Closing Date, if any, a certificate, dated the Closing Date or applicable Option Closing Date, as the case may be, and signed by the chief executive officer or the chief financial officer of the Company, to the effect set forth in Section 5(a)(i) above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or applicable Option Closing Date, as the case may be, (ii) that the Company has complied in all material respects with all of the agreements and satisfied all of the conditions on its part to be performed or satisfied hereunder on or before the Closing Date or applicable Option Closing Date, as applicable, and (iii) since the date of the most recent financial statements included in the Time of Sale Prospectus, there has been no material adverse change in the financial condition, earnings, business or properties of the Company and its subsidiaries, taken as a whole, except as set forth or contemplated in the Time of Sale Prospectus.</w:t>
      </w:r>
    </w:p>
    <w:p>
      <w:pPr>
        <w:sectPr>
          <w:pgSz w:w="11900" w:h="16838" w:orient="portrait"/>
          <w:cols w:equalWidth="0" w:num="1">
            <w:col w:w="11420"/>
          </w:cols>
          <w:pgMar w:left="240" w:top="125" w:right="239" w:bottom="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ind w:left="66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225" w:lineRule="exact"/>
        <w:rPr>
          <w:sz w:val="20"/>
          <w:szCs w:val="20"/>
          <w:color w:val="auto"/>
        </w:rPr>
      </w:pPr>
    </w:p>
    <w:p>
      <w:pPr>
        <w:ind w:right="120" w:firstLine="656"/>
        <w:spacing w:after="0" w:line="270" w:lineRule="auto"/>
        <w:tabs>
          <w:tab w:leader="none" w:pos="13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Securities Act within the applicable time period prescribed for such filing by the rules and regulations under the Securities Act; the final term sheet substantially in the form of Schedule I hereto, and any material required to be filed by the Company pursuant to Rule 433(d) under the Securities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to the Company’s knowledge, threatened by the Commission and no notice of objection of the Commission to the use of the Registration Statement or any post-effective amendment thereto pursuant to Rule 401(g)(2) under the Securities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81" w:lineRule="exact"/>
        <w:rPr>
          <w:rFonts w:ascii="Arial" w:cs="Arial" w:eastAsia="Arial" w:hAnsi="Arial"/>
          <w:sz w:val="17"/>
          <w:szCs w:val="17"/>
          <w:color w:val="auto"/>
        </w:rPr>
      </w:pPr>
    </w:p>
    <w:p>
      <w:pPr>
        <w:jc w:val="both"/>
        <w:ind w:right="40" w:firstLine="656"/>
        <w:spacing w:after="0" w:line="264" w:lineRule="auto"/>
        <w:tabs>
          <w:tab w:leader="none" w:pos="1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Wilson Sonsini Goodrich &amp; Rosati, Professional Corporation, outside counsel for the Company, dated the Closing Date and each Option Closing Date, as the case may be, in the form attached hereto as Exhibit B;</w:t>
      </w:r>
    </w:p>
    <w:p>
      <w:pPr>
        <w:spacing w:after="0" w:line="181" w:lineRule="exact"/>
        <w:rPr>
          <w:rFonts w:ascii="Arial" w:cs="Arial" w:eastAsia="Arial" w:hAnsi="Arial"/>
          <w:sz w:val="18"/>
          <w:szCs w:val="18"/>
          <w:color w:val="auto"/>
        </w:rPr>
      </w:pPr>
    </w:p>
    <w:p>
      <w:pPr>
        <w:ind w:right="180" w:firstLine="656"/>
        <w:spacing w:after="0" w:line="264" w:lineRule="auto"/>
        <w:tabs>
          <w:tab w:leader="none" w:pos="13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Roderic W. Lewis, the Company’s General Counsel, dated the Closing Date and each Option Closing Date, as the case may be, in substantially the form attached hereto as Exhibit C;</w:t>
      </w:r>
    </w:p>
    <w:p>
      <w:pPr>
        <w:spacing w:after="0" w:line="181" w:lineRule="exact"/>
        <w:rPr>
          <w:rFonts w:ascii="Arial" w:cs="Arial" w:eastAsia="Arial" w:hAnsi="Arial"/>
          <w:sz w:val="18"/>
          <w:szCs w:val="18"/>
          <w:color w:val="auto"/>
        </w:rPr>
      </w:pPr>
    </w:p>
    <w:p>
      <w:pPr>
        <w:jc w:val="both"/>
        <w:ind w:right="460" w:firstLine="656"/>
        <w:spacing w:after="0" w:line="264" w:lineRule="auto"/>
        <w:tabs>
          <w:tab w:leader="none" w:pos="13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Simpson Thacher &amp; Bartlett, LLP, counsel for the Underwriters, dated the Closing Date and each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jc w:val="both"/>
        <w:ind w:right="120" w:firstLine="656"/>
        <w:spacing w:after="0" w:line="259" w:lineRule="auto"/>
        <w:tabs>
          <w:tab w:leader="none" w:pos="1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the Closing Date and each Option Closing Date, if any, a letter dated the date hereof, the Closing Date or applicable Option Closing Date, in form and substance satisfactory to the Underwriters, from PricewaterhouseCoopers LLP, independent public accountants, containing statements and information of the type ordinarily included in accountants’ “comfort letters” to underwriters with respect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to the financial statements and certain financial information contained in the Registration Statement, the Time of Sale Prospectus and the Prospectus.</w:t>
      </w:r>
    </w:p>
    <w:p>
      <w:pPr>
        <w:spacing w:after="0" w:line="237" w:lineRule="exact"/>
        <w:rPr>
          <w:sz w:val="20"/>
          <w:szCs w:val="20"/>
          <w:color w:val="auto"/>
        </w:rPr>
      </w:pPr>
    </w:p>
    <w:p>
      <w:pPr>
        <w:ind w:right="20" w:firstLine="656"/>
        <w:spacing w:after="0" w:line="264" w:lineRule="auto"/>
        <w:tabs>
          <w:tab w:leader="none" w:pos="1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 and certain officers and directors of the Company named in Schedule IV hereto relating to sales and certain other dispositions of Securities, Common Stock or certain other securities shall be in full force and effect on the Closing Date.</w:t>
      </w:r>
    </w:p>
    <w:p>
      <w:pPr>
        <w:spacing w:after="0" w:line="181" w:lineRule="exact"/>
        <w:rPr>
          <w:rFonts w:ascii="Arial" w:cs="Arial" w:eastAsia="Arial" w:hAnsi="Arial"/>
          <w:sz w:val="18"/>
          <w:szCs w:val="18"/>
          <w:color w:val="auto"/>
        </w:rPr>
      </w:pPr>
    </w:p>
    <w:p>
      <w:pPr>
        <w:ind w:firstLine="656"/>
        <w:spacing w:after="0" w:line="259" w:lineRule="auto"/>
        <w:tabs>
          <w:tab w:leader="none" w:pos="13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8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several obligations of the Underwriters to purchase Additional Securities hereunder are subject to the delivery to you on the applicable Option Closing Date of such documents as you may reasonably request with respect to the good standing of the Company, the due authorization and issuance of the Additional Securities to be sold on such Option Closing Date and other matters related to the issuance of such Additional Securities.</w:t>
      </w:r>
    </w:p>
    <w:p>
      <w:pPr>
        <w:spacing w:after="0" w:line="166" w:lineRule="exact"/>
        <w:rPr>
          <w:sz w:val="20"/>
          <w:szCs w:val="20"/>
          <w:color w:val="auto"/>
        </w:rPr>
      </w:pPr>
    </w:p>
    <w:p>
      <w:pPr>
        <w:ind w:left="1240" w:hanging="584"/>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sz w:val="20"/>
          <w:szCs w:val="20"/>
          <w:color w:val="auto"/>
        </w:rPr>
      </w:pPr>
    </w:p>
    <w:p>
      <w:pPr>
        <w:ind w:right="80" w:firstLine="656"/>
        <w:spacing w:after="0" w:line="259" w:lineRule="auto"/>
        <w:tabs>
          <w:tab w:leader="none" w:pos="13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furnish to the Representative, without charge, a signed copy of the Registration Statement (including exhibits thereto and documents incorporated by reference therein) and to deliver to each of the Underwriters during the period mentioned in Section 6(e) or 6(f) below, as many copies of the Time of Sale Prospectus, the Prospectus, any documents incorporated by reference therein and any supplements and amendments thereto or to the Registration Statement as the Representative may reasonably request.</w:t>
      </w:r>
    </w:p>
    <w:p>
      <w:pPr>
        <w:spacing w:after="0" w:line="186" w:lineRule="exact"/>
        <w:rPr>
          <w:rFonts w:ascii="Arial" w:cs="Arial" w:eastAsia="Arial" w:hAnsi="Arial"/>
          <w:sz w:val="18"/>
          <w:szCs w:val="18"/>
          <w:color w:val="auto"/>
        </w:rPr>
      </w:pPr>
    </w:p>
    <w:p>
      <w:pPr>
        <w:ind w:right="40" w:firstLine="656"/>
        <w:spacing w:after="0" w:line="259" w:lineRule="auto"/>
        <w:tabs>
          <w:tab w:leader="none" w:pos="13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except as may be required by applicable law, and to file with the Commission within the applicable period specified in Rule 424(b) under the Securities Act any prospectus required to be filed pursuant to such Rule.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56"/>
        <w:spacing w:after="0" w:line="277"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furnish to you a copy of each proposed free writing prospectus to be prepared by or on behalf of, used by, or referred to by the Company and not to use or refer to any proposed free writing prospectus to which the Representative reasonably object.</w:t>
      </w:r>
    </w:p>
    <w:p>
      <w:pPr>
        <w:spacing w:after="0" w:line="170" w:lineRule="exact"/>
        <w:rPr>
          <w:rFonts w:ascii="Arial" w:cs="Arial" w:eastAsia="Arial" w:hAnsi="Arial"/>
          <w:sz w:val="18"/>
          <w:szCs w:val="18"/>
          <w:color w:val="auto"/>
        </w:rPr>
      </w:pPr>
    </w:p>
    <w:p>
      <w:pPr>
        <w:jc w:val="both"/>
        <w:ind w:right="300" w:firstLine="656"/>
        <w:spacing w:after="0" w:line="264"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ectPr>
          <w:pgSz w:w="11900" w:h="16838" w:orient="portrait"/>
          <w:cols w:equalWidth="0" w:num="1">
            <w:col w:w="11420"/>
          </w:cols>
          <w:pgMar w:left="240" w:top="368" w:right="239" w:bottom="123" w:gutter="0" w:footer="0" w:header="0"/>
        </w:sectPr>
      </w:pPr>
    </w:p>
    <w:bookmarkStart w:id="8" w:name="page9"/>
    <w:bookmarkEnd w:id="8"/>
    <w:p>
      <w:pPr>
        <w:ind w:firstLine="656"/>
        <w:spacing w:after="0" w:line="270" w:lineRule="auto"/>
        <w:tabs>
          <w:tab w:leader="none" w:pos="13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1" w:lineRule="exact"/>
        <w:rPr>
          <w:rFonts w:ascii="Arial" w:cs="Arial" w:eastAsia="Arial" w:hAnsi="Arial"/>
          <w:sz w:val="17"/>
          <w:szCs w:val="17"/>
          <w:color w:val="auto"/>
        </w:rPr>
      </w:pPr>
    </w:p>
    <w:p>
      <w:pPr>
        <w:ind w:right="20" w:firstLine="656"/>
        <w:spacing w:after="0" w:line="254" w:lineRule="auto"/>
        <w:tabs>
          <w:tab w:leader="none" w:pos="13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Securities and prior to the completion of the distribution of the Securities by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it is necessary to amend or supplement the Prospectus to comply with applicable law, forthwith to prepare, file with the Commission and furnish, at its own expense, to the Underwriters and to the dealers (whose names and addresses you will furnish to the Company) to which Securities may have been sold by you on behalf of the Underwriters and to any other dealers upon request, either amendments or supplements to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81" w:lineRule="exact"/>
        <w:rPr>
          <w:sz w:val="20"/>
          <w:szCs w:val="20"/>
          <w:color w:val="auto"/>
        </w:rPr>
      </w:pPr>
    </w:p>
    <w:p>
      <w:pPr>
        <w:ind w:firstLine="656"/>
        <w:spacing w:after="0" w:line="259" w:lineRule="auto"/>
        <w:tabs>
          <w:tab w:leader="none" w:pos="13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as the Representative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6" w:lineRule="exact"/>
        <w:rPr>
          <w:rFonts w:ascii="Arial" w:cs="Arial" w:eastAsia="Arial" w:hAnsi="Arial"/>
          <w:sz w:val="18"/>
          <w:szCs w:val="18"/>
          <w:color w:val="auto"/>
        </w:rPr>
      </w:pPr>
    </w:p>
    <w:p>
      <w:pPr>
        <w:ind w:right="60" w:firstLine="656"/>
        <w:spacing w:after="0" w:line="264" w:lineRule="auto"/>
        <w:tabs>
          <w:tab w:leader="none" w:pos="13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81" w:lineRule="exact"/>
        <w:rPr>
          <w:rFonts w:ascii="Arial" w:cs="Arial" w:eastAsia="Arial" w:hAnsi="Arial"/>
          <w:sz w:val="18"/>
          <w:szCs w:val="18"/>
          <w:color w:val="auto"/>
        </w:rPr>
      </w:pPr>
    </w:p>
    <w:p>
      <w:pPr>
        <w:ind w:firstLine="656"/>
        <w:spacing w:after="0" w:line="269" w:lineRule="auto"/>
        <w:tabs>
          <w:tab w:leader="none" w:pos="13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Securities (within the time required by Rule 456 (b)(1), if applicable), all printing costs associated therewith, and the mailing and delivering of copies thereof to the Underwriters and dealers, in the quantities hereinabove specified, (ii)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hereof, including filing fees and the reasonable fees and disbursements of counsel for the Underwriters in connection with such qualification and in connection with the Blue Sky or Legal Investment memorandum, (iii) all filing fees and the reasonable fees and disbursements of counsel to the Underwriters incurred in connection with the review and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qualification of the offering of the Securities by the National Association of Securities Dealers, Inc., (iv) the cost of printing certificates representing the Securities, (v) the costs and charges of any transfer agent, registrar or depositary,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 the document production charges and expenses associated with printing this Agreement and (viii)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183" w:lineRule="exact"/>
        <w:rPr>
          <w:sz w:val="20"/>
          <w:szCs w:val="20"/>
          <w:color w:val="auto"/>
        </w:rPr>
      </w:pPr>
    </w:p>
    <w:p>
      <w:pPr>
        <w:ind w:right="100" w:firstLine="656"/>
        <w:spacing w:after="0" w:line="259" w:lineRule="auto"/>
        <w:tabs>
          <w:tab w:leader="none" w:pos="13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period beginning on the date hereof and continuing to and including the Closing Date, not to offer, sell, contract to sell or otherwise dispose of any debt securities of the Company or warrants to purchase or otherwise acquire debt securities of the Company substantially similar to the Securities (other than (i) the Securities, (ii) commercial paper issued in the ordinary course of business, or (iii) securities or warrants permitted with the prior written consent of Morgan Stanley &amp; Co. Incorporated.</w:t>
      </w:r>
    </w:p>
    <w:p>
      <w:pPr>
        <w:spacing w:after="0" w:line="186" w:lineRule="exact"/>
        <w:rPr>
          <w:rFonts w:ascii="Arial" w:cs="Arial" w:eastAsia="Arial" w:hAnsi="Arial"/>
          <w:sz w:val="18"/>
          <w:szCs w:val="18"/>
          <w:color w:val="auto"/>
        </w:rPr>
      </w:pPr>
    </w:p>
    <w:p>
      <w:pPr>
        <w:ind w:right="300" w:firstLine="656"/>
        <w:spacing w:after="0" w:line="264" w:lineRule="auto"/>
        <w:tabs>
          <w:tab w:leader="none" w:pos="1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prepare a final term sheet relating to the offering of the Securities, containing only information that describes the final terms of the offering in a form consented to by the Managers, and to file such final term sheet within the period required by Rule 433(d)(5)(ii) under the Securities Act following the date the final terms have been established for the offering of the Securities.</w:t>
      </w:r>
    </w:p>
    <w:p>
      <w:pPr>
        <w:sectPr>
          <w:pgSz w:w="11900" w:h="16838" w:orient="portrait"/>
          <w:cols w:equalWidth="0" w:num="1">
            <w:col w:w="11400"/>
          </w:cols>
          <w:pgMar w:left="240" w:top="125" w:right="259" w:bottom="0" w:gutter="0" w:footer="0" w:header="0"/>
        </w:sectPr>
      </w:pPr>
    </w:p>
    <w:bookmarkStart w:id="9" w:name="page10"/>
    <w:bookmarkEnd w:id="9"/>
    <w:p>
      <w:pPr>
        <w:spacing w:after="0" w:line="26" w:lineRule="exact"/>
        <w:rPr>
          <w:sz w:val="20"/>
          <w:szCs w:val="20"/>
          <w:color w:val="auto"/>
        </w:rPr>
      </w:pPr>
    </w:p>
    <w:p>
      <w:pPr>
        <w:jc w:val="both"/>
        <w:ind w:right="100" w:firstLine="656"/>
        <w:spacing w:after="0" w:line="342" w:lineRule="auto"/>
        <w:tabs>
          <w:tab w:leader="none" w:pos="13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use commercially reasonable efforts to list the Underlying Securities issuable upon conversion of the Securities on NASDAQ, the New York Stock Exchange or another U.S. national securities exchange or established automated over-the-counter trading market in the United States of America.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656"/>
        <w:spacing w:after="0" w:line="277" w:lineRule="auto"/>
        <w:tabs>
          <w:tab w:leader="none" w:pos="13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Prospectus under the caption “Use of Proceeds.”</w:t>
      </w:r>
    </w:p>
    <w:p>
      <w:pPr>
        <w:spacing w:after="0" w:line="170" w:lineRule="exact"/>
        <w:rPr>
          <w:rFonts w:ascii="Arial" w:cs="Arial" w:eastAsia="Arial" w:hAnsi="Arial"/>
          <w:sz w:val="18"/>
          <w:szCs w:val="18"/>
          <w:color w:val="auto"/>
        </w:rPr>
      </w:pPr>
    </w:p>
    <w:p>
      <w:pPr>
        <w:ind w:right="600" w:firstLine="656"/>
        <w:spacing w:after="0" w:line="277" w:lineRule="auto"/>
        <w:tabs>
          <w:tab w:leader="none" w:pos="13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reserve and keep available at all times, free of preemptive rights, shares of Underlying Securities for the purpose of enabling the Company to satisfy any obligation to issue shares of its Underlying Securities upon conversion of the Securities.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Company also covenants with each Underwriter that, without the prior written consent of the Representative, it will not, during the restricted period set forth in Schedule I hereto,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Securities to be sold hereunder, (b) the issuance by the Company of shares of Common Stock upon the exercise of an option or warrant or the conversion of a security outstanding on the date hereof of which the Underwriters have been advised in writing, (c) any grants under the Company’s equity or stock plans in accordance with the terms of such plans as described in the Time of Sale Prospectus, (d) issuances of Shares or rights to receive Shares in connection with an acquisition or a strategic or minority investment transaction by a customer, supplier or other business partner (or a person that becomes a business partner in connection with such a transaction), provided that the aggregate market value of the Shares issued in, or issuable upon the exercise of rights to receive Shares granted in, such transactions in the aggregate shall not exceed $50,000,000 (fifty million U.S. dollars) (based on the closing price of the Shares as of the date of the transaction, as reported on the Exchange), or (e) the capped-call transactions described in the Time of Sale Prospectus.</w:t>
      </w:r>
    </w:p>
    <w:p>
      <w:pPr>
        <w:spacing w:after="0" w:line="172" w:lineRule="exact"/>
        <w:rPr>
          <w:sz w:val="20"/>
          <w:szCs w:val="20"/>
          <w:color w:val="auto"/>
        </w:rPr>
      </w:pPr>
    </w:p>
    <w:p>
      <w:pPr>
        <w:ind w:firstLine="656"/>
        <w:spacing w:after="0" w:line="342" w:lineRule="auto"/>
        <w:tabs>
          <w:tab w:leader="none" w:pos="1233"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Covenants of the Underwriters</w:t>
      </w:r>
      <w:r>
        <w:rPr>
          <w:rFonts w:ascii="Arial" w:cs="Arial" w:eastAsia="Arial" w:hAnsi="Arial"/>
          <w:sz w:val="16"/>
          <w:szCs w:val="16"/>
          <w:color w:val="auto"/>
        </w:rPr>
        <w:t>. Each Underwriter severally covenants with the Company not to take any action that would result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being required to file with the Commission under Rule 433(d) a free writing prospectus prepared by or on behalf of such Underwriter that otherwise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would not be required to be filed by the Company thereunder, but for the action of the Underwriter.</w:t>
      </w:r>
    </w:p>
    <w:p>
      <w:pPr>
        <w:spacing w:after="0" w:line="225" w:lineRule="exact"/>
        <w:rPr>
          <w:sz w:val="20"/>
          <w:szCs w:val="20"/>
          <w:color w:val="auto"/>
        </w:rPr>
      </w:pPr>
    </w:p>
    <w:p>
      <w:pPr>
        <w:ind w:right="20" w:firstLine="656"/>
        <w:spacing w:after="0" w:line="269" w:lineRule="auto"/>
        <w:tabs>
          <w:tab w:leader="none" w:pos="1233"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Indemnity and Contribution. </w:t>
      </w:r>
      <w:r>
        <w:rPr>
          <w:rFonts w:ascii="Arial" w:cs="Arial" w:eastAsia="Arial" w:hAnsi="Arial"/>
          <w:sz w:val="17"/>
          <w:szCs w:val="17"/>
          <w:color w:val="auto"/>
        </w:rPr>
        <w:t>(a) The Company agrees to indemnify and hold harmless each Underwriter, the directors, officers,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agents of the Underwriters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(and other than with respect to the Registration Statement, in light of the circumstances in which they were made)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 expressly for use therein.</w:t>
      </w:r>
    </w:p>
    <w:p>
      <w:pPr>
        <w:spacing w:after="0" w:line="180" w:lineRule="exact"/>
        <w:rPr>
          <w:sz w:val="20"/>
          <w:szCs w:val="20"/>
          <w:color w:val="auto"/>
        </w:rPr>
      </w:pPr>
    </w:p>
    <w:p>
      <w:pPr>
        <w:ind w:right="140" w:firstLine="656"/>
        <w:spacing w:after="0" w:line="255" w:lineRule="auto"/>
        <w:tabs>
          <w:tab w:leader="none" w:pos="1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each of its directors, officers who sign the Registration Statement, employees and agents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 expressly for use in the Registration Statement, any preliminary prospectus, the Time of Sale Prospectus, any issuer free writing prospectus or the Prospectus or any amendment or supplement thereto.</w:t>
      </w:r>
    </w:p>
    <w:p>
      <w:pPr>
        <w:spacing w:after="0" w:line="193" w:lineRule="exact"/>
        <w:rPr>
          <w:rFonts w:ascii="Arial" w:cs="Arial" w:eastAsia="Arial" w:hAnsi="Arial"/>
          <w:sz w:val="18"/>
          <w:szCs w:val="18"/>
          <w:color w:val="auto"/>
        </w:rPr>
      </w:pPr>
    </w:p>
    <w:p>
      <w:pPr>
        <w:ind w:firstLine="656"/>
        <w:spacing w:after="0" w:line="264" w:lineRule="auto"/>
        <w:tabs>
          <w:tab w:leader="none" w:pos="13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and the indemnifying party, upon request of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w:t>
      </w:r>
    </w:p>
    <w:p>
      <w:pPr>
        <w:sectPr>
          <w:pgSz w:w="11900" w:h="16865" w:orient="portrait"/>
          <w:cols w:equalWidth="0" w:num="1">
            <w:col w:w="11420"/>
          </w:cols>
          <w:pgMar w:left="240" w:top="125" w:right="239" w:bottom="0" w:gutter="0" w:footer="0" w:header="0"/>
        </w:sectPr>
      </w:pPr>
    </w:p>
    <w:bookmarkStart w:id="10" w:name="page11"/>
    <w:bookmarkEnd w:id="10"/>
    <w:p>
      <w:pPr>
        <w:ind w:right="20"/>
        <w:spacing w:after="0" w:line="288" w:lineRule="auto"/>
        <w:rPr>
          <w:sz w:val="20"/>
          <w:szCs w:val="20"/>
          <w:color w:val="auto"/>
        </w:rPr>
      </w:pPr>
      <w:r>
        <w:rPr>
          <w:rFonts w:ascii="Arial" w:cs="Arial" w:eastAsia="Arial" w:hAnsi="Arial"/>
          <w:sz w:val="16"/>
          <w:szCs w:val="16"/>
          <w:color w:val="auto"/>
        </w:rPr>
        <w:t>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 in the case of parties indemnified pursuant to Section 8(a), and by the Company, in the case of parties indemnified pursuant to Section 8(b). The indemnifying party shall not be liable for any settlement of any proceeding effected without its prior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69" w:lineRule="exact"/>
        <w:rPr>
          <w:sz w:val="20"/>
          <w:szCs w:val="20"/>
          <w:color w:val="auto"/>
        </w:rPr>
      </w:pPr>
    </w:p>
    <w:p>
      <w:pPr>
        <w:ind w:firstLine="656"/>
        <w:spacing w:after="0" w:line="257" w:lineRule="auto"/>
        <w:tabs>
          <w:tab w:leader="none" w:pos="13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allocation provided by clause 8(d) above is not permitted by applicable law, in such proportion as is appropriate to reflect not only the relative</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benefits referred to in clause 8(d)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bear to the aggregate public offering price of the Securities set forth in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 of Securities they have purchased hereunder, and not joint.</w:t>
      </w:r>
    </w:p>
    <w:p>
      <w:pPr>
        <w:spacing w:after="0" w:line="179" w:lineRule="exact"/>
        <w:rPr>
          <w:rFonts w:ascii="Arial" w:cs="Arial" w:eastAsia="Arial" w:hAnsi="Arial"/>
          <w:sz w:val="17"/>
          <w:szCs w:val="17"/>
          <w:color w:val="auto"/>
        </w:rPr>
      </w:pPr>
    </w:p>
    <w:p>
      <w:pPr>
        <w:ind w:firstLine="656"/>
        <w:spacing w:after="0" w:line="284" w:lineRule="auto"/>
        <w:tabs>
          <w:tab w:leader="none" w:pos="13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w:t>
      </w:r>
    </w:p>
    <w:p>
      <w:pPr>
        <w:spacing w:after="0" w:line="1"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656"/>
        <w:spacing w:after="0" w:line="257" w:lineRule="auto"/>
        <w:tabs>
          <w:tab w:leader="none" w:pos="13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director, officer, employee, agent or affiliate of any Underwriter or by or on behalf of the Company, its officers, directors, employees, agents, or any person controlling the Company and (iii) acceptance of and payment for any of the Securities.</w:t>
      </w:r>
    </w:p>
    <w:p>
      <w:pPr>
        <w:spacing w:after="0" w:line="188" w:lineRule="exact"/>
        <w:rPr>
          <w:sz w:val="20"/>
          <w:szCs w:val="20"/>
          <w:color w:val="auto"/>
        </w:rPr>
      </w:pPr>
    </w:p>
    <w:p>
      <w:pPr>
        <w:ind w:firstLine="656"/>
        <w:spacing w:after="0" w:line="270" w:lineRule="auto"/>
        <w:tabs>
          <w:tab w:leader="none" w:pos="123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Underwriters may terminate this Agreement by notice given by the Representative to the Company, if after the execution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delivery of this Agreement and prior to the Closing Date (i) trading generally shall have been suspended or materially limited on, or by, as the case may be, any of the New York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or Idaho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9, makes it, in the Representative’s judgment, impracticable or inadvisable to proceed with the offer, sale or delivery of the Securities on the terms and in the manner contemplated in the Time of Sale Prospectus or the Prospectus.</w:t>
      </w:r>
    </w:p>
    <w:p>
      <w:pPr>
        <w:spacing w:after="0" w:line="181" w:lineRule="exact"/>
        <w:rPr>
          <w:rFonts w:ascii="Arial" w:cs="Arial" w:eastAsia="Arial" w:hAnsi="Arial"/>
          <w:sz w:val="17"/>
          <w:szCs w:val="17"/>
          <w:color w:val="auto"/>
        </w:rPr>
      </w:pPr>
    </w:p>
    <w:p>
      <w:pPr>
        <w:ind w:left="1240" w:hanging="584"/>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on the Closing Date or an Option Closing Date, as the case may be, any one or more of the Underwriters shall fail or refuse to purchase Securities that it has or they have agreed to purchase hereunder on such date, and the aggregate principal amount of Securities which such defaulting Underwriter or Underwriters agreed but failed or refused to purchase is not more than one-tenth of the aggregate principal amount of the Securities to be purchased on such date, the other Underwriters shall be obligated severally in the proportions that the principal amount of Firm Securities set forth opposite their respective names in Schedule II bears to the aggregate principal amount of Firm Securities set forth opposite the names of all such non-defaulting Underwriters, or in</w:t>
      </w:r>
    </w:p>
    <w:p>
      <w:pPr>
        <w:sectPr>
          <w:pgSz w:w="11900" w:h="16838" w:orient="portrait"/>
          <w:cols w:equalWidth="0" w:num="1">
            <w:col w:w="11400"/>
          </w:cols>
          <w:pgMar w:left="240" w:top="125" w:right="259" w:bottom="0" w:gutter="0" w:footer="0" w:header="0"/>
        </w:sectPr>
      </w:pPr>
    </w:p>
    <w:bookmarkStart w:id="11" w:name="page12"/>
    <w:bookmarkEnd w:id="11"/>
    <w:p>
      <w:pPr>
        <w:ind w:right="180"/>
        <w:spacing w:after="0" w:line="277" w:lineRule="auto"/>
        <w:rPr>
          <w:sz w:val="20"/>
          <w:szCs w:val="20"/>
          <w:color w:val="auto"/>
        </w:rPr>
      </w:pPr>
      <w:r>
        <w:rPr>
          <w:rFonts w:ascii="Arial" w:cs="Arial" w:eastAsia="Arial" w:hAnsi="Arial"/>
          <w:sz w:val="18"/>
          <w:szCs w:val="18"/>
          <w:color w:val="auto"/>
        </w:rPr>
        <w:t>such other proportions as the Representative may specify, to purchase the Securities which such defaulting Underwriter or Underwriters agreed but failed or refused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principal amount of Securities that any Underwriter has agreed to purchase pursuant to this Agreement be increased pursuant to this Section 10 by an amount in excess of one-ninth of such principal amount of Securities without the written consent of such Underwriter. If, on the Closing Date, any Underwriter or Underwriters shall fail or refuse to purchase Firm Securities and the aggregate principal amount of Firm Securities with respect to which such default occurs is more than one-tenth of the aggregate principal amount of Firm Securities to be purchased on such date, and arrangements satisfactory to the Representative and the Company for the purchase of such Firm Securities are not made within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36 hours after such default, this Agreement shall terminate without liability on the part of any non-defaulting Underwriter or the Company. In any such case either the Representative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Securities and the aggregate principal amount of Additional Securities with respect to which such default occurs is more than one-tenth of the aggregate principal amount of Additional Securities to be purchased on such Option Closing Date, the non-defaulting Underwriters shall have the option to (i) terminate their obligation hereunder to purchase the Additional Securities to be sold on such Option Closing Date or (ii) purchase not less than the aggregate principal amount of Additional Securities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8" w:lineRule="exact"/>
        <w:rPr>
          <w:sz w:val="20"/>
          <w:szCs w:val="20"/>
          <w:color w:val="auto"/>
        </w:rPr>
      </w:pPr>
    </w:p>
    <w:p>
      <w:pPr>
        <w:ind w:right="360" w:firstLine="656"/>
        <w:spacing w:after="0" w:line="264" w:lineRule="auto"/>
        <w:tabs>
          <w:tab w:leader="none" w:pos="122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Underwriters with respect to the preparation of any preliminary prospectus,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Time of Sale Prospectus, the Prospectus, the conduct of the offering, and the purchase and sale of the Securities.</w:t>
      </w:r>
    </w:p>
    <w:p>
      <w:pPr>
        <w:spacing w:after="0" w:line="225" w:lineRule="exact"/>
        <w:rPr>
          <w:sz w:val="20"/>
          <w:szCs w:val="20"/>
          <w:color w:val="auto"/>
        </w:rPr>
      </w:pPr>
    </w:p>
    <w:p>
      <w:pPr>
        <w:ind w:firstLine="656"/>
        <w:spacing w:after="0" w:line="276" w:lineRule="auto"/>
        <w:tabs>
          <w:tab w:leader="none" w:pos="13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73" w:lineRule="exact"/>
        <w:rPr>
          <w:sz w:val="20"/>
          <w:szCs w:val="20"/>
          <w:color w:val="auto"/>
        </w:rPr>
      </w:pPr>
    </w:p>
    <w:p>
      <w:pPr>
        <w:ind w:right="120" w:firstLine="656"/>
        <w:spacing w:after="0" w:line="277" w:lineRule="auto"/>
        <w:tabs>
          <w:tab w:leader="none" w:pos="123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200" w:firstLine="656"/>
        <w:spacing w:after="0" w:line="277" w:lineRule="auto"/>
        <w:tabs>
          <w:tab w:leader="none" w:pos="123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260" w:firstLine="656"/>
        <w:spacing w:after="0" w:line="264" w:lineRule="auto"/>
        <w:tabs>
          <w:tab w:leader="none" w:pos="123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the Representative at the address set forth in Schedule I hereto; and if to the Company shall be delivered, mailed or sent to the address set forth in Schedule I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3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W. G. Stover, Jr.</w:t>
            </w: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920" w:type="dxa"/>
            <w:vAlign w:val="bottom"/>
          </w:tcPr>
          <w:p>
            <w:pPr>
              <w:ind w:left="180"/>
              <w:spacing w:after="0" w:line="195" w:lineRule="exact"/>
              <w:rPr>
                <w:sz w:val="20"/>
                <w:szCs w:val="20"/>
                <w:color w:val="auto"/>
              </w:rPr>
            </w:pPr>
            <w:r>
              <w:rPr>
                <w:rFonts w:ascii="Arial" w:cs="Arial" w:eastAsia="Arial" w:hAnsi="Arial"/>
                <w:sz w:val="18"/>
                <w:szCs w:val="18"/>
                <w:color w:val="auto"/>
              </w:rPr>
              <w:t>W. G. Stover, Jr.</w:t>
            </w:r>
          </w:p>
        </w:tc>
      </w:tr>
      <w:tr>
        <w:trPr>
          <w:trHeight w:val="216"/>
        </w:trPr>
        <w:tc>
          <w:tcPr>
            <w:tcW w:w="38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2920" w:type="dxa"/>
            <w:vAlign w:val="bottom"/>
          </w:tcPr>
          <w:p>
            <w:pPr>
              <w:ind w:left="180"/>
              <w:spacing w:after="0"/>
              <w:rPr>
                <w:sz w:val="20"/>
                <w:szCs w:val="20"/>
                <w:color w:val="auto"/>
              </w:rPr>
            </w:pPr>
            <w:r>
              <w:rPr>
                <w:rFonts w:ascii="Arial" w:cs="Arial" w:eastAsia="Arial" w:hAnsi="Arial"/>
                <w:sz w:val="18"/>
                <w:szCs w:val="18"/>
                <w:color w:val="auto"/>
              </w:rPr>
              <w:t>Vice President of Finance</w:t>
            </w:r>
          </w:p>
        </w:tc>
      </w:tr>
      <w:tr>
        <w:trPr>
          <w:trHeight w:val="230"/>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and CFO</w:t>
            </w:r>
          </w:p>
        </w:tc>
      </w:tr>
    </w:tbl>
    <w:p>
      <w:pPr>
        <w:sectPr>
          <w:pgSz w:w="11900" w:h="16838" w:orient="portrait"/>
          <w:cols w:equalWidth="0" w:num="1">
            <w:col w:w="11420"/>
          </w:cols>
          <w:pgMar w:left="240" w:top="125" w:right="239" w:bottom="265" w:gutter="0" w:footer="0" w:header="0"/>
        </w:sectPr>
      </w:pPr>
    </w:p>
    <w:bookmarkStart w:id="12" w:name="page13"/>
    <w:bookmarkEnd w:id="12"/>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Underwriters named in Schedule II</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gridSpan w:val="3"/>
          </w:tcPr>
          <w:p>
            <w:pPr>
              <w:ind w:left="60"/>
              <w:spacing w:after="0"/>
              <w:rPr>
                <w:sz w:val="20"/>
                <w:szCs w:val="20"/>
                <w:color w:val="auto"/>
              </w:rPr>
            </w:pPr>
            <w:r>
              <w:rPr>
                <w:rFonts w:ascii="Arial" w:cs="Arial" w:eastAsia="Arial" w:hAnsi="Arial"/>
                <w:sz w:val="18"/>
                <w:szCs w:val="18"/>
                <w:color w:val="auto"/>
              </w:rPr>
              <w:t>Morgan Stanley &amp; Co. Incorporated</w:t>
            </w:r>
          </w:p>
        </w:tc>
        <w:tc>
          <w:tcPr>
            <w:tcW w:w="6680" w:type="dxa"/>
            <w:vAlign w:val="bottom"/>
          </w:tcPr>
          <w:p>
            <w:pPr>
              <w:spacing w:after="0"/>
              <w:rPr>
                <w:sz w:val="20"/>
                <w:szCs w:val="20"/>
                <w:color w:val="auto"/>
              </w:rPr>
            </w:pPr>
          </w:p>
        </w:tc>
      </w:tr>
      <w:tr>
        <w:trPr>
          <w:trHeight w:val="648"/>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William R. Salisbury</w:t>
            </w:r>
          </w:p>
        </w:tc>
        <w:tc>
          <w:tcPr>
            <w:tcW w:w="6680" w:type="dxa"/>
            <w:vAlign w:val="bottom"/>
          </w:tcPr>
          <w:p>
            <w:pPr>
              <w:spacing w:after="0"/>
              <w:rPr>
                <w:sz w:val="24"/>
                <w:szCs w:val="24"/>
                <w:color w:val="auto"/>
              </w:rPr>
            </w:pPr>
          </w:p>
        </w:tc>
      </w:tr>
      <w:tr>
        <w:trPr>
          <w:trHeight w:val="195"/>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200" w:type="dxa"/>
            <w:vAlign w:val="bottom"/>
          </w:tcPr>
          <w:p>
            <w:pPr>
              <w:ind w:left="40"/>
              <w:spacing w:after="0" w:line="195" w:lineRule="exact"/>
              <w:rPr>
                <w:sz w:val="20"/>
                <w:szCs w:val="20"/>
                <w:color w:val="auto"/>
              </w:rPr>
            </w:pPr>
            <w:r>
              <w:rPr>
                <w:rFonts w:ascii="Arial" w:cs="Arial" w:eastAsia="Arial" w:hAnsi="Arial"/>
                <w:sz w:val="18"/>
                <w:szCs w:val="18"/>
                <w:color w:val="auto"/>
              </w:rPr>
              <w:t>William R. Salisbury</w:t>
            </w:r>
          </w:p>
        </w:tc>
        <w:tc>
          <w:tcPr>
            <w:tcW w:w="6680" w:type="dxa"/>
            <w:vAlign w:val="bottom"/>
          </w:tcPr>
          <w:p>
            <w:pPr>
              <w:spacing w:after="0"/>
              <w:rPr>
                <w:sz w:val="16"/>
                <w:szCs w:val="16"/>
                <w:color w:val="auto"/>
              </w:rPr>
            </w:pPr>
          </w:p>
        </w:tc>
      </w:tr>
      <w:tr>
        <w:trPr>
          <w:trHeight w:val="230"/>
        </w:trPr>
        <w:tc>
          <w:tcPr>
            <w:tcW w:w="1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2200" w:type="dxa"/>
            <w:vAlign w:val="bottom"/>
          </w:tcPr>
          <w:p>
            <w:pPr>
              <w:ind w:left="40"/>
              <w:spacing w:after="0"/>
              <w:rPr>
                <w:sz w:val="20"/>
                <w:szCs w:val="20"/>
                <w:color w:val="auto"/>
              </w:rPr>
            </w:pPr>
            <w:r>
              <w:rPr>
                <w:rFonts w:ascii="Arial" w:cs="Arial" w:eastAsia="Arial" w:hAnsi="Arial"/>
                <w:sz w:val="18"/>
                <w:szCs w:val="18"/>
                <w:color w:val="auto"/>
              </w:rPr>
              <w:t>Managing Director</w:t>
            </w:r>
          </w:p>
        </w:tc>
        <w:tc>
          <w:tcPr>
            <w:tcW w:w="6680" w:type="dxa"/>
            <w:vAlign w:val="bottom"/>
          </w:tcPr>
          <w:p>
            <w:pPr>
              <w:spacing w:after="0"/>
              <w:rPr>
                <w:sz w:val="20"/>
                <w:szCs w:val="20"/>
                <w:color w:val="auto"/>
              </w:rPr>
            </w:pPr>
          </w:p>
        </w:tc>
      </w:tr>
      <w:tr>
        <w:trPr>
          <w:trHeight w:val="797"/>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Arial" w:cs="Arial" w:eastAsia="Arial" w:hAnsi="Arial"/>
                <w:sz w:val="18"/>
                <w:szCs w:val="18"/>
                <w:color w:val="auto"/>
              </w:rPr>
              <w:t>23</w:t>
            </w:r>
          </w:p>
        </w:tc>
      </w:tr>
      <w:tr>
        <w:trPr>
          <w:trHeight w:val="375"/>
        </w:trPr>
        <w:tc>
          <w:tcPr>
            <w:tcW w:w="12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6680" w:type="dxa"/>
            <w:vAlign w:val="bottom"/>
            <w:tcBorders>
              <w:bottom w:val="single" w:sz="8" w:color="010101"/>
            </w:tcBorders>
          </w:tcPr>
          <w:p>
            <w:pPr>
              <w:spacing w:after="0"/>
              <w:rPr>
                <w:sz w:val="24"/>
                <w:szCs w:val="24"/>
                <w:color w:val="auto"/>
              </w:rPr>
            </w:pPr>
          </w:p>
        </w:tc>
      </w:tr>
      <w:tr>
        <w:trPr>
          <w:trHeight w:val="564"/>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tcPr>
          <w:p>
            <w:pPr>
              <w:ind w:left="5540"/>
              <w:spacing w:after="0"/>
              <w:rPr>
                <w:sz w:val="20"/>
                <w:szCs w:val="20"/>
                <w:color w:val="auto"/>
              </w:rPr>
            </w:pPr>
            <w:r>
              <w:rPr>
                <w:rFonts w:ascii="Arial" w:cs="Arial" w:eastAsia="Arial" w:hAnsi="Arial"/>
                <w:sz w:val="18"/>
                <w:szCs w:val="18"/>
                <w:b w:val="1"/>
                <w:bCs w:val="1"/>
                <w:color w:val="auto"/>
              </w:rPr>
              <w:t>SCHEDULE I</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Managers:</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4780" w:type="dxa"/>
            <w:vAlign w:val="bottom"/>
            <w:gridSpan w:val="4"/>
          </w:tcPr>
          <w:p>
            <w:pPr>
              <w:ind w:left="180"/>
              <w:spacing w:after="0"/>
              <w:rPr>
                <w:sz w:val="20"/>
                <w:szCs w:val="20"/>
                <w:color w:val="auto"/>
              </w:rPr>
            </w:pPr>
            <w:r>
              <w:rPr>
                <w:rFonts w:ascii="Arial" w:cs="Arial" w:eastAsia="Arial" w:hAnsi="Arial"/>
                <w:sz w:val="18"/>
                <w:szCs w:val="18"/>
                <w:color w:val="auto"/>
              </w:rPr>
              <w:t>Manager authorized to release lock-up under Section 6:</w:t>
            </w:r>
          </w:p>
        </w:tc>
        <w:tc>
          <w:tcPr>
            <w:tcW w:w="6680" w:type="dxa"/>
            <w:vAlign w:val="bottom"/>
          </w:tcPr>
          <w:p>
            <w:pPr>
              <w:ind w:left="1000"/>
              <w:spacing w:after="0"/>
              <w:rPr>
                <w:sz w:val="20"/>
                <w:szCs w:val="20"/>
                <w:color w:val="auto"/>
              </w:rPr>
            </w:pPr>
            <w:r>
              <w:rPr>
                <w:rFonts w:ascii="Arial" w:cs="Arial" w:eastAsia="Arial" w:hAnsi="Arial"/>
                <w:sz w:val="18"/>
                <w:szCs w:val="18"/>
                <w:color w:val="auto"/>
              </w:rPr>
              <w:t>Morgan Stanley &amp; Co. Incorporated</w:t>
            </w:r>
          </w:p>
        </w:tc>
      </w:tr>
      <w:tr>
        <w:trPr>
          <w:trHeight w:val="230"/>
        </w:trPr>
        <w:tc>
          <w:tcPr>
            <w:tcW w:w="4780" w:type="dxa"/>
            <w:vAlign w:val="bottom"/>
            <w:gridSpan w:val="4"/>
          </w:tcPr>
          <w:p>
            <w:pPr>
              <w:ind w:left="180"/>
              <w:spacing w:after="0"/>
              <w:rPr>
                <w:sz w:val="20"/>
                <w:szCs w:val="20"/>
                <w:color w:val="auto"/>
              </w:rPr>
            </w:pPr>
            <w:r>
              <w:rPr>
                <w:rFonts w:ascii="Arial" w:cs="Arial" w:eastAsia="Arial" w:hAnsi="Arial"/>
                <w:sz w:val="18"/>
                <w:szCs w:val="18"/>
                <w:color w:val="auto"/>
                <w:w w:val="97"/>
              </w:rPr>
              <w:t>Manager authorized to appoint counsel under Section 8(c):</w:t>
            </w:r>
          </w:p>
        </w:tc>
        <w:tc>
          <w:tcPr>
            <w:tcW w:w="6680" w:type="dxa"/>
            <w:vAlign w:val="bottom"/>
          </w:tcPr>
          <w:p>
            <w:pPr>
              <w:ind w:left="1000"/>
              <w:spacing w:after="0"/>
              <w:rPr>
                <w:sz w:val="20"/>
                <w:szCs w:val="20"/>
                <w:color w:val="auto"/>
              </w:rPr>
            </w:pPr>
            <w:r>
              <w:rPr>
                <w:rFonts w:ascii="Arial" w:cs="Arial" w:eastAsia="Arial" w:hAnsi="Arial"/>
                <w:sz w:val="18"/>
                <w:szCs w:val="18"/>
                <w:color w:val="auto"/>
              </w:rPr>
              <w:t>Morgan Stanley &amp; Co. Incorporated</w:t>
            </w:r>
          </w:p>
        </w:tc>
      </w:tr>
      <w:tr>
        <w:trPr>
          <w:trHeight w:val="432"/>
        </w:trPr>
        <w:tc>
          <w:tcPr>
            <w:tcW w:w="2580" w:type="dxa"/>
            <w:vAlign w:val="bottom"/>
            <w:gridSpan w:val="3"/>
          </w:tcPr>
          <w:p>
            <w:pPr>
              <w:spacing w:after="0"/>
              <w:rPr>
                <w:sz w:val="20"/>
                <w:szCs w:val="20"/>
                <w:color w:val="auto"/>
              </w:rPr>
            </w:pPr>
            <w:r>
              <w:rPr>
                <w:rFonts w:ascii="Arial" w:cs="Arial" w:eastAsia="Arial" w:hAnsi="Arial"/>
                <w:sz w:val="18"/>
                <w:szCs w:val="18"/>
                <w:color w:val="auto"/>
              </w:rPr>
              <w:t>Registration Statement File No.:</w:t>
            </w: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333-143026</w:t>
            </w:r>
          </w:p>
        </w:tc>
      </w:tr>
      <w:tr>
        <w:trPr>
          <w:trHeight w:val="432"/>
        </w:trPr>
        <w:tc>
          <w:tcPr>
            <w:tcW w:w="2580" w:type="dxa"/>
            <w:vAlign w:val="bottom"/>
            <w:gridSpan w:val="3"/>
          </w:tcPr>
          <w:p>
            <w:pPr>
              <w:spacing w:after="0"/>
              <w:rPr>
                <w:sz w:val="20"/>
                <w:szCs w:val="20"/>
                <w:color w:val="auto"/>
              </w:rPr>
            </w:pPr>
            <w:r>
              <w:rPr>
                <w:rFonts w:ascii="Arial" w:cs="Arial" w:eastAsia="Arial" w:hAnsi="Arial"/>
                <w:sz w:val="18"/>
                <w:szCs w:val="18"/>
                <w:color w:val="auto"/>
              </w:rPr>
              <w:t>Time of Sale Prospectus</w:t>
            </w: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w w:val="98"/>
              </w:rPr>
              <w:t>1.  Preliminary Prospectus dated May 16, 2007 relating to the Securities</w:t>
            </w:r>
          </w:p>
        </w:tc>
      </w:tr>
      <w:tr>
        <w:trPr>
          <w:trHeight w:val="432"/>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2.  Final Term Sheet for the Securities</w:t>
            </w:r>
          </w:p>
        </w:tc>
      </w:tr>
      <w:tr>
        <w:trPr>
          <w:trHeight w:val="432"/>
        </w:trPr>
        <w:tc>
          <w:tcPr>
            <w:tcW w:w="2580" w:type="dxa"/>
            <w:vAlign w:val="bottom"/>
            <w:gridSpan w:val="3"/>
          </w:tcPr>
          <w:p>
            <w:pPr>
              <w:spacing w:after="0"/>
              <w:rPr>
                <w:sz w:val="20"/>
                <w:szCs w:val="20"/>
                <w:color w:val="auto"/>
              </w:rPr>
            </w:pPr>
            <w:r>
              <w:rPr>
                <w:rFonts w:ascii="Arial" w:cs="Arial" w:eastAsia="Arial" w:hAnsi="Arial"/>
                <w:sz w:val="18"/>
                <w:szCs w:val="18"/>
                <w:color w:val="auto"/>
                <w:w w:val="92"/>
              </w:rPr>
              <w:t>Title of Securities to be purchased:</w:t>
            </w: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1.875% Convertible Senior Notes due June 1, 2014</w:t>
            </w:r>
          </w:p>
        </w:tc>
      </w:tr>
      <w:tr>
        <w:trPr>
          <w:trHeight w:val="432"/>
        </w:trPr>
        <w:tc>
          <w:tcPr>
            <w:tcW w:w="4780" w:type="dxa"/>
            <w:vAlign w:val="bottom"/>
            <w:gridSpan w:val="4"/>
          </w:tcPr>
          <w:p>
            <w:pPr>
              <w:spacing w:after="0"/>
              <w:rPr>
                <w:sz w:val="20"/>
                <w:szCs w:val="20"/>
                <w:color w:val="auto"/>
              </w:rPr>
            </w:pPr>
            <w:r>
              <w:rPr>
                <w:rFonts w:ascii="Arial" w:cs="Arial" w:eastAsia="Arial" w:hAnsi="Arial"/>
                <w:sz w:val="18"/>
                <w:szCs w:val="18"/>
                <w:color w:val="auto"/>
              </w:rPr>
              <w:t>Principal Amount of Firm Securities:</w:t>
            </w:r>
          </w:p>
        </w:tc>
        <w:tc>
          <w:tcPr>
            <w:tcW w:w="6680" w:type="dxa"/>
            <w:vAlign w:val="bottom"/>
          </w:tcPr>
          <w:p>
            <w:pPr>
              <w:ind w:left="1000"/>
              <w:spacing w:after="0"/>
              <w:rPr>
                <w:sz w:val="20"/>
                <w:szCs w:val="20"/>
                <w:color w:val="auto"/>
              </w:rPr>
            </w:pPr>
            <w:r>
              <w:rPr>
                <w:rFonts w:ascii="Arial" w:cs="Arial" w:eastAsia="Arial" w:hAnsi="Arial"/>
                <w:sz w:val="18"/>
                <w:szCs w:val="18"/>
                <w:color w:val="auto"/>
              </w:rPr>
              <w:t>$1,135,000,000</w:t>
            </w:r>
          </w:p>
        </w:tc>
      </w:tr>
      <w:tr>
        <w:trPr>
          <w:trHeight w:val="432"/>
        </w:trPr>
        <w:tc>
          <w:tcPr>
            <w:tcW w:w="4780" w:type="dxa"/>
            <w:vAlign w:val="bottom"/>
            <w:gridSpan w:val="4"/>
          </w:tcPr>
          <w:p>
            <w:pPr>
              <w:spacing w:after="0"/>
              <w:rPr>
                <w:sz w:val="20"/>
                <w:szCs w:val="20"/>
                <w:color w:val="auto"/>
              </w:rPr>
            </w:pPr>
            <w:r>
              <w:rPr>
                <w:rFonts w:ascii="Arial" w:cs="Arial" w:eastAsia="Arial" w:hAnsi="Arial"/>
                <w:sz w:val="18"/>
                <w:szCs w:val="18"/>
                <w:color w:val="auto"/>
              </w:rPr>
              <w:t>Principal Amount of Additional Securities</w:t>
            </w:r>
          </w:p>
        </w:tc>
        <w:tc>
          <w:tcPr>
            <w:tcW w:w="6680" w:type="dxa"/>
            <w:vAlign w:val="bottom"/>
          </w:tcPr>
          <w:p>
            <w:pPr>
              <w:ind w:left="1000"/>
              <w:spacing w:after="0"/>
              <w:rPr>
                <w:sz w:val="20"/>
                <w:szCs w:val="20"/>
                <w:color w:val="auto"/>
              </w:rPr>
            </w:pPr>
            <w:r>
              <w:rPr>
                <w:rFonts w:ascii="Arial" w:cs="Arial" w:eastAsia="Arial" w:hAnsi="Arial"/>
                <w:sz w:val="18"/>
                <w:szCs w:val="18"/>
                <w:color w:val="auto"/>
              </w:rPr>
              <w:t>$165,000,000</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w w:val="92"/>
              </w:rPr>
              <w:t>Purchase Price:</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w w:val="93"/>
              </w:rPr>
              <w:t>98.05% aggregate principal amount of the Securities plus accrued interest, if</w:t>
            </w:r>
          </w:p>
        </w:tc>
      </w:tr>
      <w:tr>
        <w:trPr>
          <w:trHeight w:val="230"/>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any, from May 23, 2007</w:t>
            </w:r>
          </w:p>
        </w:tc>
      </w:tr>
      <w:tr>
        <w:trPr>
          <w:trHeight w:val="418"/>
        </w:trPr>
        <w:tc>
          <w:tcPr>
            <w:tcW w:w="2580" w:type="dxa"/>
            <w:vAlign w:val="bottom"/>
            <w:gridSpan w:val="3"/>
          </w:tcPr>
          <w:p>
            <w:pPr>
              <w:spacing w:after="0"/>
              <w:rPr>
                <w:sz w:val="20"/>
                <w:szCs w:val="20"/>
                <w:color w:val="auto"/>
              </w:rPr>
            </w:pPr>
            <w:r>
              <w:rPr>
                <w:rFonts w:ascii="Arial" w:cs="Arial" w:eastAsia="Arial" w:hAnsi="Arial"/>
                <w:sz w:val="18"/>
                <w:szCs w:val="18"/>
                <w:color w:val="auto"/>
              </w:rPr>
              <w:t>Initial Public Offering Price</w:t>
            </w: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w w:val="94"/>
              </w:rPr>
              <w:t>100% of the principal amount of the Securities plus accrued interest, if any,</w:t>
            </w:r>
          </w:p>
        </w:tc>
      </w:tr>
      <w:tr>
        <w:trPr>
          <w:trHeight w:val="230"/>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from May 23, 2007</w:t>
            </w:r>
          </w:p>
        </w:tc>
      </w:tr>
      <w:tr>
        <w:trPr>
          <w:trHeight w:val="432"/>
        </w:trPr>
        <w:tc>
          <w:tcPr>
            <w:tcW w:w="2580" w:type="dxa"/>
            <w:vAlign w:val="bottom"/>
            <w:gridSpan w:val="3"/>
          </w:tcPr>
          <w:p>
            <w:pPr>
              <w:spacing w:after="0"/>
              <w:rPr>
                <w:sz w:val="20"/>
                <w:szCs w:val="20"/>
                <w:color w:val="auto"/>
              </w:rPr>
            </w:pPr>
            <w:r>
              <w:rPr>
                <w:rFonts w:ascii="Arial" w:cs="Arial" w:eastAsia="Arial" w:hAnsi="Arial"/>
                <w:sz w:val="18"/>
                <w:szCs w:val="18"/>
                <w:color w:val="auto"/>
              </w:rPr>
              <w:t>Closing Date and Time:</w:t>
            </w: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May 23, 200710:00 a.m. EST</w:t>
            </w:r>
          </w:p>
        </w:tc>
      </w:tr>
      <w:tr>
        <w:trPr>
          <w:trHeight w:val="418"/>
        </w:trPr>
        <w:tc>
          <w:tcPr>
            <w:tcW w:w="2580" w:type="dxa"/>
            <w:vAlign w:val="bottom"/>
            <w:gridSpan w:val="3"/>
          </w:tcPr>
          <w:p>
            <w:pPr>
              <w:spacing w:after="0"/>
              <w:rPr>
                <w:sz w:val="20"/>
                <w:szCs w:val="20"/>
                <w:color w:val="auto"/>
              </w:rPr>
            </w:pPr>
            <w:r>
              <w:rPr>
                <w:rFonts w:ascii="Arial" w:cs="Arial" w:eastAsia="Arial" w:hAnsi="Arial"/>
                <w:sz w:val="18"/>
                <w:szCs w:val="18"/>
                <w:color w:val="auto"/>
              </w:rPr>
              <w:t>Closing Location:</w:t>
            </w:r>
          </w:p>
        </w:tc>
        <w:tc>
          <w:tcPr>
            <w:tcW w:w="220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Wilson Sonsini Goodrich &amp; Rosati,</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Professional Corporation</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650 Page Mill Road</w:t>
            </w:r>
          </w:p>
        </w:tc>
      </w:tr>
      <w:tr>
        <w:trPr>
          <w:trHeight w:val="230"/>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Palo Alto, CA 94304</w:t>
            </w:r>
          </w:p>
        </w:tc>
      </w:tr>
      <w:tr>
        <w:trPr>
          <w:trHeight w:val="702"/>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tcPr>
          <w:p>
            <w:pPr>
              <w:ind w:left="820"/>
              <w:spacing w:after="0"/>
              <w:rPr>
                <w:sz w:val="20"/>
                <w:szCs w:val="20"/>
                <w:color w:val="auto"/>
              </w:rPr>
            </w:pPr>
            <w:r>
              <w:rPr>
                <w:rFonts w:ascii="Arial" w:cs="Arial" w:eastAsia="Arial" w:hAnsi="Arial"/>
                <w:sz w:val="18"/>
                <w:szCs w:val="18"/>
                <w:color w:val="auto"/>
              </w:rPr>
              <w:t>I-1</w:t>
            </w:r>
          </w:p>
        </w:tc>
      </w:tr>
      <w:tr>
        <w:trPr>
          <w:trHeight w:val="375"/>
        </w:trPr>
        <w:tc>
          <w:tcPr>
            <w:tcW w:w="4780" w:type="dxa"/>
            <w:vAlign w:val="bottom"/>
            <w:tcBorders>
              <w:bottom w:val="single" w:sz="8" w:color="010101"/>
            </w:tcBorders>
            <w:gridSpan w:val="4"/>
          </w:tcPr>
          <w:p>
            <w:pPr>
              <w:spacing w:after="0"/>
              <w:rPr>
                <w:sz w:val="24"/>
                <w:szCs w:val="24"/>
                <w:color w:val="auto"/>
              </w:rPr>
            </w:pPr>
          </w:p>
        </w:tc>
        <w:tc>
          <w:tcPr>
            <w:tcW w:w="6680" w:type="dxa"/>
            <w:vAlign w:val="bottom"/>
            <w:tcBorders>
              <w:bottom w:val="single" w:sz="8" w:color="010101"/>
            </w:tcBorders>
          </w:tcPr>
          <w:p>
            <w:pPr>
              <w:spacing w:after="0"/>
              <w:rPr>
                <w:sz w:val="24"/>
                <w:szCs w:val="24"/>
                <w:color w:val="auto"/>
              </w:rPr>
            </w:pPr>
          </w:p>
        </w:tc>
      </w:tr>
      <w:tr>
        <w:trPr>
          <w:trHeight w:val="563"/>
        </w:trPr>
        <w:tc>
          <w:tcPr>
            <w:tcW w:w="4780" w:type="dxa"/>
            <w:vAlign w:val="bottom"/>
            <w:gridSpan w:val="4"/>
          </w:tcPr>
          <w:p>
            <w:pPr>
              <w:spacing w:after="0"/>
              <w:rPr>
                <w:sz w:val="20"/>
                <w:szCs w:val="20"/>
                <w:color w:val="auto"/>
              </w:rPr>
            </w:pPr>
            <w:r>
              <w:rPr>
                <w:rFonts w:ascii="Arial" w:cs="Arial" w:eastAsia="Arial" w:hAnsi="Arial"/>
                <w:sz w:val="18"/>
                <w:szCs w:val="18"/>
                <w:color w:val="auto"/>
              </w:rPr>
              <w:t>Address for Notices to Underwriters:</w:t>
            </w:r>
          </w:p>
        </w:tc>
        <w:tc>
          <w:tcPr>
            <w:tcW w:w="6680" w:type="dxa"/>
            <w:vAlign w:val="bottom"/>
          </w:tcPr>
          <w:p>
            <w:pPr>
              <w:ind w:left="46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1585 Broadway</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New York, New York 10036</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Attention: Convertible Syndicate Desk</w:t>
            </w:r>
          </w:p>
        </w:tc>
      </w:tr>
      <w:tr>
        <w:trPr>
          <w:trHeight w:val="230"/>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680" w:type="dxa"/>
            <w:vAlign w:val="bottom"/>
          </w:tcPr>
          <w:p>
            <w:pPr>
              <w:ind w:left="600"/>
              <w:spacing w:after="0"/>
              <w:rPr>
                <w:sz w:val="20"/>
                <w:szCs w:val="20"/>
                <w:color w:val="auto"/>
              </w:rPr>
            </w:pPr>
            <w:r>
              <w:rPr>
                <w:rFonts w:ascii="Arial" w:cs="Arial" w:eastAsia="Arial" w:hAnsi="Arial"/>
                <w:sz w:val="18"/>
                <w:szCs w:val="18"/>
                <w:color w:val="auto"/>
              </w:rPr>
              <w:t>With a copy to the Legal Department</w:t>
            </w:r>
          </w:p>
        </w:tc>
      </w:tr>
      <w:tr>
        <w:trPr>
          <w:trHeight w:val="418"/>
        </w:trPr>
        <w:tc>
          <w:tcPr>
            <w:tcW w:w="4780" w:type="dxa"/>
            <w:vAlign w:val="bottom"/>
            <w:gridSpan w:val="4"/>
          </w:tcPr>
          <w:p>
            <w:pPr>
              <w:spacing w:after="0"/>
              <w:rPr>
                <w:sz w:val="20"/>
                <w:szCs w:val="20"/>
                <w:color w:val="auto"/>
              </w:rPr>
            </w:pPr>
            <w:r>
              <w:rPr>
                <w:rFonts w:ascii="Arial" w:cs="Arial" w:eastAsia="Arial" w:hAnsi="Arial"/>
                <w:sz w:val="18"/>
                <w:szCs w:val="18"/>
                <w:color w:val="auto"/>
              </w:rPr>
              <w:t>Address for Notices to the Company:</w:t>
            </w:r>
          </w:p>
        </w:tc>
        <w:tc>
          <w:tcPr>
            <w:tcW w:w="6680" w:type="dxa"/>
            <w:vAlign w:val="bottom"/>
          </w:tcPr>
          <w:p>
            <w:pPr>
              <w:ind w:left="460"/>
              <w:spacing w:after="0"/>
              <w:rPr>
                <w:sz w:val="20"/>
                <w:szCs w:val="20"/>
                <w:color w:val="auto"/>
              </w:rPr>
            </w:pPr>
            <w:r>
              <w:rPr>
                <w:rFonts w:ascii="Arial" w:cs="Arial" w:eastAsia="Arial" w:hAnsi="Arial"/>
                <w:sz w:val="18"/>
                <w:szCs w:val="18"/>
                <w:color w:val="auto"/>
              </w:rPr>
              <w:t>Micron Technology, Inc.</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8000 South Federal Way</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Boise, Idaho 83716</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Attention: General Counsel</w:t>
            </w: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Tel: (208) 368-4000</w:t>
            </w:r>
          </w:p>
        </w:tc>
      </w:tr>
      <w:tr>
        <w:trPr>
          <w:trHeight w:val="230"/>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Fax: (208) 368-4540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-7076440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-7076440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-1905000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Amount of Firm</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35"/>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Securities To Be</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62"/>
        </w:trPr>
        <w:tc>
          <w:tcPr>
            <w:tcW w:w="4100" w:type="dxa"/>
            <w:vAlign w:val="bottom"/>
            <w:vMerge w:val="continue"/>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3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851,250,000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4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141,875,000</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20,625,000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141,875,000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1,135,000,000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100" w:type="dxa"/>
            <w:vAlign w:val="bottom"/>
          </w:tcPr>
          <w:p>
            <w:pPr>
              <w:spacing w:after="0"/>
              <w:rPr>
                <w:sz w:val="24"/>
                <w:szCs w:val="24"/>
                <w:color w:val="auto"/>
              </w:rPr>
            </w:pPr>
          </w:p>
        </w:tc>
        <w:tc>
          <w:tcPr>
            <w:tcW w:w="4280" w:type="dxa"/>
            <w:vAlign w:val="bottom"/>
            <w:gridSpan w:val="3"/>
          </w:tcPr>
          <w:p>
            <w:pPr>
              <w:jc w:val="right"/>
              <w:ind w:right="2465"/>
              <w:spacing w:after="0"/>
              <w:rPr>
                <w:sz w:val="20"/>
                <w:szCs w:val="20"/>
                <w:color w:val="auto"/>
              </w:rPr>
            </w:pPr>
            <w:r>
              <w:rPr>
                <w:rFonts w:ascii="Arial" w:cs="Arial" w:eastAsia="Arial" w:hAnsi="Arial"/>
                <w:sz w:val="18"/>
                <w:szCs w:val="18"/>
                <w:color w:val="auto"/>
              </w:rPr>
              <w:t>II-1</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Jurisdictions of Qualification of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Teruaki Aoki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Steven R. Appleton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W. Bagley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Gordon C. Smith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E. Switz</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Steve R. Appleton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Mark Durcan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J. Gove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Roderic W. Lewis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Wilber G. Stover, Jr.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Sadler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Shirley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Shields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 Adams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Kipp Bedard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 Otte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Jay Hawkins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ind w:left="10580"/>
        <w:spacing w:after="0"/>
        <w:rPr>
          <w:sz w:val="20"/>
          <w:szCs w:val="20"/>
          <w:color w:val="auto"/>
        </w:rPr>
      </w:pPr>
      <w:r>
        <w:rPr>
          <w:rFonts w:ascii="Arial" w:cs="Arial" w:eastAsia="Arial" w:hAnsi="Arial"/>
          <w:sz w:val="17"/>
          <w:szCs w:val="17"/>
          <w:b w:val="1"/>
          <w:bCs w:val="1"/>
          <w:color w:val="auto"/>
        </w:rPr>
        <w:t>Exhibit 4.1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Trustee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May 23, 2007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1.875% Convertible Senior Notes due June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Reconciliation and Tie between the Trust Indenture Act of 1939 and Indenture, dated as of May 23, 2007, between Micron Technology, Inc. and Wells Fargo Bank, National Association, as Trustee.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Indenture Section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310</w:t>
            </w:r>
          </w:p>
        </w:tc>
        <w:tc>
          <w:tcPr>
            <w:tcW w:w="30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(a)(1)</w:t>
            </w:r>
          </w:p>
        </w:tc>
        <w:tc>
          <w:tcPr>
            <w:tcW w:w="5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7.10</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(a)(2)</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(a)(3)</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(a)(4)</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(a)(5)</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7.08(a)(iii), 7.08(e)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 311</w:t>
            </w:r>
          </w:p>
        </w:tc>
        <w:tc>
          <w:tcPr>
            <w:tcW w:w="3080" w:type="dxa"/>
            <w:vAlign w:val="bottom"/>
          </w:tcPr>
          <w:p>
            <w:pPr>
              <w:ind w:left="220"/>
              <w:spacing w:after="0"/>
              <w:rPr>
                <w:sz w:val="20"/>
                <w:szCs w:val="20"/>
                <w:color w:val="auto"/>
              </w:rPr>
            </w:pPr>
            <w:r>
              <w:rPr>
                <w:rFonts w:ascii="Arial" w:cs="Arial" w:eastAsia="Arial" w:hAnsi="Arial"/>
                <w:sz w:val="18"/>
                <w:szCs w:val="18"/>
                <w:color w:val="auto"/>
              </w:rPr>
              <w:t>(a)</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 312</w:t>
            </w:r>
          </w:p>
        </w:tc>
        <w:tc>
          <w:tcPr>
            <w:tcW w:w="3080" w:type="dxa"/>
            <w:vAlign w:val="bottom"/>
          </w:tcPr>
          <w:p>
            <w:pPr>
              <w:ind w:left="220"/>
              <w:spacing w:after="0"/>
              <w:rPr>
                <w:sz w:val="20"/>
                <w:szCs w:val="20"/>
                <w:color w:val="auto"/>
              </w:rPr>
            </w:pPr>
            <w:r>
              <w:rPr>
                <w:rFonts w:ascii="Arial" w:cs="Arial" w:eastAsia="Arial" w:hAnsi="Arial"/>
                <w:sz w:val="18"/>
                <w:szCs w:val="18"/>
                <w:color w:val="auto"/>
              </w:rPr>
              <w:t>(a)</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13.02(a), 13.04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13.02(a), 13.04</w:t>
            </w:r>
          </w:p>
        </w:tc>
        <w:tc>
          <w:tcPr>
            <w:tcW w:w="4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 313</w:t>
            </w:r>
          </w:p>
        </w:tc>
        <w:tc>
          <w:tcPr>
            <w:tcW w:w="3080" w:type="dxa"/>
            <w:vAlign w:val="bottom"/>
          </w:tcPr>
          <w:p>
            <w:pPr>
              <w:ind w:left="220"/>
              <w:spacing w:after="0"/>
              <w:rPr>
                <w:sz w:val="20"/>
                <w:szCs w:val="20"/>
                <w:color w:val="auto"/>
              </w:rPr>
            </w:pPr>
            <w:r>
              <w:rPr>
                <w:rFonts w:ascii="Arial" w:cs="Arial" w:eastAsia="Arial" w:hAnsi="Arial"/>
                <w:sz w:val="18"/>
                <w:szCs w:val="18"/>
                <w:color w:val="auto"/>
              </w:rPr>
              <w:t>(a)</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7.05, 7.06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(d)</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 314</w:t>
            </w:r>
          </w:p>
        </w:tc>
        <w:tc>
          <w:tcPr>
            <w:tcW w:w="3080" w:type="dxa"/>
            <w:vAlign w:val="bottom"/>
          </w:tcPr>
          <w:p>
            <w:pPr>
              <w:ind w:left="220"/>
              <w:spacing w:after="0"/>
              <w:rPr>
                <w:sz w:val="20"/>
                <w:szCs w:val="20"/>
                <w:color w:val="auto"/>
              </w:rPr>
            </w:pPr>
            <w:r>
              <w:rPr>
                <w:rFonts w:ascii="Arial" w:cs="Arial" w:eastAsia="Arial" w:hAnsi="Arial"/>
                <w:sz w:val="18"/>
                <w:szCs w:val="18"/>
                <w:color w:val="auto"/>
              </w:rPr>
              <w:t>(a)</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4.04, 4.05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(c)(1)</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13.05(1)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(c)(2)</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13.05(2)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(c)(3)</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(d)</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(e)</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13.06</w:t>
            </w:r>
          </w:p>
        </w:tc>
        <w:tc>
          <w:tcPr>
            <w:tcW w:w="4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 315</w:t>
            </w:r>
          </w:p>
        </w:tc>
        <w:tc>
          <w:tcPr>
            <w:tcW w:w="3080" w:type="dxa"/>
            <w:vAlign w:val="bottom"/>
          </w:tcPr>
          <w:p>
            <w:pPr>
              <w:ind w:left="220"/>
              <w:spacing w:after="0"/>
              <w:rPr>
                <w:sz w:val="20"/>
                <w:szCs w:val="20"/>
                <w:color w:val="auto"/>
              </w:rPr>
            </w:pPr>
            <w:r>
              <w:rPr>
                <w:rFonts w:ascii="Arial" w:cs="Arial" w:eastAsia="Arial" w:hAnsi="Arial"/>
                <w:sz w:val="18"/>
                <w:szCs w:val="18"/>
                <w:color w:val="auto"/>
              </w:rPr>
              <w:t>(a)</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7.01(b), 7.02(a)</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7.01(b)</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(d)</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7.01(c)</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(d)(1)</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7.01(b), 7.02(a)</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(d)(2)</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7.02(c)</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(d)(3)</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7.02(e)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(e)</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6.12</w:t>
            </w:r>
          </w:p>
        </w:tc>
        <w:tc>
          <w:tcPr>
            <w:tcW w:w="4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 316</w:t>
            </w:r>
          </w:p>
        </w:tc>
        <w:tc>
          <w:tcPr>
            <w:tcW w:w="3080" w:type="dxa"/>
            <w:vAlign w:val="bottom"/>
          </w:tcPr>
          <w:p>
            <w:pPr>
              <w:ind w:left="220"/>
              <w:spacing w:after="0"/>
              <w:rPr>
                <w:sz w:val="20"/>
                <w:szCs w:val="20"/>
                <w:color w:val="auto"/>
              </w:rPr>
            </w:pPr>
            <w:r>
              <w:rPr>
                <w:rFonts w:ascii="Arial" w:cs="Arial" w:eastAsia="Arial" w:hAnsi="Arial"/>
                <w:sz w:val="18"/>
                <w:szCs w:val="18"/>
                <w:color w:val="auto"/>
              </w:rPr>
              <w:t>(a)(1)(A)</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(a)(1)(B)</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6.04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(a)(2)</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9.02(b)</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13.02(d)</w:t>
            </w:r>
          </w:p>
        </w:tc>
        <w:tc>
          <w:tcPr>
            <w:tcW w:w="40" w:type="dxa"/>
            <w:vAlign w:val="bottom"/>
          </w:tcPr>
          <w:p>
            <w:pPr>
              <w:spacing w:after="0"/>
              <w:rPr>
                <w:sz w:val="18"/>
                <w:szCs w:val="18"/>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 317</w:t>
            </w:r>
          </w:p>
        </w:tc>
        <w:tc>
          <w:tcPr>
            <w:tcW w:w="3080" w:type="dxa"/>
            <w:vAlign w:val="bottom"/>
          </w:tcPr>
          <w:p>
            <w:pPr>
              <w:ind w:left="220"/>
              <w:spacing w:after="0"/>
              <w:rPr>
                <w:sz w:val="20"/>
                <w:szCs w:val="20"/>
                <w:color w:val="auto"/>
              </w:rPr>
            </w:pPr>
            <w:r>
              <w:rPr>
                <w:rFonts w:ascii="Arial" w:cs="Arial" w:eastAsia="Arial" w:hAnsi="Arial"/>
                <w:sz w:val="18"/>
                <w:szCs w:val="18"/>
                <w:color w:val="auto"/>
              </w:rPr>
              <w:t>(a)(1)</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(a)(2)</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720" w:type="dxa"/>
            <w:vAlign w:val="bottom"/>
            <w:gridSpan w:val="3"/>
          </w:tcPr>
          <w:p>
            <w:pPr>
              <w:jc w:val="right"/>
              <w:ind w:right="5591"/>
              <w:spacing w:after="0"/>
              <w:rPr>
                <w:sz w:val="20"/>
                <w:szCs w:val="20"/>
                <w:color w:val="auto"/>
              </w:rPr>
            </w:pPr>
            <w:r>
              <w:rPr>
                <w:rFonts w:ascii="Arial" w:cs="Arial" w:eastAsia="Arial" w:hAnsi="Arial"/>
                <w:sz w:val="18"/>
                <w:szCs w:val="18"/>
                <w:color w:val="auto"/>
              </w:rPr>
              <w:t>i</w:t>
            </w: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80" w:type="dxa"/>
            <w:vAlign w:val="bottom"/>
            <w:tcBorders>
              <w:bottom w:val="single" w:sz="8" w:color="010101"/>
            </w:tcBorders>
          </w:tcPr>
          <w:p>
            <w:pPr>
              <w:spacing w:after="0"/>
              <w:rPr>
                <w:sz w:val="24"/>
                <w:szCs w:val="24"/>
                <w:color w:val="auto"/>
              </w:rPr>
            </w:pPr>
          </w:p>
        </w:tc>
        <w:tc>
          <w:tcPr>
            <w:tcW w:w="7720" w:type="dxa"/>
            <w:vAlign w:val="bottom"/>
            <w:tcBorders>
              <w:bottom w:val="single" w:sz="8" w:color="010101"/>
            </w:tcBorders>
            <w:gridSpan w:val="3"/>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6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(b)</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24"/>
                <w:szCs w:val="24"/>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 318</w:t>
            </w:r>
          </w:p>
        </w:tc>
        <w:tc>
          <w:tcPr>
            <w:tcW w:w="3080" w:type="dxa"/>
            <w:vAlign w:val="bottom"/>
          </w:tcPr>
          <w:p>
            <w:pPr>
              <w:ind w:left="220"/>
              <w:spacing w:after="0"/>
              <w:rPr>
                <w:sz w:val="20"/>
                <w:szCs w:val="20"/>
                <w:color w:val="auto"/>
              </w:rPr>
            </w:pPr>
            <w:r>
              <w:rPr>
                <w:rFonts w:ascii="Arial" w:cs="Arial" w:eastAsia="Arial" w:hAnsi="Arial"/>
                <w:sz w:val="18"/>
                <w:szCs w:val="18"/>
                <w:color w:val="auto"/>
              </w:rPr>
              <w:t>(a)</w:t>
            </w:r>
          </w:p>
        </w:tc>
        <w:tc>
          <w:tcPr>
            <w:tcW w:w="7720" w:type="dxa"/>
            <w:vAlign w:val="bottom"/>
            <w:gridSpan w:val="3"/>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-533400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Note: This reconciliation and tie shall not, for any purpose, be deemed to be a part of the Indenture.</w:t>
      </w:r>
    </w:p>
    <w:p>
      <w:pPr>
        <w:sectPr>
          <w:pgSz w:w="11900" w:h="16838" w:orient="portrait"/>
          <w:cols w:equalWidth="0" w:num="1">
            <w:col w:w="11460"/>
          </w:cols>
          <w:pgMar w:left="240" w:top="121" w:right="199" w:bottom="0" w:gutter="0" w:footer="0" w:header="0"/>
          <w:type w:val="continuous"/>
        </w:sectPr>
      </w:pPr>
    </w:p>
    <w:bookmarkStart w:id="15" w:name="page16"/>
    <w:bookmarkEnd w:id="15"/>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088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418"/>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1.01.</w:t>
            </w:r>
          </w:p>
        </w:tc>
        <w:tc>
          <w:tcPr>
            <w:tcW w:w="900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1.02.</w:t>
            </w:r>
          </w:p>
        </w:tc>
        <w:tc>
          <w:tcPr>
            <w:tcW w:w="9000" w:type="dxa"/>
            <w:vAlign w:val="bottom"/>
          </w:tcPr>
          <w:p>
            <w:pPr>
              <w:ind w:left="40"/>
              <w:spacing w:after="0"/>
              <w:rPr>
                <w:sz w:val="20"/>
                <w:szCs w:val="20"/>
                <w:color w:val="auto"/>
              </w:rPr>
            </w:pPr>
            <w:r>
              <w:rPr>
                <w:rFonts w:ascii="Arial" w:cs="Arial" w:eastAsia="Arial" w:hAnsi="Arial"/>
                <w:sz w:val="18"/>
                <w:szCs w:val="18"/>
                <w:color w:val="auto"/>
              </w:rPr>
              <w:t>Other Definitions</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1.03.</w:t>
            </w:r>
          </w:p>
        </w:tc>
        <w:tc>
          <w:tcPr>
            <w:tcW w:w="9000" w:type="dxa"/>
            <w:vAlign w:val="bottom"/>
          </w:tcPr>
          <w:p>
            <w:pPr>
              <w:ind w:left="40"/>
              <w:spacing w:after="0"/>
              <w:rPr>
                <w:sz w:val="20"/>
                <w:szCs w:val="20"/>
                <w:color w:val="auto"/>
              </w:rPr>
            </w:pPr>
            <w:r>
              <w:rPr>
                <w:rFonts w:ascii="Arial" w:cs="Arial" w:eastAsia="Arial" w:hAnsi="Arial"/>
                <w:sz w:val="18"/>
                <w:szCs w:val="18"/>
                <w:color w:val="auto"/>
              </w:rPr>
              <w:t>Incorporation by Reference of Trust Indenture Act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1.04.</w:t>
            </w:r>
          </w:p>
        </w:tc>
        <w:tc>
          <w:tcPr>
            <w:tcW w:w="9000" w:type="dxa"/>
            <w:vAlign w:val="bottom"/>
          </w:tcPr>
          <w:p>
            <w:pPr>
              <w:ind w:left="40"/>
              <w:spacing w:after="0"/>
              <w:rPr>
                <w:sz w:val="20"/>
                <w:szCs w:val="20"/>
                <w:color w:val="auto"/>
              </w:rPr>
            </w:pPr>
            <w:r>
              <w:rPr>
                <w:rFonts w:ascii="Arial" w:cs="Arial" w:eastAsia="Arial" w:hAnsi="Arial"/>
                <w:sz w:val="18"/>
                <w:szCs w:val="18"/>
                <w:color w:val="auto"/>
              </w:rPr>
              <w:t>Rules of Construction</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30"/>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1.05.</w:t>
            </w:r>
          </w:p>
        </w:tc>
        <w:tc>
          <w:tcPr>
            <w:tcW w:w="9000" w:type="dxa"/>
            <w:vAlign w:val="bottom"/>
          </w:tcPr>
          <w:p>
            <w:pPr>
              <w:ind w:left="40"/>
              <w:spacing w:after="0"/>
              <w:rPr>
                <w:sz w:val="20"/>
                <w:szCs w:val="20"/>
                <w:color w:val="auto"/>
              </w:rPr>
            </w:pPr>
            <w:r>
              <w:rPr>
                <w:rFonts w:ascii="Arial" w:cs="Arial" w:eastAsia="Arial" w:hAnsi="Arial"/>
                <w:sz w:val="18"/>
                <w:szCs w:val="18"/>
                <w:color w:val="auto"/>
              </w:rPr>
              <w:t>Acts of Holders</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r>
      <w:tr>
        <w:trPr>
          <w:trHeight w:val="432"/>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3"/>
              </w:rPr>
              <w:t>ARTICLE 2 The Notes</w:t>
            </w:r>
          </w:p>
        </w:tc>
        <w:tc>
          <w:tcPr>
            <w:tcW w:w="90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18"/>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2.01.</w:t>
            </w:r>
          </w:p>
        </w:tc>
        <w:tc>
          <w:tcPr>
            <w:tcW w:w="9000" w:type="dxa"/>
            <w:vAlign w:val="bottom"/>
          </w:tcPr>
          <w:p>
            <w:pPr>
              <w:ind w:left="40"/>
              <w:spacing w:after="0"/>
              <w:rPr>
                <w:sz w:val="20"/>
                <w:szCs w:val="20"/>
                <w:color w:val="auto"/>
              </w:rPr>
            </w:pPr>
            <w:r>
              <w:rPr>
                <w:rFonts w:ascii="Arial" w:cs="Arial" w:eastAsia="Arial" w:hAnsi="Arial"/>
                <w:sz w:val="18"/>
                <w:szCs w:val="18"/>
                <w:color w:val="auto"/>
              </w:rPr>
              <w:t>Form, Dating and Denominations; Legends</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2.02.</w:t>
            </w:r>
          </w:p>
        </w:tc>
        <w:tc>
          <w:tcPr>
            <w:tcW w:w="9000" w:type="dxa"/>
            <w:vAlign w:val="bottom"/>
          </w:tcPr>
          <w:p>
            <w:pPr>
              <w:ind w:left="40"/>
              <w:spacing w:after="0"/>
              <w:rPr>
                <w:sz w:val="20"/>
                <w:szCs w:val="20"/>
                <w:color w:val="auto"/>
              </w:rPr>
            </w:pPr>
            <w:r>
              <w:rPr>
                <w:rFonts w:ascii="Arial" w:cs="Arial" w:eastAsia="Arial" w:hAnsi="Arial"/>
                <w:sz w:val="18"/>
                <w:szCs w:val="18"/>
                <w:color w:val="auto"/>
              </w:rPr>
              <w:t>Execution And Authentication</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2.03.</w:t>
            </w:r>
          </w:p>
        </w:tc>
        <w:tc>
          <w:tcPr>
            <w:tcW w:w="9000" w:type="dxa"/>
            <w:vAlign w:val="bottom"/>
          </w:tcPr>
          <w:p>
            <w:pPr>
              <w:ind w:left="40"/>
              <w:spacing w:after="0"/>
              <w:rPr>
                <w:sz w:val="20"/>
                <w:szCs w:val="20"/>
                <w:color w:val="auto"/>
              </w:rPr>
            </w:pPr>
            <w:r>
              <w:rPr>
                <w:rFonts w:ascii="Arial" w:cs="Arial" w:eastAsia="Arial" w:hAnsi="Arial"/>
                <w:sz w:val="18"/>
                <w:szCs w:val="18"/>
                <w:color w:val="auto"/>
              </w:rPr>
              <w:t>Registrar, Paying Agent and Conversion Agent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2.04.</w:t>
            </w:r>
          </w:p>
        </w:tc>
        <w:tc>
          <w:tcPr>
            <w:tcW w:w="9000" w:type="dxa"/>
            <w:vAlign w:val="bottom"/>
          </w:tcPr>
          <w:p>
            <w:pPr>
              <w:ind w:left="40"/>
              <w:spacing w:after="0"/>
              <w:rPr>
                <w:sz w:val="20"/>
                <w:szCs w:val="20"/>
                <w:color w:val="auto"/>
              </w:rPr>
            </w:pPr>
            <w:r>
              <w:rPr>
                <w:rFonts w:ascii="Arial" w:cs="Arial" w:eastAsia="Arial" w:hAnsi="Arial"/>
                <w:sz w:val="18"/>
                <w:szCs w:val="18"/>
                <w:color w:val="auto"/>
              </w:rPr>
              <w:t>Paying Agent to Hold Money in Trust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2.05.</w:t>
            </w:r>
          </w:p>
        </w:tc>
        <w:tc>
          <w:tcPr>
            <w:tcW w:w="9000" w:type="dxa"/>
            <w:vAlign w:val="bottom"/>
          </w:tcPr>
          <w:p>
            <w:pPr>
              <w:ind w:left="40"/>
              <w:spacing w:after="0"/>
              <w:rPr>
                <w:sz w:val="20"/>
                <w:szCs w:val="20"/>
                <w:color w:val="auto"/>
              </w:rPr>
            </w:pPr>
            <w:r>
              <w:rPr>
                <w:rFonts w:ascii="Arial" w:cs="Arial" w:eastAsia="Arial" w:hAnsi="Arial"/>
                <w:sz w:val="18"/>
                <w:szCs w:val="18"/>
                <w:color w:val="auto"/>
              </w:rPr>
              <w:t>Noteholder Lists</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2.06.</w:t>
            </w:r>
          </w:p>
        </w:tc>
        <w:tc>
          <w:tcPr>
            <w:tcW w:w="9000" w:type="dxa"/>
            <w:vAlign w:val="bottom"/>
          </w:tcPr>
          <w:p>
            <w:pPr>
              <w:ind w:left="40"/>
              <w:spacing w:after="0"/>
              <w:rPr>
                <w:sz w:val="20"/>
                <w:szCs w:val="20"/>
                <w:color w:val="auto"/>
              </w:rPr>
            </w:pPr>
            <w:r>
              <w:rPr>
                <w:rFonts w:ascii="Arial" w:cs="Arial" w:eastAsia="Arial" w:hAnsi="Arial"/>
                <w:sz w:val="18"/>
                <w:szCs w:val="18"/>
                <w:color w:val="auto"/>
              </w:rPr>
              <w:t>Transfer and Exchange</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2.07.</w:t>
            </w:r>
          </w:p>
        </w:tc>
        <w:tc>
          <w:tcPr>
            <w:tcW w:w="9000" w:type="dxa"/>
            <w:vAlign w:val="bottom"/>
          </w:tcPr>
          <w:p>
            <w:pPr>
              <w:ind w:left="40"/>
              <w:spacing w:after="0"/>
              <w:rPr>
                <w:sz w:val="20"/>
                <w:szCs w:val="20"/>
                <w:color w:val="auto"/>
              </w:rPr>
            </w:pPr>
            <w:r>
              <w:rPr>
                <w:rFonts w:ascii="Arial" w:cs="Arial" w:eastAsia="Arial" w:hAnsi="Arial"/>
                <w:sz w:val="18"/>
                <w:szCs w:val="18"/>
                <w:color w:val="auto"/>
              </w:rPr>
              <w:t>Replacement Notes</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2.08.</w:t>
            </w:r>
          </w:p>
        </w:tc>
        <w:tc>
          <w:tcPr>
            <w:tcW w:w="9000" w:type="dxa"/>
            <w:vAlign w:val="bottom"/>
          </w:tcPr>
          <w:p>
            <w:pPr>
              <w:ind w:left="40"/>
              <w:spacing w:after="0"/>
              <w:rPr>
                <w:sz w:val="20"/>
                <w:szCs w:val="20"/>
                <w:color w:val="auto"/>
              </w:rPr>
            </w:pPr>
            <w:r>
              <w:rPr>
                <w:rFonts w:ascii="Arial" w:cs="Arial" w:eastAsia="Arial" w:hAnsi="Arial"/>
                <w:sz w:val="18"/>
                <w:szCs w:val="18"/>
                <w:color w:val="auto"/>
              </w:rPr>
              <w:t>Outstanding Notes</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2.09.</w:t>
            </w:r>
          </w:p>
        </w:tc>
        <w:tc>
          <w:tcPr>
            <w:tcW w:w="9000" w:type="dxa"/>
            <w:vAlign w:val="bottom"/>
          </w:tcPr>
          <w:p>
            <w:pPr>
              <w:ind w:left="40"/>
              <w:spacing w:after="0"/>
              <w:rPr>
                <w:sz w:val="20"/>
                <w:szCs w:val="20"/>
                <w:color w:val="auto"/>
              </w:rPr>
            </w:pPr>
            <w:r>
              <w:rPr>
                <w:rFonts w:ascii="Arial" w:cs="Arial" w:eastAsia="Arial" w:hAnsi="Arial"/>
                <w:sz w:val="18"/>
                <w:szCs w:val="18"/>
                <w:color w:val="auto"/>
              </w:rPr>
              <w:t>Treasury Notes</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2.10.</w:t>
            </w:r>
          </w:p>
        </w:tc>
        <w:tc>
          <w:tcPr>
            <w:tcW w:w="9000" w:type="dxa"/>
            <w:vAlign w:val="bottom"/>
          </w:tcPr>
          <w:p>
            <w:pPr>
              <w:ind w:left="40"/>
              <w:spacing w:after="0"/>
              <w:rPr>
                <w:sz w:val="20"/>
                <w:szCs w:val="20"/>
                <w:color w:val="auto"/>
              </w:rPr>
            </w:pPr>
            <w:r>
              <w:rPr>
                <w:rFonts w:ascii="Arial" w:cs="Arial" w:eastAsia="Arial" w:hAnsi="Arial"/>
                <w:sz w:val="18"/>
                <w:szCs w:val="18"/>
                <w:color w:val="auto"/>
              </w:rPr>
              <w:t>Temporary Notes</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30"/>
              <w:spacing w:after="0"/>
              <w:rPr>
                <w:sz w:val="20"/>
                <w:szCs w:val="20"/>
                <w:color w:val="auto"/>
              </w:rPr>
            </w:pPr>
            <w:r>
              <w:rPr>
                <w:rFonts w:ascii="Arial" w:cs="Arial" w:eastAsia="Arial" w:hAnsi="Arial"/>
                <w:sz w:val="18"/>
                <w:szCs w:val="18"/>
                <w:color w:val="auto"/>
                <w:w w:val="89"/>
              </w:rPr>
              <w:t>Section 2.11.</w:t>
            </w:r>
          </w:p>
        </w:tc>
        <w:tc>
          <w:tcPr>
            <w:tcW w:w="9000" w:type="dxa"/>
            <w:vAlign w:val="bottom"/>
          </w:tcPr>
          <w:p>
            <w:pPr>
              <w:ind w:left="40"/>
              <w:spacing w:after="0"/>
              <w:rPr>
                <w:sz w:val="20"/>
                <w:szCs w:val="20"/>
                <w:color w:val="auto"/>
              </w:rPr>
            </w:pPr>
            <w:r>
              <w:rPr>
                <w:rFonts w:ascii="Arial" w:cs="Arial" w:eastAsia="Arial" w:hAnsi="Arial"/>
                <w:sz w:val="18"/>
                <w:szCs w:val="18"/>
                <w:color w:val="auto"/>
              </w:rPr>
              <w:t>Cancellation</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2.12.</w:t>
            </w:r>
          </w:p>
        </w:tc>
        <w:tc>
          <w:tcPr>
            <w:tcW w:w="9000" w:type="dxa"/>
            <w:vAlign w:val="bottom"/>
          </w:tcPr>
          <w:p>
            <w:pPr>
              <w:ind w:left="40"/>
              <w:spacing w:after="0"/>
              <w:rPr>
                <w:sz w:val="20"/>
                <w:szCs w:val="20"/>
                <w:color w:val="auto"/>
              </w:rPr>
            </w:pPr>
            <w:r>
              <w:rPr>
                <w:rFonts w:ascii="Arial" w:cs="Arial" w:eastAsia="Arial" w:hAnsi="Arial"/>
                <w:sz w:val="18"/>
                <w:szCs w:val="18"/>
                <w:color w:val="auto"/>
              </w:rPr>
              <w:t>CUSIP Numbers</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30"/>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2.13.</w:t>
            </w:r>
          </w:p>
        </w:tc>
        <w:tc>
          <w:tcPr>
            <w:tcW w:w="9000" w:type="dxa"/>
            <w:vAlign w:val="bottom"/>
          </w:tcPr>
          <w:p>
            <w:pPr>
              <w:ind w:left="40"/>
              <w:spacing w:after="0"/>
              <w:rPr>
                <w:sz w:val="20"/>
                <w:szCs w:val="20"/>
                <w:color w:val="auto"/>
              </w:rPr>
            </w:pPr>
            <w:r>
              <w:rPr>
                <w:rFonts w:ascii="Arial" w:cs="Arial" w:eastAsia="Arial" w:hAnsi="Arial"/>
                <w:sz w:val="18"/>
                <w:szCs w:val="18"/>
                <w:color w:val="auto"/>
              </w:rPr>
              <w:t>Book-Entry Provisions for Global Notes</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w w:val="92"/>
              </w:rPr>
              <w:t>ARTICLE 3 Repurchases</w:t>
            </w:r>
          </w:p>
        </w:tc>
        <w:tc>
          <w:tcPr>
            <w:tcW w:w="90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418"/>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3.01.</w:t>
            </w:r>
          </w:p>
        </w:tc>
        <w:tc>
          <w:tcPr>
            <w:tcW w:w="9000" w:type="dxa"/>
            <w:vAlign w:val="bottom"/>
          </w:tcPr>
          <w:p>
            <w:pPr>
              <w:ind w:left="40"/>
              <w:spacing w:after="0"/>
              <w:rPr>
                <w:sz w:val="20"/>
                <w:szCs w:val="20"/>
                <w:color w:val="auto"/>
              </w:rPr>
            </w:pPr>
            <w:r>
              <w:rPr>
                <w:rFonts w:ascii="Arial" w:cs="Arial" w:eastAsia="Arial" w:hAnsi="Arial"/>
                <w:sz w:val="18"/>
                <w:szCs w:val="18"/>
                <w:color w:val="auto"/>
              </w:rPr>
              <w:t>Repurchase at the Option of the Holders Upon Change in Control or Termination of Trading</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3.02.</w:t>
            </w:r>
          </w:p>
        </w:tc>
        <w:tc>
          <w:tcPr>
            <w:tcW w:w="9000" w:type="dxa"/>
            <w:vAlign w:val="bottom"/>
          </w:tcPr>
          <w:p>
            <w:pPr>
              <w:ind w:left="40"/>
              <w:spacing w:after="0"/>
              <w:rPr>
                <w:sz w:val="20"/>
                <w:szCs w:val="20"/>
                <w:color w:val="auto"/>
              </w:rPr>
            </w:pPr>
            <w:r>
              <w:rPr>
                <w:rFonts w:ascii="Arial" w:cs="Arial" w:eastAsia="Arial" w:hAnsi="Arial"/>
                <w:sz w:val="18"/>
                <w:szCs w:val="18"/>
                <w:color w:val="auto"/>
              </w:rPr>
              <w:t>Effect of Repurchase Notice</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3.03.</w:t>
            </w:r>
          </w:p>
        </w:tc>
        <w:tc>
          <w:tcPr>
            <w:tcW w:w="9000" w:type="dxa"/>
            <w:vAlign w:val="bottom"/>
          </w:tcPr>
          <w:p>
            <w:pPr>
              <w:ind w:left="40"/>
              <w:spacing w:after="0"/>
              <w:rPr>
                <w:sz w:val="20"/>
                <w:szCs w:val="20"/>
                <w:color w:val="auto"/>
              </w:rPr>
            </w:pPr>
            <w:r>
              <w:rPr>
                <w:rFonts w:ascii="Arial" w:cs="Arial" w:eastAsia="Arial" w:hAnsi="Arial"/>
                <w:sz w:val="18"/>
                <w:szCs w:val="18"/>
                <w:color w:val="auto"/>
              </w:rPr>
              <w:t>Deposit of Repurchase Price</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3.04.</w:t>
            </w:r>
          </w:p>
        </w:tc>
        <w:tc>
          <w:tcPr>
            <w:tcW w:w="9000" w:type="dxa"/>
            <w:vAlign w:val="bottom"/>
          </w:tcPr>
          <w:p>
            <w:pPr>
              <w:ind w:left="40"/>
              <w:spacing w:after="0"/>
              <w:rPr>
                <w:sz w:val="20"/>
                <w:szCs w:val="20"/>
                <w:color w:val="auto"/>
              </w:rPr>
            </w:pPr>
            <w:r>
              <w:rPr>
                <w:rFonts w:ascii="Arial" w:cs="Arial" w:eastAsia="Arial" w:hAnsi="Arial"/>
                <w:sz w:val="18"/>
                <w:szCs w:val="18"/>
                <w:color w:val="auto"/>
              </w:rPr>
              <w:t>Notes Repurchased in Part</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30"/>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3.05.</w:t>
            </w:r>
          </w:p>
        </w:tc>
        <w:tc>
          <w:tcPr>
            <w:tcW w:w="9000" w:type="dxa"/>
            <w:vAlign w:val="bottom"/>
          </w:tcPr>
          <w:p>
            <w:pPr>
              <w:ind w:left="40"/>
              <w:spacing w:after="0"/>
              <w:rPr>
                <w:sz w:val="20"/>
                <w:szCs w:val="20"/>
                <w:color w:val="auto"/>
              </w:rPr>
            </w:pPr>
            <w:r>
              <w:rPr>
                <w:rFonts w:ascii="Arial" w:cs="Arial" w:eastAsia="Arial" w:hAnsi="Arial"/>
                <w:sz w:val="18"/>
                <w:szCs w:val="18"/>
                <w:color w:val="auto"/>
              </w:rPr>
              <w:t>Covenant to Comply with Securities Laws upon Repurchase of Notes</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r>
      <w:tr>
        <w:trPr>
          <w:trHeight w:val="432"/>
        </w:trPr>
        <w:tc>
          <w:tcPr>
            <w:tcW w:w="1880" w:type="dxa"/>
            <w:vAlign w:val="bottom"/>
          </w:tcPr>
          <w:p>
            <w:pPr>
              <w:jc w:val="center"/>
              <w:ind w:right="90"/>
              <w:spacing w:after="0"/>
              <w:rPr>
                <w:sz w:val="20"/>
                <w:szCs w:val="20"/>
                <w:color w:val="auto"/>
              </w:rPr>
            </w:pPr>
            <w:r>
              <w:rPr>
                <w:rFonts w:ascii="Arial" w:cs="Arial" w:eastAsia="Arial" w:hAnsi="Arial"/>
                <w:sz w:val="18"/>
                <w:szCs w:val="18"/>
                <w:color w:val="auto"/>
                <w:w w:val="93"/>
              </w:rPr>
              <w:t>ARTICLE 4 Covenants</w:t>
            </w:r>
          </w:p>
        </w:tc>
        <w:tc>
          <w:tcPr>
            <w:tcW w:w="90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r>
      <w:tr>
        <w:trPr>
          <w:trHeight w:val="418"/>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4.01.</w:t>
            </w:r>
          </w:p>
        </w:tc>
        <w:tc>
          <w:tcPr>
            <w:tcW w:w="9000" w:type="dxa"/>
            <w:vAlign w:val="bottom"/>
          </w:tcPr>
          <w:p>
            <w:pPr>
              <w:ind w:left="40"/>
              <w:spacing w:after="0"/>
              <w:rPr>
                <w:sz w:val="20"/>
                <w:szCs w:val="20"/>
                <w:color w:val="auto"/>
              </w:rPr>
            </w:pPr>
            <w:r>
              <w:rPr>
                <w:rFonts w:ascii="Arial" w:cs="Arial" w:eastAsia="Arial" w:hAnsi="Arial"/>
                <w:sz w:val="18"/>
                <w:szCs w:val="18"/>
                <w:color w:val="auto"/>
              </w:rPr>
              <w:t>Payment of Notes</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4.02.</w:t>
            </w:r>
          </w:p>
        </w:tc>
        <w:tc>
          <w:tcPr>
            <w:tcW w:w="9000" w:type="dxa"/>
            <w:vAlign w:val="bottom"/>
          </w:tcPr>
          <w:p>
            <w:pPr>
              <w:ind w:left="40"/>
              <w:spacing w:after="0"/>
              <w:rPr>
                <w:sz w:val="20"/>
                <w:szCs w:val="20"/>
                <w:color w:val="auto"/>
              </w:rPr>
            </w:pPr>
            <w:r>
              <w:rPr>
                <w:rFonts w:ascii="Arial" w:cs="Arial" w:eastAsia="Arial" w:hAnsi="Arial"/>
                <w:sz w:val="18"/>
                <w:szCs w:val="18"/>
                <w:color w:val="auto"/>
              </w:rPr>
              <w:t>Maintenance of Office or Agency</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4.03.</w:t>
            </w:r>
          </w:p>
        </w:tc>
        <w:tc>
          <w:tcPr>
            <w:tcW w:w="9000" w:type="dxa"/>
            <w:vAlign w:val="bottom"/>
          </w:tcPr>
          <w:p>
            <w:pPr>
              <w:ind w:left="40"/>
              <w:spacing w:after="0"/>
              <w:rPr>
                <w:sz w:val="20"/>
                <w:szCs w:val="20"/>
                <w:color w:val="auto"/>
              </w:rPr>
            </w:pPr>
            <w:r>
              <w:rPr>
                <w:rFonts w:ascii="Arial" w:cs="Arial" w:eastAsia="Arial" w:hAnsi="Arial"/>
                <w:sz w:val="18"/>
                <w:szCs w:val="18"/>
                <w:color w:val="auto"/>
              </w:rPr>
              <w:t>Existence</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4.04.</w:t>
            </w:r>
          </w:p>
        </w:tc>
        <w:tc>
          <w:tcPr>
            <w:tcW w:w="9000" w:type="dxa"/>
            <w:vAlign w:val="bottom"/>
          </w:tcPr>
          <w:p>
            <w:pPr>
              <w:ind w:left="40"/>
              <w:spacing w:after="0"/>
              <w:rPr>
                <w:sz w:val="20"/>
                <w:szCs w:val="20"/>
                <w:color w:val="auto"/>
              </w:rPr>
            </w:pPr>
            <w:r>
              <w:rPr>
                <w:rFonts w:ascii="Arial" w:cs="Arial" w:eastAsia="Arial" w:hAnsi="Arial"/>
                <w:sz w:val="18"/>
                <w:szCs w:val="18"/>
                <w:color w:val="auto"/>
              </w:rPr>
              <w:t>Annual Reports</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4.05.</w:t>
            </w:r>
          </w:p>
        </w:tc>
        <w:tc>
          <w:tcPr>
            <w:tcW w:w="9000" w:type="dxa"/>
            <w:vAlign w:val="bottom"/>
          </w:tcPr>
          <w:p>
            <w:pPr>
              <w:ind w:left="40"/>
              <w:spacing w:after="0"/>
              <w:rPr>
                <w:sz w:val="20"/>
                <w:szCs w:val="20"/>
                <w:color w:val="auto"/>
              </w:rPr>
            </w:pPr>
            <w:r>
              <w:rPr>
                <w:rFonts w:ascii="Arial" w:cs="Arial" w:eastAsia="Arial" w:hAnsi="Arial"/>
                <w:sz w:val="18"/>
                <w:szCs w:val="18"/>
                <w:color w:val="auto"/>
              </w:rPr>
              <w:t>Reports to Trustee</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30"/>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4.06.</w:t>
            </w:r>
          </w:p>
        </w:tc>
        <w:tc>
          <w:tcPr>
            <w:tcW w:w="9000" w:type="dxa"/>
            <w:vAlign w:val="bottom"/>
          </w:tcPr>
          <w:p>
            <w:pPr>
              <w:ind w:left="40"/>
              <w:spacing w:after="0"/>
              <w:rPr>
                <w:sz w:val="20"/>
                <w:szCs w:val="20"/>
                <w:color w:val="auto"/>
              </w:rPr>
            </w:pPr>
            <w:r>
              <w:rPr>
                <w:rFonts w:ascii="Arial" w:cs="Arial" w:eastAsia="Arial" w:hAnsi="Arial"/>
                <w:sz w:val="18"/>
                <w:szCs w:val="18"/>
                <w:color w:val="auto"/>
              </w:rPr>
              <w:t>Stay, Extension and Usury Laws</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r>
      <w:tr>
        <w:trPr>
          <w:trHeight w:val="702"/>
        </w:trPr>
        <w:tc>
          <w:tcPr>
            <w:tcW w:w="1880" w:type="dxa"/>
            <w:vAlign w:val="bottom"/>
          </w:tcPr>
          <w:p>
            <w:pPr>
              <w:spacing w:after="0"/>
              <w:rPr>
                <w:sz w:val="24"/>
                <w:szCs w:val="24"/>
                <w:color w:val="auto"/>
              </w:rPr>
            </w:pPr>
          </w:p>
        </w:tc>
        <w:tc>
          <w:tcPr>
            <w:tcW w:w="9000" w:type="dxa"/>
            <w:vAlign w:val="bottom"/>
          </w:tcPr>
          <w:p>
            <w:pPr>
              <w:ind w:left="3760"/>
              <w:spacing w:after="0"/>
              <w:rPr>
                <w:sz w:val="20"/>
                <w:szCs w:val="20"/>
                <w:color w:val="auto"/>
              </w:rPr>
            </w:pPr>
            <w:r>
              <w:rPr>
                <w:rFonts w:ascii="Arial" w:cs="Arial" w:eastAsia="Arial" w:hAnsi="Arial"/>
                <w:sz w:val="18"/>
                <w:szCs w:val="18"/>
                <w:color w:val="auto"/>
              </w:rPr>
              <w:t>iii</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1880" w:type="dxa"/>
            <w:vAlign w:val="bottom"/>
            <w:tcBorders>
              <w:bottom w:val="single" w:sz="8" w:color="010101"/>
            </w:tcBorders>
          </w:tcPr>
          <w:p>
            <w:pPr>
              <w:spacing w:after="0"/>
              <w:rPr>
                <w:sz w:val="24"/>
                <w:szCs w:val="24"/>
                <w:color w:val="auto"/>
              </w:rPr>
            </w:pPr>
          </w:p>
        </w:tc>
        <w:tc>
          <w:tcPr>
            <w:tcW w:w="90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496"/>
        </w:trPr>
        <w:tc>
          <w:tcPr>
            <w:tcW w:w="188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880" w:type="dxa"/>
            <w:vAlign w:val="bottom"/>
            <w:gridSpan w:val="2"/>
          </w:tcPr>
          <w:p>
            <w:pPr>
              <w:spacing w:after="0"/>
              <w:rPr>
                <w:sz w:val="20"/>
                <w:szCs w:val="20"/>
                <w:color w:val="auto"/>
              </w:rPr>
            </w:pPr>
            <w:r>
              <w:rPr>
                <w:rFonts w:ascii="Arial" w:cs="Arial" w:eastAsia="Arial" w:hAnsi="Arial"/>
                <w:sz w:val="18"/>
                <w:szCs w:val="18"/>
                <w:color w:val="auto"/>
              </w:rPr>
              <w:t>ARTICLE 5 Consolidation, Merger, Sale or Lease of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r>
      <w:tr>
        <w:trPr>
          <w:trHeight w:val="432"/>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5.01.</w:t>
            </w:r>
          </w:p>
        </w:tc>
        <w:tc>
          <w:tcPr>
            <w:tcW w:w="9000" w:type="dxa"/>
            <w:vAlign w:val="bottom"/>
          </w:tcPr>
          <w:p>
            <w:pPr>
              <w:ind w:left="40"/>
              <w:spacing w:after="0"/>
              <w:rPr>
                <w:sz w:val="20"/>
                <w:szCs w:val="20"/>
                <w:color w:val="auto"/>
              </w:rPr>
            </w:pPr>
            <w:r>
              <w:rPr>
                <w:rFonts w:ascii="Arial" w:cs="Arial" w:eastAsia="Arial" w:hAnsi="Arial"/>
                <w:sz w:val="18"/>
                <w:szCs w:val="18"/>
                <w:color w:val="auto"/>
              </w:rPr>
              <w:t>Consolidation, Merger, Sale or Lease of Assets by the Company</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r>
      <w:tr>
        <w:trPr>
          <w:trHeight w:val="432"/>
        </w:trPr>
        <w:tc>
          <w:tcPr>
            <w:tcW w:w="10880" w:type="dxa"/>
            <w:vAlign w:val="bottom"/>
            <w:gridSpan w:val="2"/>
          </w:tcPr>
          <w:p>
            <w:pPr>
              <w:spacing w:after="0"/>
              <w:rPr>
                <w:sz w:val="20"/>
                <w:szCs w:val="20"/>
                <w:color w:val="auto"/>
              </w:rPr>
            </w:pPr>
            <w:r>
              <w:rPr>
                <w:rFonts w:ascii="Arial" w:cs="Arial" w:eastAsia="Arial" w:hAnsi="Arial"/>
                <w:sz w:val="18"/>
                <w:szCs w:val="18"/>
                <w:color w:val="auto"/>
              </w:rPr>
              <w:t>ARTICLE 6 Default and Remedies</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418"/>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6.01.</w:t>
            </w:r>
          </w:p>
        </w:tc>
        <w:tc>
          <w:tcPr>
            <w:tcW w:w="900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6.02.</w:t>
            </w:r>
          </w:p>
        </w:tc>
        <w:tc>
          <w:tcPr>
            <w:tcW w:w="9000" w:type="dxa"/>
            <w:vAlign w:val="bottom"/>
          </w:tcPr>
          <w:p>
            <w:pPr>
              <w:ind w:left="40"/>
              <w:spacing w:after="0"/>
              <w:rPr>
                <w:sz w:val="20"/>
                <w:szCs w:val="20"/>
                <w:color w:val="auto"/>
              </w:rPr>
            </w:pPr>
            <w:r>
              <w:rPr>
                <w:rFonts w:ascii="Arial" w:cs="Arial" w:eastAsia="Arial" w:hAnsi="Arial"/>
                <w:sz w:val="18"/>
                <w:szCs w:val="18"/>
                <w:color w:val="auto"/>
              </w:rPr>
              <w:t>Acceleration</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6.03.</w:t>
            </w:r>
          </w:p>
        </w:tc>
        <w:tc>
          <w:tcPr>
            <w:tcW w:w="9000" w:type="dxa"/>
            <w:vAlign w:val="bottom"/>
          </w:tcPr>
          <w:p>
            <w:pPr>
              <w:ind w:left="40"/>
              <w:spacing w:after="0"/>
              <w:rPr>
                <w:sz w:val="20"/>
                <w:szCs w:val="20"/>
                <w:color w:val="auto"/>
              </w:rPr>
            </w:pPr>
            <w:r>
              <w:rPr>
                <w:rFonts w:ascii="Arial" w:cs="Arial" w:eastAsia="Arial" w:hAnsi="Arial"/>
                <w:sz w:val="18"/>
                <w:szCs w:val="18"/>
                <w:color w:val="auto"/>
              </w:rPr>
              <w:t>Other Remedies</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6.04.</w:t>
            </w:r>
          </w:p>
        </w:tc>
        <w:tc>
          <w:tcPr>
            <w:tcW w:w="9000" w:type="dxa"/>
            <w:vAlign w:val="bottom"/>
          </w:tcPr>
          <w:p>
            <w:pPr>
              <w:ind w:left="40"/>
              <w:spacing w:after="0"/>
              <w:rPr>
                <w:sz w:val="20"/>
                <w:szCs w:val="20"/>
                <w:color w:val="auto"/>
              </w:rPr>
            </w:pPr>
            <w:r>
              <w:rPr>
                <w:rFonts w:ascii="Arial" w:cs="Arial" w:eastAsia="Arial" w:hAnsi="Arial"/>
                <w:sz w:val="18"/>
                <w:szCs w:val="18"/>
                <w:color w:val="auto"/>
              </w:rPr>
              <w:t>Waiver of Past Defaults</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6.05.</w:t>
            </w:r>
          </w:p>
        </w:tc>
        <w:tc>
          <w:tcPr>
            <w:tcW w:w="9000" w:type="dxa"/>
            <w:vAlign w:val="bottom"/>
          </w:tcPr>
          <w:p>
            <w:pPr>
              <w:ind w:left="40"/>
              <w:spacing w:after="0"/>
              <w:rPr>
                <w:sz w:val="20"/>
                <w:szCs w:val="20"/>
                <w:color w:val="auto"/>
              </w:rPr>
            </w:pPr>
            <w:r>
              <w:rPr>
                <w:rFonts w:ascii="Arial" w:cs="Arial" w:eastAsia="Arial" w:hAnsi="Arial"/>
                <w:sz w:val="18"/>
                <w:szCs w:val="18"/>
                <w:color w:val="auto"/>
              </w:rPr>
              <w:t>Control by Majority</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6.06.</w:t>
            </w:r>
          </w:p>
        </w:tc>
        <w:tc>
          <w:tcPr>
            <w:tcW w:w="900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6.07.</w:t>
            </w:r>
          </w:p>
        </w:tc>
        <w:tc>
          <w:tcPr>
            <w:tcW w:w="9000" w:type="dxa"/>
            <w:vAlign w:val="bottom"/>
          </w:tcPr>
          <w:p>
            <w:pPr>
              <w:ind w:left="40"/>
              <w:spacing w:after="0"/>
              <w:rPr>
                <w:sz w:val="20"/>
                <w:szCs w:val="20"/>
                <w:color w:val="auto"/>
              </w:rPr>
            </w:pPr>
            <w:r>
              <w:rPr>
                <w:rFonts w:ascii="Arial" w:cs="Arial" w:eastAsia="Arial" w:hAnsi="Arial"/>
                <w:sz w:val="18"/>
                <w:szCs w:val="18"/>
                <w:color w:val="auto"/>
              </w:rPr>
              <w:t>Rights of Holders to Receive Payment</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6.08.</w:t>
            </w:r>
          </w:p>
        </w:tc>
        <w:tc>
          <w:tcPr>
            <w:tcW w:w="9000" w:type="dxa"/>
            <w:vAlign w:val="bottom"/>
          </w:tcPr>
          <w:p>
            <w:pPr>
              <w:ind w:left="40"/>
              <w:spacing w:after="0"/>
              <w:rPr>
                <w:sz w:val="20"/>
                <w:szCs w:val="20"/>
                <w:color w:val="auto"/>
              </w:rPr>
            </w:pPr>
            <w:r>
              <w:rPr>
                <w:rFonts w:ascii="Arial" w:cs="Arial" w:eastAsia="Arial" w:hAnsi="Arial"/>
                <w:sz w:val="18"/>
                <w:szCs w:val="18"/>
                <w:color w:val="auto"/>
              </w:rPr>
              <w:t>Collection Suit by Trustee</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6.09.</w:t>
            </w:r>
          </w:p>
        </w:tc>
        <w:tc>
          <w:tcPr>
            <w:tcW w:w="9000" w:type="dxa"/>
            <w:vAlign w:val="bottom"/>
          </w:tcPr>
          <w:p>
            <w:pPr>
              <w:ind w:left="40"/>
              <w:spacing w:after="0"/>
              <w:rPr>
                <w:sz w:val="20"/>
                <w:szCs w:val="20"/>
                <w:color w:val="auto"/>
              </w:rPr>
            </w:pPr>
            <w:r>
              <w:rPr>
                <w:rFonts w:ascii="Arial" w:cs="Arial" w:eastAsia="Arial" w:hAnsi="Arial"/>
                <w:sz w:val="18"/>
                <w:szCs w:val="18"/>
                <w:color w:val="auto"/>
              </w:rPr>
              <w:t>Trustee May File Proofs of Claim</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6.10.</w:t>
            </w:r>
          </w:p>
        </w:tc>
        <w:tc>
          <w:tcPr>
            <w:tcW w:w="9000" w:type="dxa"/>
            <w:vAlign w:val="bottom"/>
          </w:tcPr>
          <w:p>
            <w:pPr>
              <w:ind w:left="40"/>
              <w:spacing w:after="0"/>
              <w:rPr>
                <w:sz w:val="20"/>
                <w:szCs w:val="20"/>
                <w:color w:val="auto"/>
              </w:rPr>
            </w:pPr>
            <w:r>
              <w:rPr>
                <w:rFonts w:ascii="Arial" w:cs="Arial" w:eastAsia="Arial" w:hAnsi="Arial"/>
                <w:sz w:val="18"/>
                <w:szCs w:val="18"/>
                <w:color w:val="auto"/>
              </w:rPr>
              <w:t>Priorities</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30"/>
              <w:spacing w:after="0"/>
              <w:rPr>
                <w:sz w:val="20"/>
                <w:szCs w:val="20"/>
                <w:color w:val="auto"/>
              </w:rPr>
            </w:pPr>
            <w:r>
              <w:rPr>
                <w:rFonts w:ascii="Arial" w:cs="Arial" w:eastAsia="Arial" w:hAnsi="Arial"/>
                <w:sz w:val="18"/>
                <w:szCs w:val="18"/>
                <w:color w:val="auto"/>
                <w:w w:val="89"/>
              </w:rPr>
              <w:t>Section 6.11.</w:t>
            </w:r>
          </w:p>
        </w:tc>
        <w:tc>
          <w:tcPr>
            <w:tcW w:w="9000" w:type="dxa"/>
            <w:vAlign w:val="bottom"/>
          </w:tcPr>
          <w:p>
            <w:pPr>
              <w:ind w:left="40"/>
              <w:spacing w:after="0"/>
              <w:rPr>
                <w:sz w:val="20"/>
                <w:szCs w:val="20"/>
                <w:color w:val="auto"/>
              </w:rPr>
            </w:pPr>
            <w:r>
              <w:rPr>
                <w:rFonts w:ascii="Arial" w:cs="Arial" w:eastAsia="Arial" w:hAnsi="Arial"/>
                <w:sz w:val="18"/>
                <w:szCs w:val="18"/>
                <w:color w:val="auto"/>
              </w:rPr>
              <w:t>Restoration of Rights and Remedies</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6.12.</w:t>
            </w:r>
          </w:p>
        </w:tc>
        <w:tc>
          <w:tcPr>
            <w:tcW w:w="9000" w:type="dxa"/>
            <w:vAlign w:val="bottom"/>
          </w:tcPr>
          <w:p>
            <w:pPr>
              <w:ind w:left="40"/>
              <w:spacing w:after="0"/>
              <w:rPr>
                <w:sz w:val="20"/>
                <w:szCs w:val="20"/>
                <w:color w:val="auto"/>
              </w:rPr>
            </w:pPr>
            <w:r>
              <w:rPr>
                <w:rFonts w:ascii="Arial" w:cs="Arial" w:eastAsia="Arial" w:hAnsi="Arial"/>
                <w:sz w:val="18"/>
                <w:szCs w:val="18"/>
                <w:color w:val="auto"/>
              </w:rPr>
              <w:t>Undertaking for Costs</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6.13.</w:t>
            </w:r>
          </w:p>
        </w:tc>
        <w:tc>
          <w:tcPr>
            <w:tcW w:w="9000" w:type="dxa"/>
            <w:vAlign w:val="bottom"/>
          </w:tcPr>
          <w:p>
            <w:pPr>
              <w:ind w:left="40"/>
              <w:spacing w:after="0"/>
              <w:rPr>
                <w:sz w:val="20"/>
                <w:szCs w:val="20"/>
                <w:color w:val="auto"/>
              </w:rPr>
            </w:pPr>
            <w:r>
              <w:rPr>
                <w:rFonts w:ascii="Arial" w:cs="Arial" w:eastAsia="Arial" w:hAnsi="Arial"/>
                <w:sz w:val="18"/>
                <w:szCs w:val="18"/>
                <w:color w:val="auto"/>
              </w:rPr>
              <w:t>Rights and Remedies Cumulative</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30"/>
        </w:trPr>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Section 6.14.</w:t>
            </w:r>
          </w:p>
        </w:tc>
        <w:tc>
          <w:tcPr>
            <w:tcW w:w="9000" w:type="dxa"/>
            <w:vAlign w:val="bottom"/>
          </w:tcPr>
          <w:p>
            <w:pPr>
              <w:ind w:left="40"/>
              <w:spacing w:after="0"/>
              <w:rPr>
                <w:sz w:val="20"/>
                <w:szCs w:val="20"/>
                <w:color w:val="auto"/>
              </w:rPr>
            </w:pPr>
            <w:r>
              <w:rPr>
                <w:rFonts w:ascii="Arial" w:cs="Arial" w:eastAsia="Arial" w:hAnsi="Arial"/>
                <w:sz w:val="18"/>
                <w:szCs w:val="18"/>
                <w:color w:val="auto"/>
              </w:rPr>
              <w:t>Delay or Omission Not Waiver</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-3234690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-3234690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8960" w:type="dxa"/>
            <w:vAlign w:val="bottom"/>
          </w:tcPr>
          <w:p>
            <w:pPr>
              <w:spacing w:after="0"/>
              <w:rPr>
                <w:sz w:val="20"/>
                <w:szCs w:val="20"/>
                <w:color w:val="auto"/>
              </w:rPr>
            </w:pPr>
            <w:r>
              <w:rPr>
                <w:rFonts w:ascii="Arial" w:cs="Arial" w:eastAsia="Arial" w:hAnsi="Arial"/>
                <w:sz w:val="18"/>
                <w:szCs w:val="18"/>
                <w:color w:val="auto"/>
              </w:rPr>
              <w:t>Failure to File</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w w:val="98"/>
              </w:rPr>
              <w:t>ARTICLE 7 The Trustee</w:t>
            </w:r>
          </w:p>
        </w:tc>
        <w:tc>
          <w:tcPr>
            <w:tcW w:w="8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418"/>
        </w:trPr>
        <w:tc>
          <w:tcPr>
            <w:tcW w:w="19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960" w:type="dxa"/>
            <w:vAlign w:val="bottom"/>
          </w:tcPr>
          <w:p>
            <w:pPr>
              <w:spacing w:after="0"/>
              <w:rPr>
                <w:sz w:val="20"/>
                <w:szCs w:val="20"/>
                <w:color w:val="auto"/>
              </w:rPr>
            </w:pPr>
            <w:r>
              <w:rPr>
                <w:rFonts w:ascii="Arial" w:cs="Arial" w:eastAsia="Arial" w:hAnsi="Arial"/>
                <w:sz w:val="18"/>
                <w:szCs w:val="18"/>
                <w:color w:val="auto"/>
              </w:rPr>
              <w:t>General</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960" w:type="dxa"/>
            <w:vAlign w:val="bottom"/>
          </w:tcPr>
          <w:p>
            <w:pPr>
              <w:spacing w:after="0"/>
              <w:rPr>
                <w:sz w:val="20"/>
                <w:szCs w:val="20"/>
                <w:color w:val="auto"/>
              </w:rPr>
            </w:pPr>
            <w:r>
              <w:rPr>
                <w:rFonts w:ascii="Arial" w:cs="Arial" w:eastAsia="Arial" w:hAnsi="Arial"/>
                <w:sz w:val="18"/>
                <w:szCs w:val="18"/>
                <w:color w:val="auto"/>
              </w:rPr>
              <w:t>Certain Rights of Trustee</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960" w:type="dxa"/>
            <w:vAlign w:val="bottom"/>
          </w:tcPr>
          <w:p>
            <w:pPr>
              <w:spacing w:after="0"/>
              <w:rPr>
                <w:sz w:val="20"/>
                <w:szCs w:val="20"/>
                <w:color w:val="auto"/>
              </w:rPr>
            </w:pPr>
            <w:r>
              <w:rPr>
                <w:rFonts w:ascii="Arial" w:cs="Arial" w:eastAsia="Arial" w:hAnsi="Arial"/>
                <w:sz w:val="18"/>
                <w:szCs w:val="18"/>
                <w:color w:val="auto"/>
              </w:rPr>
              <w:t>Individual Rights of Trustee</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960" w:type="dxa"/>
            <w:vAlign w:val="bottom"/>
          </w:tcPr>
          <w:p>
            <w:pPr>
              <w:spacing w:after="0"/>
              <w:rPr>
                <w:sz w:val="20"/>
                <w:szCs w:val="20"/>
                <w:color w:val="auto"/>
              </w:rPr>
            </w:pPr>
            <w:r>
              <w:rPr>
                <w:rFonts w:ascii="Arial" w:cs="Arial" w:eastAsia="Arial" w:hAnsi="Arial"/>
                <w:sz w:val="18"/>
                <w:szCs w:val="18"/>
                <w:color w:val="auto"/>
              </w:rPr>
              <w:t>Trustee’s Disclaimer</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8960" w:type="dxa"/>
            <w:vAlign w:val="bottom"/>
          </w:tcPr>
          <w:p>
            <w:pPr>
              <w:spacing w:after="0"/>
              <w:rPr>
                <w:sz w:val="20"/>
                <w:szCs w:val="20"/>
                <w:color w:val="auto"/>
              </w:rPr>
            </w:pPr>
            <w:r>
              <w:rPr>
                <w:rFonts w:ascii="Arial" w:cs="Arial" w:eastAsia="Arial" w:hAnsi="Arial"/>
                <w:sz w:val="18"/>
                <w:szCs w:val="18"/>
                <w:color w:val="auto"/>
              </w:rPr>
              <w:t>Notice of Default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8960" w:type="dxa"/>
            <w:vAlign w:val="bottom"/>
          </w:tcPr>
          <w:p>
            <w:pPr>
              <w:spacing w:after="0"/>
              <w:rPr>
                <w:sz w:val="20"/>
                <w:szCs w:val="20"/>
                <w:color w:val="auto"/>
              </w:rPr>
            </w:pPr>
            <w:r>
              <w:rPr>
                <w:rFonts w:ascii="Arial" w:cs="Arial" w:eastAsia="Arial" w:hAnsi="Arial"/>
                <w:sz w:val="18"/>
                <w:szCs w:val="18"/>
                <w:color w:val="auto"/>
              </w:rPr>
              <w:t>Reports by Trustee to Holders</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8960" w:type="dxa"/>
            <w:vAlign w:val="bottom"/>
          </w:tcPr>
          <w:p>
            <w:pPr>
              <w:spacing w:after="0"/>
              <w:rPr>
                <w:sz w:val="20"/>
                <w:szCs w:val="20"/>
                <w:color w:val="auto"/>
              </w:rPr>
            </w:pPr>
            <w:r>
              <w:rPr>
                <w:rFonts w:ascii="Arial" w:cs="Arial" w:eastAsia="Arial" w:hAnsi="Arial"/>
                <w:sz w:val="18"/>
                <w:szCs w:val="18"/>
                <w:color w:val="auto"/>
              </w:rPr>
              <w:t>Compensation and Indemnity</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8960" w:type="dxa"/>
            <w:vAlign w:val="bottom"/>
          </w:tcPr>
          <w:p>
            <w:pPr>
              <w:spacing w:after="0"/>
              <w:rPr>
                <w:sz w:val="20"/>
                <w:szCs w:val="20"/>
                <w:color w:val="auto"/>
              </w:rPr>
            </w:pPr>
            <w:r>
              <w:rPr>
                <w:rFonts w:ascii="Arial" w:cs="Arial" w:eastAsia="Arial" w:hAnsi="Arial"/>
                <w:sz w:val="18"/>
                <w:szCs w:val="18"/>
                <w:color w:val="auto"/>
              </w:rPr>
              <w:t>Replacement of Trustee</w:t>
            </w: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8960" w:type="dxa"/>
            <w:vAlign w:val="bottom"/>
          </w:tcPr>
          <w:p>
            <w:pPr>
              <w:spacing w:after="0"/>
              <w:rPr>
                <w:sz w:val="20"/>
                <w:szCs w:val="20"/>
                <w:color w:val="auto"/>
              </w:rPr>
            </w:pPr>
            <w:r>
              <w:rPr>
                <w:rFonts w:ascii="Arial" w:cs="Arial" w:eastAsia="Arial" w:hAnsi="Arial"/>
                <w:sz w:val="18"/>
                <w:szCs w:val="18"/>
                <w:color w:val="auto"/>
              </w:rPr>
              <w:t>Successor Trustee by Merger</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8960" w:type="dxa"/>
            <w:vAlign w:val="bottom"/>
          </w:tcPr>
          <w:p>
            <w:pPr>
              <w:spacing w:after="0"/>
              <w:rPr>
                <w:sz w:val="20"/>
                <w:szCs w:val="20"/>
                <w:color w:val="auto"/>
              </w:rPr>
            </w:pPr>
            <w:r>
              <w:rPr>
                <w:rFonts w:ascii="Arial" w:cs="Arial" w:eastAsia="Arial" w:hAnsi="Arial"/>
                <w:sz w:val="18"/>
                <w:szCs w:val="18"/>
                <w:color w:val="auto"/>
              </w:rPr>
              <w:t>Eligibility</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8960" w:type="dxa"/>
            <w:vAlign w:val="bottom"/>
          </w:tcPr>
          <w:p>
            <w:pPr>
              <w:spacing w:after="0"/>
              <w:rPr>
                <w:sz w:val="20"/>
                <w:szCs w:val="20"/>
                <w:color w:val="auto"/>
              </w:rPr>
            </w:pPr>
            <w:r>
              <w:rPr>
                <w:rFonts w:ascii="Arial" w:cs="Arial" w:eastAsia="Arial" w:hAnsi="Arial"/>
                <w:sz w:val="18"/>
                <w:szCs w:val="18"/>
                <w:color w:val="auto"/>
              </w:rPr>
              <w:t>Money Held in Trust</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0"/>
                <w:szCs w:val="20"/>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ARTICLE 8 Discharge</w:t>
            </w:r>
          </w:p>
        </w:tc>
        <w:tc>
          <w:tcPr>
            <w:tcW w:w="8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r>
      <w:tr>
        <w:trPr>
          <w:trHeight w:val="418"/>
        </w:trPr>
        <w:tc>
          <w:tcPr>
            <w:tcW w:w="192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960" w:type="dxa"/>
            <w:vAlign w:val="bottom"/>
          </w:tcPr>
          <w:p>
            <w:pPr>
              <w:spacing w:after="0"/>
              <w:rPr>
                <w:sz w:val="20"/>
                <w:szCs w:val="20"/>
                <w:color w:val="auto"/>
              </w:rPr>
            </w:pPr>
            <w:r>
              <w:rPr>
                <w:rFonts w:ascii="Arial" w:cs="Arial" w:eastAsia="Arial" w:hAnsi="Arial"/>
                <w:sz w:val="18"/>
                <w:szCs w:val="18"/>
                <w:color w:val="auto"/>
              </w:rPr>
              <w:t>Satisfaction and Discharge of this Indenture</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960" w:type="dxa"/>
            <w:vAlign w:val="bottom"/>
          </w:tcPr>
          <w:p>
            <w:pPr>
              <w:spacing w:after="0"/>
              <w:rPr>
                <w:sz w:val="20"/>
                <w:szCs w:val="20"/>
                <w:color w:val="auto"/>
              </w:rPr>
            </w:pPr>
            <w:r>
              <w:rPr>
                <w:rFonts w:ascii="Arial" w:cs="Arial" w:eastAsia="Arial" w:hAnsi="Arial"/>
                <w:sz w:val="18"/>
                <w:szCs w:val="18"/>
                <w:color w:val="auto"/>
              </w:rPr>
              <w:t>Application of Trust Money</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960" w:type="dxa"/>
            <w:vAlign w:val="bottom"/>
          </w:tcPr>
          <w:p>
            <w:pPr>
              <w:spacing w:after="0"/>
              <w:rPr>
                <w:sz w:val="20"/>
                <w:szCs w:val="20"/>
                <w:color w:val="auto"/>
              </w:rPr>
            </w:pPr>
            <w:r>
              <w:rPr>
                <w:rFonts w:ascii="Arial" w:cs="Arial" w:eastAsia="Arial" w:hAnsi="Arial"/>
                <w:sz w:val="18"/>
                <w:szCs w:val="18"/>
                <w:color w:val="auto"/>
              </w:rPr>
              <w:t>Repayment to Company</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8960" w:type="dxa"/>
            <w:vAlign w:val="bottom"/>
          </w:tcPr>
          <w:p>
            <w:pPr>
              <w:spacing w:after="0"/>
              <w:rPr>
                <w:sz w:val="20"/>
                <w:szCs w:val="20"/>
                <w:color w:val="auto"/>
              </w:rPr>
            </w:pPr>
            <w:r>
              <w:rPr>
                <w:rFonts w:ascii="Arial" w:cs="Arial" w:eastAsia="Arial" w:hAnsi="Arial"/>
                <w:sz w:val="18"/>
                <w:szCs w:val="18"/>
                <w:color w:val="auto"/>
              </w:rPr>
              <w:t>Reinstatement</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r>
      <w:tr>
        <w:trPr>
          <w:trHeight w:val="432"/>
        </w:trPr>
        <w:tc>
          <w:tcPr>
            <w:tcW w:w="10880" w:type="dxa"/>
            <w:vAlign w:val="bottom"/>
            <w:gridSpan w:val="2"/>
          </w:tcPr>
          <w:p>
            <w:pPr>
              <w:spacing w:after="0"/>
              <w:rPr>
                <w:sz w:val="20"/>
                <w:szCs w:val="20"/>
                <w:color w:val="auto"/>
              </w:rPr>
            </w:pPr>
            <w:r>
              <w:rPr>
                <w:rFonts w:ascii="Arial" w:cs="Arial" w:eastAsia="Arial" w:hAnsi="Arial"/>
                <w:sz w:val="18"/>
                <w:szCs w:val="18"/>
                <w:color w:val="auto"/>
              </w:rPr>
              <w:t>ARTICLE 9 Amendments, Supplements and Waivers</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r>
      <w:tr>
        <w:trPr>
          <w:trHeight w:val="418"/>
        </w:trPr>
        <w:tc>
          <w:tcPr>
            <w:tcW w:w="192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960" w:type="dxa"/>
            <w:vAlign w:val="bottom"/>
          </w:tcPr>
          <w:p>
            <w:pPr>
              <w:spacing w:after="0"/>
              <w:rPr>
                <w:sz w:val="20"/>
                <w:szCs w:val="20"/>
                <w:color w:val="auto"/>
              </w:rPr>
            </w:pPr>
            <w:r>
              <w:rPr>
                <w:rFonts w:ascii="Arial" w:cs="Arial" w:eastAsia="Arial" w:hAnsi="Arial"/>
                <w:sz w:val="18"/>
                <w:szCs w:val="18"/>
                <w:color w:val="auto"/>
              </w:rPr>
              <w:t>Amendments Without Consent of Holders</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960" w:type="dxa"/>
            <w:vAlign w:val="bottom"/>
          </w:tcPr>
          <w:p>
            <w:pPr>
              <w:spacing w:after="0"/>
              <w:rPr>
                <w:sz w:val="20"/>
                <w:szCs w:val="20"/>
                <w:color w:val="auto"/>
              </w:rPr>
            </w:pPr>
            <w:r>
              <w:rPr>
                <w:rFonts w:ascii="Arial" w:cs="Arial" w:eastAsia="Arial" w:hAnsi="Arial"/>
                <w:sz w:val="18"/>
                <w:szCs w:val="18"/>
                <w:color w:val="auto"/>
              </w:rPr>
              <w:t>Amendments With Consent of Holders</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0"/>
                <w:szCs w:val="20"/>
                <w:color w:val="auto"/>
              </w:rPr>
            </w:pPr>
          </w:p>
        </w:tc>
      </w:tr>
      <w:tr>
        <w:trPr>
          <w:trHeight w:val="702"/>
        </w:trPr>
        <w:tc>
          <w:tcPr>
            <w:tcW w:w="1920" w:type="dxa"/>
            <w:vAlign w:val="bottom"/>
          </w:tcPr>
          <w:p>
            <w:pPr>
              <w:spacing w:after="0"/>
              <w:rPr>
                <w:sz w:val="24"/>
                <w:szCs w:val="24"/>
                <w:color w:val="auto"/>
              </w:rPr>
            </w:pPr>
          </w:p>
        </w:tc>
        <w:tc>
          <w:tcPr>
            <w:tcW w:w="8960" w:type="dxa"/>
            <w:vAlign w:val="bottom"/>
          </w:tcPr>
          <w:p>
            <w:pPr>
              <w:ind w:left="3720"/>
              <w:spacing w:after="0"/>
              <w:rPr>
                <w:sz w:val="20"/>
                <w:szCs w:val="20"/>
                <w:color w:val="auto"/>
              </w:rPr>
            </w:pPr>
            <w:r>
              <w:rPr>
                <w:rFonts w:ascii="Arial" w:cs="Arial" w:eastAsia="Arial" w:hAnsi="Arial"/>
                <w:sz w:val="18"/>
                <w:szCs w:val="18"/>
                <w:color w:val="auto"/>
              </w:rPr>
              <w:t>iv</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1920" w:type="dxa"/>
            <w:vAlign w:val="bottom"/>
            <w:tcBorders>
              <w:bottom w:val="single" w:sz="8" w:color="010101"/>
            </w:tcBorders>
          </w:tcPr>
          <w:p>
            <w:pPr>
              <w:spacing w:after="0"/>
              <w:rPr>
                <w:sz w:val="24"/>
                <w:szCs w:val="24"/>
                <w:color w:val="auto"/>
              </w:rPr>
            </w:pPr>
          </w:p>
        </w:tc>
        <w:tc>
          <w:tcPr>
            <w:tcW w:w="89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496"/>
        </w:trPr>
        <w:tc>
          <w:tcPr>
            <w:tcW w:w="19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411"/>
        </w:trPr>
        <w:tc>
          <w:tcPr>
            <w:tcW w:w="192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8960" w:type="dxa"/>
            <w:vAlign w:val="bottom"/>
          </w:tcPr>
          <w:p>
            <w:pPr>
              <w:spacing w:after="0"/>
              <w:rPr>
                <w:sz w:val="20"/>
                <w:szCs w:val="20"/>
                <w:color w:val="auto"/>
              </w:rPr>
            </w:pPr>
            <w:r>
              <w:rPr>
                <w:rFonts w:ascii="Arial" w:cs="Arial" w:eastAsia="Arial" w:hAnsi="Arial"/>
                <w:sz w:val="18"/>
                <w:szCs w:val="18"/>
                <w:color w:val="auto"/>
              </w:rPr>
              <w:t>Effect of Consent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8960" w:type="dxa"/>
            <w:vAlign w:val="bottom"/>
          </w:tcPr>
          <w:p>
            <w:pPr>
              <w:spacing w:after="0"/>
              <w:rPr>
                <w:sz w:val="20"/>
                <w:szCs w:val="20"/>
                <w:color w:val="auto"/>
              </w:rPr>
            </w:pPr>
            <w:r>
              <w:rPr>
                <w:rFonts w:ascii="Arial" w:cs="Arial" w:eastAsia="Arial" w:hAnsi="Arial"/>
                <w:sz w:val="18"/>
                <w:szCs w:val="18"/>
                <w:color w:val="auto"/>
              </w:rPr>
              <w:t>Trustee’s Rights and Obligations</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8960" w:type="dxa"/>
            <w:vAlign w:val="bottom"/>
          </w:tcPr>
          <w:p>
            <w:pPr>
              <w:spacing w:after="0"/>
              <w:rPr>
                <w:sz w:val="20"/>
                <w:szCs w:val="20"/>
                <w:color w:val="auto"/>
              </w:rPr>
            </w:pPr>
            <w:r>
              <w:rPr>
                <w:rFonts w:ascii="Arial" w:cs="Arial" w:eastAsia="Arial" w:hAnsi="Arial"/>
                <w:sz w:val="18"/>
                <w:szCs w:val="18"/>
                <w:color w:val="auto"/>
              </w:rPr>
              <w:t>Conformity With Trust Indenture Act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8960" w:type="dxa"/>
            <w:vAlign w:val="bottom"/>
          </w:tcPr>
          <w:p>
            <w:pPr>
              <w:spacing w:after="0"/>
              <w:rPr>
                <w:sz w:val="20"/>
                <w:szCs w:val="20"/>
                <w:color w:val="auto"/>
              </w:rPr>
            </w:pPr>
            <w:r>
              <w:rPr>
                <w:rFonts w:ascii="Arial" w:cs="Arial" w:eastAsia="Arial" w:hAnsi="Arial"/>
                <w:sz w:val="18"/>
                <w:szCs w:val="18"/>
                <w:color w:val="auto"/>
              </w:rPr>
              <w:t>Payments for Consents</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0"/>
                <w:szCs w:val="20"/>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w w:val="96"/>
              </w:rPr>
              <w:t>ARTICLE 10 Conversion</w:t>
            </w:r>
          </w:p>
        </w:tc>
        <w:tc>
          <w:tcPr>
            <w:tcW w:w="8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r>
      <w:tr>
        <w:trPr>
          <w:trHeight w:val="418"/>
        </w:trPr>
        <w:tc>
          <w:tcPr>
            <w:tcW w:w="192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8960" w:type="dxa"/>
            <w:vAlign w:val="bottom"/>
          </w:tcPr>
          <w:p>
            <w:pPr>
              <w:spacing w:after="0"/>
              <w:rPr>
                <w:sz w:val="20"/>
                <w:szCs w:val="20"/>
                <w:color w:val="auto"/>
              </w:rPr>
            </w:pPr>
            <w:r>
              <w:rPr>
                <w:rFonts w:ascii="Arial" w:cs="Arial" w:eastAsia="Arial" w:hAnsi="Arial"/>
                <w:sz w:val="18"/>
                <w:szCs w:val="18"/>
                <w:color w:val="auto"/>
              </w:rPr>
              <w:t>Conversion Privilege</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8960" w:type="dxa"/>
            <w:vAlign w:val="bottom"/>
          </w:tcPr>
          <w:p>
            <w:pPr>
              <w:spacing w:after="0"/>
              <w:rPr>
                <w:sz w:val="20"/>
                <w:szCs w:val="20"/>
                <w:color w:val="auto"/>
              </w:rPr>
            </w:pPr>
            <w:r>
              <w:rPr>
                <w:rFonts w:ascii="Arial" w:cs="Arial" w:eastAsia="Arial" w:hAnsi="Arial"/>
                <w:sz w:val="18"/>
                <w:szCs w:val="18"/>
                <w:color w:val="auto"/>
              </w:rPr>
              <w:t>Conversion Procedures; Conversion Settlement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8960" w:type="dxa"/>
            <w:vAlign w:val="bottom"/>
          </w:tcPr>
          <w:p>
            <w:pPr>
              <w:spacing w:after="0"/>
              <w:rPr>
                <w:sz w:val="20"/>
                <w:szCs w:val="20"/>
                <w:color w:val="auto"/>
              </w:rPr>
            </w:pPr>
            <w:r>
              <w:rPr>
                <w:rFonts w:ascii="Arial" w:cs="Arial" w:eastAsia="Arial" w:hAnsi="Arial"/>
                <w:sz w:val="18"/>
                <w:szCs w:val="18"/>
                <w:color w:val="auto"/>
              </w:rPr>
              <w:t>Fractional Shares</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8960" w:type="dxa"/>
            <w:vAlign w:val="bottom"/>
          </w:tcPr>
          <w:p>
            <w:pPr>
              <w:spacing w:after="0"/>
              <w:rPr>
                <w:sz w:val="20"/>
                <w:szCs w:val="20"/>
                <w:color w:val="auto"/>
              </w:rPr>
            </w:pPr>
            <w:r>
              <w:rPr>
                <w:rFonts w:ascii="Arial" w:cs="Arial" w:eastAsia="Arial" w:hAnsi="Arial"/>
                <w:sz w:val="18"/>
                <w:szCs w:val="18"/>
                <w:color w:val="auto"/>
              </w:rPr>
              <w:t>Taxes on Conversion</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8960" w:type="dxa"/>
            <w:vAlign w:val="bottom"/>
          </w:tcPr>
          <w:p>
            <w:pPr>
              <w:spacing w:after="0"/>
              <w:rPr>
                <w:sz w:val="20"/>
                <w:szCs w:val="20"/>
                <w:color w:val="auto"/>
              </w:rPr>
            </w:pPr>
            <w:r>
              <w:rPr>
                <w:rFonts w:ascii="Arial" w:cs="Arial" w:eastAsia="Arial" w:hAnsi="Arial"/>
                <w:sz w:val="18"/>
                <w:szCs w:val="18"/>
                <w:color w:val="auto"/>
              </w:rPr>
              <w:t>Company to Provide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8960" w:type="dxa"/>
            <w:vAlign w:val="bottom"/>
          </w:tcPr>
          <w:p>
            <w:pPr>
              <w:spacing w:after="0"/>
              <w:rPr>
                <w:sz w:val="20"/>
                <w:szCs w:val="20"/>
                <w:color w:val="auto"/>
              </w:rPr>
            </w:pPr>
            <w:r>
              <w:rPr>
                <w:rFonts w:ascii="Arial" w:cs="Arial" w:eastAsia="Arial" w:hAnsi="Arial"/>
                <w:sz w:val="18"/>
                <w:szCs w:val="18"/>
                <w:color w:val="auto"/>
              </w:rPr>
              <w:t>Adjustment for Change in Capital Stock</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8960" w:type="dxa"/>
            <w:vAlign w:val="bottom"/>
          </w:tcPr>
          <w:p>
            <w:pPr>
              <w:spacing w:after="0"/>
              <w:rPr>
                <w:sz w:val="20"/>
                <w:szCs w:val="20"/>
                <w:color w:val="auto"/>
              </w:rPr>
            </w:pPr>
            <w:r>
              <w:rPr>
                <w:rFonts w:ascii="Arial" w:cs="Arial" w:eastAsia="Arial" w:hAnsi="Arial"/>
                <w:sz w:val="18"/>
                <w:szCs w:val="18"/>
                <w:color w:val="auto"/>
              </w:rPr>
              <w:t>Adjustment for Rights, Options or Warrants Issue</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8960" w:type="dxa"/>
            <w:vAlign w:val="bottom"/>
          </w:tcPr>
          <w:p>
            <w:pPr>
              <w:spacing w:after="0"/>
              <w:rPr>
                <w:sz w:val="20"/>
                <w:szCs w:val="20"/>
                <w:color w:val="auto"/>
              </w:rPr>
            </w:pPr>
            <w:r>
              <w:rPr>
                <w:rFonts w:ascii="Arial" w:cs="Arial" w:eastAsia="Arial" w:hAnsi="Arial"/>
                <w:sz w:val="18"/>
                <w:szCs w:val="18"/>
                <w:color w:val="auto"/>
              </w:rPr>
              <w:t>Adjustment for Other Distributions</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8960" w:type="dxa"/>
            <w:vAlign w:val="bottom"/>
          </w:tcPr>
          <w:p>
            <w:pPr>
              <w:spacing w:after="0"/>
              <w:rPr>
                <w:sz w:val="20"/>
                <w:szCs w:val="20"/>
                <w:color w:val="auto"/>
              </w:rPr>
            </w:pPr>
            <w:r>
              <w:rPr>
                <w:rFonts w:ascii="Arial" w:cs="Arial" w:eastAsia="Arial" w:hAnsi="Arial"/>
                <w:sz w:val="18"/>
                <w:szCs w:val="18"/>
                <w:color w:val="auto"/>
              </w:rPr>
              <w:t>Adjustment for Cash Dividends</w:t>
            </w: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8960" w:type="dxa"/>
            <w:vAlign w:val="bottom"/>
          </w:tcPr>
          <w:p>
            <w:pPr>
              <w:spacing w:after="0"/>
              <w:rPr>
                <w:sz w:val="20"/>
                <w:szCs w:val="20"/>
                <w:color w:val="auto"/>
              </w:rPr>
            </w:pPr>
            <w:r>
              <w:rPr>
                <w:rFonts w:ascii="Arial" w:cs="Arial" w:eastAsia="Arial" w:hAnsi="Arial"/>
                <w:sz w:val="18"/>
                <w:szCs w:val="18"/>
                <w:color w:val="auto"/>
              </w:rPr>
              <w:t>Adjustment for Tender Offer</w:t>
            </w: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8960" w:type="dxa"/>
            <w:vAlign w:val="bottom"/>
          </w:tcPr>
          <w:p>
            <w:pPr>
              <w:spacing w:after="0"/>
              <w:rPr>
                <w:sz w:val="20"/>
                <w:szCs w:val="20"/>
                <w:color w:val="auto"/>
              </w:rPr>
            </w:pPr>
            <w:r>
              <w:rPr>
                <w:rFonts w:ascii="Arial" w:cs="Arial" w:eastAsia="Arial" w:hAnsi="Arial"/>
                <w:sz w:val="18"/>
                <w:szCs w:val="18"/>
                <w:color w:val="auto"/>
              </w:rPr>
              <w:t>Provisions Governing Adjustment to Conversion Rate</w:t>
            </w: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8960" w:type="dxa"/>
            <w:vAlign w:val="bottom"/>
          </w:tcPr>
          <w:p>
            <w:pPr>
              <w:spacing w:after="0"/>
              <w:rPr>
                <w:sz w:val="20"/>
                <w:szCs w:val="20"/>
                <w:color w:val="auto"/>
              </w:rPr>
            </w:pPr>
            <w:r>
              <w:rPr>
                <w:rFonts w:ascii="Arial" w:cs="Arial" w:eastAsia="Arial" w:hAnsi="Arial"/>
                <w:sz w:val="18"/>
                <w:szCs w:val="18"/>
                <w:color w:val="auto"/>
              </w:rPr>
              <w:t>Disposition Events</w:t>
            </w: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8960" w:type="dxa"/>
            <w:vAlign w:val="bottom"/>
          </w:tcPr>
          <w:p>
            <w:pPr>
              <w:spacing w:after="0"/>
              <w:rPr>
                <w:sz w:val="20"/>
                <w:szCs w:val="20"/>
                <w:color w:val="auto"/>
              </w:rPr>
            </w:pPr>
            <w:r>
              <w:rPr>
                <w:rFonts w:ascii="Arial" w:cs="Arial" w:eastAsia="Arial" w:hAnsi="Arial"/>
                <w:sz w:val="18"/>
                <w:szCs w:val="18"/>
                <w:color w:val="auto"/>
              </w:rPr>
              <w:t>Adjustment to Conversion Rate Upon a Make-Whole Change in Control; Discretionary Adjustment</w:t>
            </w: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8960" w:type="dxa"/>
            <w:vAlign w:val="bottom"/>
          </w:tcPr>
          <w:p>
            <w:pPr>
              <w:spacing w:after="0"/>
              <w:rPr>
                <w:sz w:val="20"/>
                <w:szCs w:val="20"/>
                <w:color w:val="auto"/>
              </w:rPr>
            </w:pPr>
            <w:r>
              <w:rPr>
                <w:rFonts w:ascii="Arial" w:cs="Arial" w:eastAsia="Arial" w:hAnsi="Arial"/>
                <w:sz w:val="18"/>
                <w:szCs w:val="18"/>
                <w:color w:val="auto"/>
              </w:rPr>
              <w:t>When Adjustment May Be Deferred</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8960" w:type="dxa"/>
            <w:vAlign w:val="bottom"/>
          </w:tcPr>
          <w:p>
            <w:pPr>
              <w:spacing w:after="0"/>
              <w:rPr>
                <w:sz w:val="20"/>
                <w:szCs w:val="20"/>
                <w:color w:val="auto"/>
              </w:rPr>
            </w:pPr>
            <w:r>
              <w:rPr>
                <w:rFonts w:ascii="Arial" w:cs="Arial" w:eastAsia="Arial" w:hAnsi="Arial"/>
                <w:sz w:val="18"/>
                <w:szCs w:val="18"/>
                <w:color w:val="auto"/>
              </w:rPr>
              <w:t>When No Adjustment Required</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8960" w:type="dxa"/>
            <w:vAlign w:val="bottom"/>
          </w:tcPr>
          <w:p>
            <w:pPr>
              <w:spacing w:after="0"/>
              <w:rPr>
                <w:sz w:val="20"/>
                <w:szCs w:val="20"/>
                <w:color w:val="auto"/>
              </w:rPr>
            </w:pPr>
            <w:r>
              <w:rPr>
                <w:rFonts w:ascii="Arial" w:cs="Arial" w:eastAsia="Arial" w:hAnsi="Arial"/>
                <w:sz w:val="18"/>
                <w:szCs w:val="18"/>
                <w:color w:val="auto"/>
              </w:rPr>
              <w:t>Notice of Adjustment</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8960" w:type="dxa"/>
            <w:vAlign w:val="bottom"/>
          </w:tcPr>
          <w:p>
            <w:pPr>
              <w:spacing w:after="0"/>
              <w:rPr>
                <w:sz w:val="20"/>
                <w:szCs w:val="20"/>
                <w:color w:val="auto"/>
              </w:rPr>
            </w:pPr>
            <w:r>
              <w:rPr>
                <w:rFonts w:ascii="Arial" w:cs="Arial" w:eastAsia="Arial" w:hAnsi="Arial"/>
                <w:sz w:val="18"/>
                <w:szCs w:val="18"/>
                <w:color w:val="auto"/>
              </w:rPr>
              <w:t>Notice of Certain Transactions</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10.18.</w:t>
            </w:r>
          </w:p>
        </w:tc>
        <w:tc>
          <w:tcPr>
            <w:tcW w:w="8960" w:type="dxa"/>
            <w:vAlign w:val="bottom"/>
          </w:tcPr>
          <w:p>
            <w:pPr>
              <w:spacing w:after="0"/>
              <w:rPr>
                <w:sz w:val="20"/>
                <w:szCs w:val="20"/>
                <w:color w:val="auto"/>
              </w:rPr>
            </w:pPr>
            <w:r>
              <w:rPr>
                <w:rFonts w:ascii="Arial" w:cs="Arial" w:eastAsia="Arial" w:hAnsi="Arial"/>
                <w:sz w:val="18"/>
                <w:szCs w:val="18"/>
                <w:color w:val="auto"/>
              </w:rPr>
              <w:t>Right of Holders to Convert</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10.19.</w:t>
            </w:r>
          </w:p>
        </w:tc>
        <w:tc>
          <w:tcPr>
            <w:tcW w:w="8960" w:type="dxa"/>
            <w:vAlign w:val="bottom"/>
          </w:tcPr>
          <w:p>
            <w:pPr>
              <w:spacing w:after="0"/>
              <w:rPr>
                <w:sz w:val="20"/>
                <w:szCs w:val="20"/>
                <w:color w:val="auto"/>
              </w:rPr>
            </w:pPr>
            <w:r>
              <w:rPr>
                <w:rFonts w:ascii="Arial" w:cs="Arial" w:eastAsia="Arial" w:hAnsi="Arial"/>
                <w:sz w:val="18"/>
                <w:szCs w:val="18"/>
                <w:color w:val="auto"/>
              </w:rPr>
              <w:t>Company Determination Final</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10.20.</w:t>
            </w:r>
          </w:p>
        </w:tc>
        <w:tc>
          <w:tcPr>
            <w:tcW w:w="8960" w:type="dxa"/>
            <w:vAlign w:val="bottom"/>
          </w:tcPr>
          <w:p>
            <w:pPr>
              <w:spacing w:after="0"/>
              <w:rPr>
                <w:sz w:val="20"/>
                <w:szCs w:val="20"/>
                <w:color w:val="auto"/>
              </w:rPr>
            </w:pPr>
            <w:r>
              <w:rPr>
                <w:rFonts w:ascii="Arial" w:cs="Arial" w:eastAsia="Arial" w:hAnsi="Arial"/>
                <w:sz w:val="18"/>
                <w:szCs w:val="18"/>
                <w:color w:val="auto"/>
              </w:rPr>
              <w:t>Trustee’s Adjustment Disclaimer</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10.21.</w:t>
            </w:r>
          </w:p>
        </w:tc>
        <w:tc>
          <w:tcPr>
            <w:tcW w:w="8960" w:type="dxa"/>
            <w:vAlign w:val="bottom"/>
          </w:tcPr>
          <w:p>
            <w:pPr>
              <w:spacing w:after="0"/>
              <w:rPr>
                <w:sz w:val="20"/>
                <w:szCs w:val="20"/>
                <w:color w:val="auto"/>
              </w:rPr>
            </w:pPr>
            <w:r>
              <w:rPr>
                <w:rFonts w:ascii="Arial" w:cs="Arial" w:eastAsia="Arial" w:hAnsi="Arial"/>
                <w:sz w:val="18"/>
                <w:szCs w:val="18"/>
                <w:color w:val="auto"/>
              </w:rPr>
              <w:t>Simultaneous Adjustments</w:t>
            </w: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10.22.</w:t>
            </w:r>
          </w:p>
        </w:tc>
        <w:tc>
          <w:tcPr>
            <w:tcW w:w="8960" w:type="dxa"/>
            <w:vAlign w:val="bottom"/>
          </w:tcPr>
          <w:p>
            <w:pPr>
              <w:spacing w:after="0"/>
              <w:rPr>
                <w:sz w:val="20"/>
                <w:szCs w:val="20"/>
                <w:color w:val="auto"/>
              </w:rPr>
            </w:pPr>
            <w:r>
              <w:rPr>
                <w:rFonts w:ascii="Arial" w:cs="Arial" w:eastAsia="Arial" w:hAnsi="Arial"/>
                <w:sz w:val="18"/>
                <w:szCs w:val="18"/>
                <w:color w:val="auto"/>
              </w:rPr>
              <w:t>Successive Adjustments</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10.23.</w:t>
            </w:r>
          </w:p>
        </w:tc>
        <w:tc>
          <w:tcPr>
            <w:tcW w:w="8960" w:type="dxa"/>
            <w:vAlign w:val="bottom"/>
          </w:tcPr>
          <w:p>
            <w:pPr>
              <w:spacing w:after="0"/>
              <w:rPr>
                <w:sz w:val="20"/>
                <w:szCs w:val="20"/>
                <w:color w:val="auto"/>
              </w:rPr>
            </w:pPr>
            <w:r>
              <w:rPr>
                <w:rFonts w:ascii="Arial" w:cs="Arial" w:eastAsia="Arial" w:hAnsi="Arial"/>
                <w:sz w:val="18"/>
                <w:szCs w:val="18"/>
                <w:color w:val="auto"/>
              </w:rPr>
              <w:t>Rights Issued in Respect of Common Stock Issued Upon Conversion</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10.24.</w:t>
            </w:r>
          </w:p>
        </w:tc>
        <w:tc>
          <w:tcPr>
            <w:tcW w:w="8960" w:type="dxa"/>
            <w:vAlign w:val="bottom"/>
          </w:tcPr>
          <w:p>
            <w:pPr>
              <w:spacing w:after="0"/>
              <w:rPr>
                <w:sz w:val="20"/>
                <w:szCs w:val="20"/>
                <w:color w:val="auto"/>
              </w:rPr>
            </w:pPr>
            <w:r>
              <w:rPr>
                <w:rFonts w:ascii="Arial" w:cs="Arial" w:eastAsia="Arial" w:hAnsi="Arial"/>
                <w:sz w:val="18"/>
                <w:szCs w:val="18"/>
                <w:color w:val="auto"/>
              </w:rPr>
              <w:t>Withholding Taxes for Adjustments in Conversion Rate</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0"/>
                <w:szCs w:val="20"/>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w w:val="93"/>
              </w:rPr>
              <w:t>ARTICLE 11 Redemption</w:t>
            </w:r>
          </w:p>
        </w:tc>
        <w:tc>
          <w:tcPr>
            <w:tcW w:w="8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4"/>
                <w:szCs w:val="24"/>
                <w:color w:val="auto"/>
              </w:rPr>
            </w:pPr>
          </w:p>
        </w:tc>
      </w:tr>
      <w:tr>
        <w:trPr>
          <w:trHeight w:val="418"/>
        </w:trPr>
        <w:tc>
          <w:tcPr>
            <w:tcW w:w="192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8960" w:type="dxa"/>
            <w:vAlign w:val="bottom"/>
          </w:tcPr>
          <w:p>
            <w:pPr>
              <w:spacing w:after="0"/>
              <w:rPr>
                <w:sz w:val="20"/>
                <w:szCs w:val="20"/>
                <w:color w:val="auto"/>
              </w:rPr>
            </w:pPr>
            <w:r>
              <w:rPr>
                <w:rFonts w:ascii="Arial" w:cs="Arial" w:eastAsia="Arial" w:hAnsi="Arial"/>
                <w:sz w:val="18"/>
                <w:szCs w:val="18"/>
                <w:color w:val="auto"/>
              </w:rPr>
              <w:t>Right to Redeem; Notices to Trustee</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4"/>
                <w:szCs w:val="24"/>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8960" w:type="dxa"/>
            <w:vAlign w:val="bottom"/>
          </w:tcPr>
          <w:p>
            <w:pPr>
              <w:spacing w:after="0"/>
              <w:rPr>
                <w:sz w:val="20"/>
                <w:szCs w:val="20"/>
                <w:color w:val="auto"/>
              </w:rPr>
            </w:pPr>
            <w:r>
              <w:rPr>
                <w:rFonts w:ascii="Arial" w:cs="Arial" w:eastAsia="Arial" w:hAnsi="Arial"/>
                <w:sz w:val="18"/>
                <w:szCs w:val="18"/>
                <w:color w:val="auto"/>
              </w:rPr>
              <w:t>Selection of Notes to be Redeemed</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8960" w:type="dxa"/>
            <w:vAlign w:val="bottom"/>
          </w:tcPr>
          <w:p>
            <w:pPr>
              <w:spacing w:after="0"/>
              <w:rPr>
                <w:sz w:val="20"/>
                <w:szCs w:val="20"/>
                <w:color w:val="auto"/>
              </w:rPr>
            </w:pPr>
            <w:r>
              <w:rPr>
                <w:rFonts w:ascii="Arial" w:cs="Arial" w:eastAsia="Arial" w:hAnsi="Arial"/>
                <w:sz w:val="18"/>
                <w:szCs w:val="18"/>
                <w:color w:val="auto"/>
              </w:rPr>
              <w:t>Notice of Redemption</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8960" w:type="dxa"/>
            <w:vAlign w:val="bottom"/>
          </w:tcPr>
          <w:p>
            <w:pPr>
              <w:spacing w:after="0"/>
              <w:rPr>
                <w:sz w:val="20"/>
                <w:szCs w:val="20"/>
                <w:color w:val="auto"/>
              </w:rPr>
            </w:pPr>
            <w:r>
              <w:rPr>
                <w:rFonts w:ascii="Arial" w:cs="Arial" w:eastAsia="Arial" w:hAnsi="Arial"/>
                <w:sz w:val="18"/>
                <w:szCs w:val="18"/>
                <w:color w:val="auto"/>
              </w:rPr>
              <w:t>Effect of Notice of Redemption</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8960" w:type="dxa"/>
            <w:vAlign w:val="bottom"/>
          </w:tcPr>
          <w:p>
            <w:pPr>
              <w:spacing w:after="0"/>
              <w:rPr>
                <w:sz w:val="20"/>
                <w:szCs w:val="20"/>
                <w:color w:val="auto"/>
              </w:rPr>
            </w:pPr>
            <w:r>
              <w:rPr>
                <w:rFonts w:ascii="Arial" w:cs="Arial" w:eastAsia="Arial" w:hAnsi="Arial"/>
                <w:sz w:val="18"/>
                <w:szCs w:val="18"/>
                <w:color w:val="auto"/>
              </w:rPr>
              <w:t>Deposit of Redemption Price</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8960" w:type="dxa"/>
            <w:vAlign w:val="bottom"/>
          </w:tcPr>
          <w:p>
            <w:pPr>
              <w:spacing w:after="0"/>
              <w:rPr>
                <w:sz w:val="20"/>
                <w:szCs w:val="20"/>
                <w:color w:val="auto"/>
              </w:rPr>
            </w:pPr>
            <w:r>
              <w:rPr>
                <w:rFonts w:ascii="Arial" w:cs="Arial" w:eastAsia="Arial" w:hAnsi="Arial"/>
                <w:sz w:val="18"/>
                <w:szCs w:val="18"/>
                <w:color w:val="auto"/>
              </w:rPr>
              <w:t>Notes Redeemed in Part</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-5978525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-5978525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10880" w:type="dxa"/>
            <w:vAlign w:val="bottom"/>
            <w:gridSpan w:val="3"/>
          </w:tcPr>
          <w:p>
            <w:pPr>
              <w:spacing w:after="0"/>
              <w:rPr>
                <w:sz w:val="20"/>
                <w:szCs w:val="20"/>
                <w:color w:val="auto"/>
              </w:rPr>
            </w:pPr>
            <w:r>
              <w:rPr>
                <w:rFonts w:ascii="Arial" w:cs="Arial" w:eastAsia="Arial" w:hAnsi="Arial"/>
                <w:sz w:val="18"/>
                <w:szCs w:val="18"/>
                <w:color w:val="auto"/>
              </w:rPr>
              <w:t>ARTICLE 12 Payment of Interest</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0"/>
                <w:szCs w:val="20"/>
                <w:color w:val="auto"/>
              </w:rPr>
            </w:pPr>
          </w:p>
        </w:tc>
      </w:tr>
      <w:tr>
        <w:trPr>
          <w:trHeight w:val="432"/>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12.01.</w:t>
            </w:r>
          </w:p>
        </w:tc>
        <w:tc>
          <w:tcPr>
            <w:tcW w:w="9220" w:type="dxa"/>
            <w:vAlign w:val="bottom"/>
          </w:tcPr>
          <w:p>
            <w:pPr>
              <w:ind w:left="260"/>
              <w:spacing w:after="0"/>
              <w:rPr>
                <w:sz w:val="20"/>
                <w:szCs w:val="20"/>
                <w:color w:val="auto"/>
              </w:rPr>
            </w:pPr>
            <w:r>
              <w:rPr>
                <w:rFonts w:ascii="Arial" w:cs="Arial" w:eastAsia="Arial" w:hAnsi="Arial"/>
                <w:sz w:val="18"/>
                <w:szCs w:val="18"/>
                <w:color w:val="auto"/>
              </w:rPr>
              <w:t>Interest Payments</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4"/>
                <w:szCs w:val="24"/>
                <w:color w:val="auto"/>
              </w:rPr>
            </w:pPr>
          </w:p>
        </w:tc>
      </w:tr>
      <w:tr>
        <w:trPr>
          <w:trHeight w:val="702"/>
        </w:trPr>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20" w:type="dxa"/>
            <w:vAlign w:val="bottom"/>
          </w:tcPr>
          <w:p>
            <w:pPr>
              <w:ind w:left="4000"/>
              <w:spacing w:after="0"/>
              <w:rPr>
                <w:sz w:val="20"/>
                <w:szCs w:val="20"/>
                <w:color w:val="auto"/>
              </w:rPr>
            </w:pPr>
            <w:r>
              <w:rPr>
                <w:rFonts w:ascii="Arial" w:cs="Arial" w:eastAsia="Arial" w:hAnsi="Arial"/>
                <w:sz w:val="18"/>
                <w:szCs w:val="18"/>
                <w:color w:val="auto"/>
              </w:rPr>
              <w:t>v</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8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92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496"/>
        </w:trPr>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411"/>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12.02.</w:t>
            </w:r>
          </w:p>
        </w:tc>
        <w:tc>
          <w:tcPr>
            <w:tcW w:w="9220" w:type="dxa"/>
            <w:vAlign w:val="bottom"/>
          </w:tcPr>
          <w:p>
            <w:pPr>
              <w:ind w:left="260"/>
              <w:spacing w:after="0"/>
              <w:rPr>
                <w:sz w:val="20"/>
                <w:szCs w:val="20"/>
                <w:color w:val="auto"/>
              </w:rPr>
            </w:pPr>
            <w:r>
              <w:rPr>
                <w:rFonts w:ascii="Arial" w:cs="Arial" w:eastAsia="Arial" w:hAnsi="Arial"/>
                <w:sz w:val="18"/>
                <w:szCs w:val="18"/>
                <w:color w:val="auto"/>
              </w:rPr>
              <w:t>Defaulted Interest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4"/>
                <w:szCs w:val="24"/>
                <w:color w:val="auto"/>
              </w:rPr>
            </w:pPr>
          </w:p>
        </w:tc>
      </w:tr>
      <w:tr>
        <w:trPr>
          <w:trHeight w:val="230"/>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12.03.</w:t>
            </w:r>
          </w:p>
        </w:tc>
        <w:tc>
          <w:tcPr>
            <w:tcW w:w="9220" w:type="dxa"/>
            <w:vAlign w:val="bottom"/>
          </w:tcPr>
          <w:p>
            <w:pPr>
              <w:ind w:left="260"/>
              <w:spacing w:after="0"/>
              <w:rPr>
                <w:sz w:val="20"/>
                <w:szCs w:val="20"/>
                <w:color w:val="auto"/>
              </w:rPr>
            </w:pPr>
            <w:r>
              <w:rPr>
                <w:rFonts w:ascii="Arial" w:cs="Arial" w:eastAsia="Arial" w:hAnsi="Arial"/>
                <w:sz w:val="18"/>
                <w:szCs w:val="18"/>
                <w:color w:val="auto"/>
              </w:rPr>
              <w:t>Interest Rights Preserved</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r>
      <w:tr>
        <w:trPr>
          <w:trHeight w:val="432"/>
        </w:trPr>
        <w:tc>
          <w:tcPr>
            <w:tcW w:w="10880" w:type="dxa"/>
            <w:vAlign w:val="bottom"/>
            <w:gridSpan w:val="3"/>
          </w:tcPr>
          <w:p>
            <w:pPr>
              <w:spacing w:after="0"/>
              <w:rPr>
                <w:sz w:val="20"/>
                <w:szCs w:val="20"/>
                <w:color w:val="auto"/>
              </w:rPr>
            </w:pPr>
            <w:r>
              <w:rPr>
                <w:rFonts w:ascii="Arial" w:cs="Arial" w:eastAsia="Arial" w:hAnsi="Arial"/>
                <w:sz w:val="18"/>
                <w:szCs w:val="18"/>
                <w:color w:val="auto"/>
              </w:rPr>
              <w:t>ARTICLE 13 Miscellaneous</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r>
      <w:tr>
        <w:trPr>
          <w:trHeight w:val="418"/>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13.01.</w:t>
            </w:r>
          </w:p>
        </w:tc>
        <w:tc>
          <w:tcPr>
            <w:tcW w:w="9220" w:type="dxa"/>
            <w:vAlign w:val="bottom"/>
          </w:tcPr>
          <w:p>
            <w:pPr>
              <w:ind w:left="260"/>
              <w:spacing w:after="0"/>
              <w:rPr>
                <w:sz w:val="20"/>
                <w:szCs w:val="20"/>
                <w:color w:val="auto"/>
              </w:rPr>
            </w:pPr>
            <w:r>
              <w:rPr>
                <w:rFonts w:ascii="Arial" w:cs="Arial" w:eastAsia="Arial" w:hAnsi="Arial"/>
                <w:sz w:val="18"/>
                <w:szCs w:val="18"/>
                <w:color w:val="auto"/>
              </w:rPr>
              <w:t>Trust Indenture Act of 1939</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13.02.</w:t>
            </w:r>
          </w:p>
        </w:tc>
        <w:tc>
          <w:tcPr>
            <w:tcW w:w="9220" w:type="dxa"/>
            <w:vAlign w:val="bottom"/>
          </w:tcPr>
          <w:p>
            <w:pPr>
              <w:ind w:left="260"/>
              <w:spacing w:after="0"/>
              <w:rPr>
                <w:sz w:val="20"/>
                <w:szCs w:val="20"/>
                <w:color w:val="auto"/>
              </w:rPr>
            </w:pPr>
            <w:r>
              <w:rPr>
                <w:rFonts w:ascii="Arial" w:cs="Arial" w:eastAsia="Arial" w:hAnsi="Arial"/>
                <w:sz w:val="18"/>
                <w:szCs w:val="18"/>
                <w:color w:val="auto"/>
              </w:rPr>
              <w:t>Noteholder Communications; Noteholder Actions</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13.03.</w:t>
            </w:r>
          </w:p>
        </w:tc>
        <w:tc>
          <w:tcPr>
            <w:tcW w:w="9220" w:type="dxa"/>
            <w:vAlign w:val="bottom"/>
          </w:tcPr>
          <w:p>
            <w:pPr>
              <w:ind w:left="260"/>
              <w:spacing w:after="0"/>
              <w:rPr>
                <w:sz w:val="20"/>
                <w:szCs w:val="20"/>
                <w:color w:val="auto"/>
              </w:rPr>
            </w:pPr>
            <w:r>
              <w:rPr>
                <w:rFonts w:ascii="Arial" w:cs="Arial" w:eastAsia="Arial" w:hAnsi="Arial"/>
                <w:sz w:val="18"/>
                <w:szCs w:val="18"/>
                <w:color w:val="auto"/>
              </w:rPr>
              <w:t>Notices</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13.04.</w:t>
            </w:r>
          </w:p>
        </w:tc>
        <w:tc>
          <w:tcPr>
            <w:tcW w:w="9220" w:type="dxa"/>
            <w:vAlign w:val="bottom"/>
          </w:tcPr>
          <w:p>
            <w:pPr>
              <w:ind w:left="260"/>
              <w:spacing w:after="0"/>
              <w:rPr>
                <w:sz w:val="20"/>
                <w:szCs w:val="20"/>
                <w:color w:val="auto"/>
              </w:rPr>
            </w:pPr>
            <w:r>
              <w:rPr>
                <w:rFonts w:ascii="Arial" w:cs="Arial" w:eastAsia="Arial" w:hAnsi="Arial"/>
                <w:sz w:val="18"/>
                <w:szCs w:val="18"/>
                <w:color w:val="auto"/>
              </w:rPr>
              <w:t>Communication by Holders with Other Holders</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13.05.</w:t>
            </w:r>
          </w:p>
        </w:tc>
        <w:tc>
          <w:tcPr>
            <w:tcW w:w="9220" w:type="dxa"/>
            <w:vAlign w:val="bottom"/>
          </w:tcPr>
          <w:p>
            <w:pPr>
              <w:ind w:left="260"/>
              <w:spacing w:after="0"/>
              <w:rPr>
                <w:sz w:val="20"/>
                <w:szCs w:val="20"/>
                <w:color w:val="auto"/>
              </w:rPr>
            </w:pPr>
            <w:r>
              <w:rPr>
                <w:rFonts w:ascii="Arial" w:cs="Arial" w:eastAsia="Arial" w:hAnsi="Arial"/>
                <w:sz w:val="18"/>
                <w:szCs w:val="18"/>
                <w:color w:val="auto"/>
              </w:rPr>
              <w:t>Certificate and Opinion as to Conditions Precedent</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13.06.</w:t>
            </w:r>
          </w:p>
        </w:tc>
        <w:tc>
          <w:tcPr>
            <w:tcW w:w="9220" w:type="dxa"/>
            <w:vAlign w:val="bottom"/>
          </w:tcPr>
          <w:p>
            <w:pPr>
              <w:ind w:left="260"/>
              <w:spacing w:after="0"/>
              <w:rPr>
                <w:sz w:val="20"/>
                <w:szCs w:val="20"/>
                <w:color w:val="auto"/>
              </w:rPr>
            </w:pPr>
            <w:r>
              <w:rPr>
                <w:rFonts w:ascii="Arial" w:cs="Arial" w:eastAsia="Arial" w:hAnsi="Arial"/>
                <w:sz w:val="18"/>
                <w:szCs w:val="18"/>
                <w:color w:val="auto"/>
              </w:rPr>
              <w:t>Statements Required in Certificate or Opinion</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13.07.</w:t>
            </w:r>
          </w:p>
        </w:tc>
        <w:tc>
          <w:tcPr>
            <w:tcW w:w="9220" w:type="dxa"/>
            <w:vAlign w:val="bottom"/>
          </w:tcPr>
          <w:p>
            <w:pPr>
              <w:ind w:left="260"/>
              <w:spacing w:after="0"/>
              <w:rPr>
                <w:sz w:val="20"/>
                <w:szCs w:val="20"/>
                <w:color w:val="auto"/>
              </w:rPr>
            </w:pPr>
            <w:r>
              <w:rPr>
                <w:rFonts w:ascii="Arial" w:cs="Arial" w:eastAsia="Arial" w:hAnsi="Arial"/>
                <w:sz w:val="18"/>
                <w:szCs w:val="18"/>
                <w:color w:val="auto"/>
              </w:rPr>
              <w:t>Legal Holiday</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13.08.</w:t>
            </w:r>
          </w:p>
        </w:tc>
        <w:tc>
          <w:tcPr>
            <w:tcW w:w="9220" w:type="dxa"/>
            <w:vAlign w:val="bottom"/>
          </w:tcPr>
          <w:p>
            <w:pPr>
              <w:ind w:left="260"/>
              <w:spacing w:after="0"/>
              <w:rPr>
                <w:sz w:val="20"/>
                <w:szCs w:val="20"/>
                <w:color w:val="auto"/>
              </w:rPr>
            </w:pPr>
            <w:r>
              <w:rPr>
                <w:rFonts w:ascii="Arial" w:cs="Arial" w:eastAsia="Arial" w:hAnsi="Arial"/>
                <w:sz w:val="18"/>
                <w:szCs w:val="18"/>
                <w:color w:val="auto"/>
              </w:rPr>
              <w:t>Rules by Trustee, Paying Agent, Conversion Agent and Registrar</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13.09.</w:t>
            </w:r>
          </w:p>
        </w:tc>
        <w:tc>
          <w:tcPr>
            <w:tcW w:w="922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13.10.</w:t>
            </w:r>
          </w:p>
        </w:tc>
        <w:tc>
          <w:tcPr>
            <w:tcW w:w="9220" w:type="dxa"/>
            <w:vAlign w:val="bottom"/>
          </w:tcPr>
          <w:p>
            <w:pPr>
              <w:ind w:left="260"/>
              <w:spacing w:after="0"/>
              <w:rPr>
                <w:sz w:val="20"/>
                <w:szCs w:val="20"/>
                <w:color w:val="auto"/>
              </w:rPr>
            </w:pPr>
            <w:r>
              <w:rPr>
                <w:rFonts w:ascii="Arial" w:cs="Arial" w:eastAsia="Arial" w:hAnsi="Arial"/>
                <w:sz w:val="18"/>
                <w:szCs w:val="18"/>
                <w:color w:val="auto"/>
              </w:rPr>
              <w:t>No Adverse Interpretation of Other Agreements</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13.11.</w:t>
            </w:r>
          </w:p>
        </w:tc>
        <w:tc>
          <w:tcPr>
            <w:tcW w:w="9220" w:type="dxa"/>
            <w:vAlign w:val="bottom"/>
          </w:tcPr>
          <w:p>
            <w:pPr>
              <w:ind w:left="260"/>
              <w:spacing w:after="0"/>
              <w:rPr>
                <w:sz w:val="20"/>
                <w:szCs w:val="20"/>
                <w:color w:val="auto"/>
              </w:rPr>
            </w:pPr>
            <w:r>
              <w:rPr>
                <w:rFonts w:ascii="Arial" w:cs="Arial" w:eastAsia="Arial" w:hAnsi="Arial"/>
                <w:sz w:val="18"/>
                <w:szCs w:val="18"/>
                <w:color w:val="auto"/>
              </w:rPr>
              <w:t>Successors</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13.12.</w:t>
            </w:r>
          </w:p>
        </w:tc>
        <w:tc>
          <w:tcPr>
            <w:tcW w:w="922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13.13.</w:t>
            </w:r>
          </w:p>
        </w:tc>
        <w:tc>
          <w:tcPr>
            <w:tcW w:w="922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13.14.</w:t>
            </w:r>
          </w:p>
        </w:tc>
        <w:tc>
          <w:tcPr>
            <w:tcW w:w="9220" w:type="dxa"/>
            <w:vAlign w:val="bottom"/>
          </w:tcPr>
          <w:p>
            <w:pPr>
              <w:ind w:left="260"/>
              <w:spacing w:after="0"/>
              <w:rPr>
                <w:sz w:val="20"/>
                <w:szCs w:val="20"/>
                <w:color w:val="auto"/>
              </w:rPr>
            </w:pPr>
            <w:r>
              <w:rPr>
                <w:rFonts w:ascii="Arial" w:cs="Arial" w:eastAsia="Arial" w:hAnsi="Arial"/>
                <w:sz w:val="18"/>
                <w:szCs w:val="18"/>
                <w:color w:val="auto"/>
              </w:rPr>
              <w:t>Table of Contents and Headings</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r>
      <w:tr>
        <w:trPr>
          <w:trHeight w:val="230"/>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Section 13.15.</w:t>
            </w:r>
          </w:p>
        </w:tc>
        <w:tc>
          <w:tcPr>
            <w:tcW w:w="9220" w:type="dxa"/>
            <w:vAlign w:val="bottom"/>
          </w:tcPr>
          <w:p>
            <w:pPr>
              <w:ind w:left="260"/>
              <w:spacing w:after="0"/>
              <w:rPr>
                <w:sz w:val="20"/>
                <w:szCs w:val="20"/>
                <w:color w:val="auto"/>
              </w:rPr>
            </w:pPr>
            <w:r>
              <w:rPr>
                <w:rFonts w:ascii="Arial" w:cs="Arial" w:eastAsia="Arial" w:hAnsi="Arial"/>
                <w:sz w:val="18"/>
                <w:szCs w:val="18"/>
                <w:color w:val="auto"/>
              </w:rPr>
              <w:t>No Liability of Directors, Officers, Employees, Incorporators, Members and Stockholders</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0"/>
                <w:szCs w:val="20"/>
                <w:color w:val="auto"/>
              </w:rPr>
            </w:pP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EXHIBIT A</w:t>
            </w:r>
          </w:p>
        </w:tc>
        <w:tc>
          <w:tcPr>
            <w:tcW w:w="9220" w:type="dxa"/>
            <w:vAlign w:val="bottom"/>
          </w:tcPr>
          <w:p>
            <w:pPr>
              <w:ind w:left="800"/>
              <w:spacing w:after="0"/>
              <w:rPr>
                <w:sz w:val="20"/>
                <w:szCs w:val="20"/>
                <w:color w:val="auto"/>
              </w:rPr>
            </w:pPr>
            <w:r>
              <w:rPr>
                <w:rFonts w:ascii="Arial" w:cs="Arial" w:eastAsia="Arial" w:hAnsi="Arial"/>
                <w:sz w:val="18"/>
                <w:szCs w:val="18"/>
                <w:i w:val="1"/>
                <w:iCs w:val="1"/>
                <w:color w:val="auto"/>
              </w:rPr>
              <w:t>Form of Note</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EXHIBIT B</w:t>
            </w:r>
          </w:p>
        </w:tc>
        <w:tc>
          <w:tcPr>
            <w:tcW w:w="9220" w:type="dxa"/>
            <w:vAlign w:val="bottom"/>
          </w:tcPr>
          <w:p>
            <w:pPr>
              <w:ind w:left="800"/>
              <w:spacing w:after="0"/>
              <w:rPr>
                <w:sz w:val="20"/>
                <w:szCs w:val="20"/>
                <w:color w:val="auto"/>
              </w:rPr>
            </w:pPr>
            <w:r>
              <w:rPr>
                <w:rFonts w:ascii="Arial" w:cs="Arial" w:eastAsia="Arial" w:hAnsi="Arial"/>
                <w:sz w:val="18"/>
                <w:szCs w:val="18"/>
                <w:i w:val="1"/>
                <w:iCs w:val="1"/>
                <w:color w:val="auto"/>
              </w:rPr>
              <w:t>DTC Legend</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-3920490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-3920490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INDENTURE dated as of May 23, 2007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duly authorized the execution and delivery of this Indenture to provide for the issuance of $1,135,000,000 (or up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$1,300,000,000 to the extent the Underwriters exercise their over-allotment option under the Underwriting Agreement in full)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1.875% Convertible Senior Notes due June 1, 2014 (the “</w:t>
      </w:r>
      <w:r>
        <w:rPr>
          <w:rFonts w:ascii="Arial" w:cs="Arial" w:eastAsia="Arial" w:hAnsi="Arial"/>
          <w:sz w:val="17"/>
          <w:szCs w:val="17"/>
          <w:b w:val="1"/>
          <w:bCs w:val="1"/>
          <w:color w:val="auto"/>
        </w:rPr>
        <w:t>Notes</w:t>
      </w:r>
      <w:r>
        <w:rPr>
          <w:rFonts w:ascii="Arial" w:cs="Arial" w:eastAsia="Arial" w:hAnsi="Arial"/>
          <w:sz w:val="17"/>
          <w:szCs w:val="17"/>
          <w:color w:val="auto"/>
        </w:rPr>
        <w:t>”). All things necessary to make this Indenture a valid agreement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in accordance with its terms, have been done, and the Company has done all things necessary to make the Notes, when executed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authenticated and delivered by the Trustee and duly issued by the Company, the valid obligations of the Company as hereinafter provided.</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Indenture is subject to, and will be governed by, the provisions of the Trust Indenture Act that are required to be a part of and govern indentures qualified under the Trust Indenture Act.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1" w:lineRule="exact"/>
        <w:rPr>
          <w:sz w:val="20"/>
          <w:szCs w:val="20"/>
          <w:color w:val="auto"/>
        </w:rPr>
      </w:pPr>
    </w:p>
    <w:p>
      <w:pPr>
        <w:ind w:right="6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Notes</w:t>
      </w:r>
      <w:r>
        <w:rPr>
          <w:rFonts w:ascii="Arial" w:cs="Arial" w:eastAsia="Arial" w:hAnsi="Arial"/>
          <w:sz w:val="16"/>
          <w:szCs w:val="16"/>
          <w:color w:val="auto"/>
        </w:rPr>
        <w:t>” means the $165,000,000 aggregate principal amount of Notes issued under this Indenture as a result of the Underwriters exercise of their over-allotment option under the Underwriting Agreement. The Additional Notes shall have the same terms as the Initial Notes.</w:t>
      </w:r>
    </w:p>
    <w:p>
      <w:pPr>
        <w:spacing w:after="0" w:line="116"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ectPr>
          <w:pgSz w:w="11900" w:h="16838" w:orient="portrait"/>
          <w:cols w:equalWidth="0" w:num="1">
            <w:col w:w="11460"/>
          </w:cols>
          <w:pgMar w:left="240" w:top="125" w:right="199" w:bottom="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25"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w:t>
      </w:r>
    </w:p>
    <w:p>
      <w:pPr>
        <w:spacing w:after="0" w:line="24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resolution duly adopted by the Board of Directors which is certified by the Secretary or an Assistant Secretary of the Company and remains in full force and effect as of the date of its certification.</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the place of payment are authorized or obligated to close.</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 Averaging Period</w:t>
      </w:r>
      <w:r>
        <w:rPr>
          <w:rFonts w:ascii="Arial" w:cs="Arial" w:eastAsia="Arial" w:hAnsi="Arial"/>
          <w:sz w:val="18"/>
          <w:szCs w:val="18"/>
          <w:color w:val="auto"/>
        </w:rPr>
        <w:t>” means (a) with respect to any Conversion Date occurring on or after the 24th Scheduled Trading Day immediately preceding the Maturity Date, the twenty (20) consecutive Trading Day period ending on, and including, the third Scheduled Trading Day immediately preceding the Maturity Date and (b) in all other cases, the twenty (20) consecutive Trading Day period beginning on, and including, the third Trading Day immediately following the relevant Conversion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have the meaning set forth in Section 3.01(a)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 of Common Stock or any other security on any date means the closing sale price per share (or, if no closing sale price is reported, the average of the last bid and last ask prices or, if more than one in either case, the average of the average bid and the average ask prices) on that date as reported in composite transactions for the principal U.S. securities exchange on which</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Common Stock or such other security is traded.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89"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74"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Value</w:t>
      </w:r>
      <w:r>
        <w:rPr>
          <w:rFonts w:ascii="Arial" w:cs="Arial" w:eastAsia="Arial" w:hAnsi="Arial"/>
          <w:sz w:val="16"/>
          <w:szCs w:val="16"/>
          <w:color w:val="auto"/>
        </w:rPr>
        <w:t xml:space="preserve">” means the product of (a) the Conversion Rate on the first Trading Day of the Cash Settlement Averaging Period </w:t>
      </w:r>
      <w:r>
        <w:rPr>
          <w:rFonts w:ascii="Arial" w:cs="Arial" w:eastAsia="Arial" w:hAnsi="Arial"/>
          <w:sz w:val="16"/>
          <w:szCs w:val="16"/>
          <w:i w:val="1"/>
          <w:iCs w:val="1"/>
          <w:color w:val="auto"/>
        </w:rPr>
        <w:t>multiplied by</w:t>
      </w:r>
    </w:p>
    <w:p>
      <w:pPr>
        <w:spacing w:after="0" w:line="50" w:lineRule="exact"/>
        <w:rPr>
          <w:sz w:val="20"/>
          <w:szCs w:val="20"/>
          <w:color w:val="auto"/>
        </w:rPr>
      </w:pPr>
    </w:p>
    <w:p>
      <w:pPr>
        <w:ind w:right="380" w:firstLine="8"/>
        <w:spacing w:after="0" w:line="253"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average of the Volume Weighted Average Prices per share of Common Stock on each of the Trading Days during the applicable Cash Settlement Averaging Period. The “Conversion Rate on the first Trading Day of the Cash Settlement Averaging Period,” as such term is used in the immediately preceding sentence, shall be appropriately adjusted to take into account the occurrence on or before the relevant Trading Day in the applicable Cash Settlement Averaging Period of any event that would require an adjustment to the applicable Conversion Rate pursuant to Sections 10.06 to 10.10 of this Indenture.</w:t>
      </w:r>
    </w:p>
    <w:p>
      <w:pPr>
        <w:sectPr>
          <w:pgSz w:w="11900" w:h="16838" w:orient="portrait"/>
          <w:cols w:equalWidth="0" w:num="1">
            <w:col w:w="11380"/>
          </w:cols>
          <w:pgMar w:left="240" w:top="121" w:right="279" w:bottom="0" w:gutter="0" w:footer="0" w:header="0"/>
        </w:sectPr>
      </w:pPr>
    </w:p>
    <w:bookmarkStart w:id="19" w:name="page20"/>
    <w:bookmarkEnd w:id="19"/>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is principally administered, which at the date of this Indenture is located at Sixth and Marquette, MAC N9303-120, Minneapolis, Minnesota 55479.</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Share Amount</w:t>
      </w:r>
      <w:r>
        <w:rPr>
          <w:rFonts w:ascii="Arial" w:cs="Arial" w:eastAsia="Arial" w:hAnsi="Arial"/>
          <w:sz w:val="16"/>
          <w:szCs w:val="16"/>
          <w:color w:val="auto"/>
        </w:rPr>
        <w:t>” means, for each Trading Day of the Cash Settlement Averaging Period and each $1,000 principal amount of Notes surrendered for conversion, a number of shares of Common Stock (but in no event less than zero) determined pursuant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485005" cy="557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85005" cy="557530"/>
                    </a:xfrm>
                    <a:prstGeom prst="rect">
                      <a:avLst/>
                    </a:prstGeom>
                    <a:noFill/>
                  </pic:spPr>
                </pic:pic>
              </a:graphicData>
            </a:graphic>
          </wp:anchor>
        </w:drawing>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8"/>
              </w:rPr>
              <w:t>Volume Weighted Average</w:t>
            </w:r>
          </w:p>
        </w:tc>
        <w:tc>
          <w:tcPr>
            <w:tcW w:w="460" w:type="dxa"/>
            <w:vAlign w:val="bottom"/>
          </w:tcPr>
          <w:p>
            <w:pPr>
              <w:spacing w:after="0"/>
              <w:rPr>
                <w:sz w:val="18"/>
                <w:szCs w:val="18"/>
                <w:color w:val="auto"/>
              </w:rPr>
            </w:pPr>
          </w:p>
        </w:tc>
        <w:tc>
          <w:tcPr>
            <w:tcW w:w="1780" w:type="dxa"/>
            <w:vAlign w:val="bottom"/>
          </w:tcPr>
          <w:p>
            <w:pPr>
              <w:jc w:val="center"/>
              <w:ind w:right="170"/>
              <w:spacing w:after="0"/>
              <w:rPr>
                <w:sz w:val="20"/>
                <w:szCs w:val="20"/>
                <w:color w:val="auto"/>
              </w:rPr>
            </w:pPr>
            <w:r>
              <w:rPr>
                <w:rFonts w:ascii="Arial" w:cs="Arial" w:eastAsia="Arial" w:hAnsi="Arial"/>
                <w:sz w:val="18"/>
                <w:szCs w:val="18"/>
                <w:color w:val="auto"/>
                <w:w w:val="89"/>
              </w:rPr>
              <w:t>Conversion Rate</w:t>
            </w:r>
          </w:p>
        </w:tc>
        <w:tc>
          <w:tcPr>
            <w:tcW w:w="780" w:type="dxa"/>
            <w:vAlign w:val="bottom"/>
          </w:tcPr>
          <w:p>
            <w:pPr>
              <w:spacing w:after="0"/>
              <w:rPr>
                <w:sz w:val="18"/>
                <w:szCs w:val="18"/>
                <w:color w:val="auto"/>
              </w:rPr>
            </w:pPr>
          </w:p>
        </w:tc>
        <w:tc>
          <w:tcPr>
            <w:tcW w:w="860" w:type="dxa"/>
            <w:vAlign w:val="bottom"/>
          </w:tcPr>
          <w:p>
            <w:pPr>
              <w:jc w:val="center"/>
              <w:ind w:left="90"/>
              <w:spacing w:after="0"/>
              <w:rPr>
                <w:sz w:val="20"/>
                <w:szCs w:val="20"/>
                <w:color w:val="auto"/>
              </w:rPr>
            </w:pPr>
            <w:r>
              <w:rPr>
                <w:rFonts w:ascii="Arial" w:cs="Arial" w:eastAsia="Arial" w:hAnsi="Arial"/>
                <w:sz w:val="18"/>
                <w:szCs w:val="18"/>
                <w:color w:val="auto"/>
                <w:w w:val="91"/>
              </w:rPr>
              <w:t>Specified</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7"/>
              </w:rPr>
              <w:t>Price per share of common</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tcPr>
          <w:p>
            <w:pPr>
              <w:jc w:val="center"/>
              <w:ind w:right="170"/>
              <w:spacing w:after="0"/>
              <w:rPr>
                <w:sz w:val="20"/>
                <w:szCs w:val="20"/>
                <w:color w:val="auto"/>
              </w:rPr>
            </w:pPr>
            <w:r>
              <w:rPr>
                <w:rFonts w:ascii="Arial" w:cs="Arial" w:eastAsia="Arial" w:hAnsi="Arial"/>
                <w:sz w:val="18"/>
                <w:szCs w:val="18"/>
                <w:color w:val="auto"/>
                <w:w w:val="91"/>
              </w:rPr>
              <w:t>in effect on the</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90"/>
              <w:spacing w:after="0"/>
              <w:rPr>
                <w:sz w:val="20"/>
                <w:szCs w:val="20"/>
                <w:color w:val="auto"/>
              </w:rPr>
            </w:pPr>
            <w:r>
              <w:rPr>
                <w:rFonts w:ascii="Arial" w:cs="Arial" w:eastAsia="Arial" w:hAnsi="Arial"/>
                <w:sz w:val="18"/>
                <w:szCs w:val="18"/>
                <w:color w:val="auto"/>
                <w:w w:val="85"/>
              </w:rPr>
              <w:t>Cash</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w w:val="98"/>
              </w:rPr>
              <w:t>stock on such Trading Day</w:t>
            </w:r>
          </w:p>
        </w:tc>
        <w:tc>
          <w:tcPr>
            <w:tcW w:w="460" w:type="dxa"/>
            <w:vAlign w:val="bottom"/>
          </w:tcPr>
          <w:p>
            <w:pPr>
              <w:spacing w:after="0"/>
              <w:rPr>
                <w:sz w:val="20"/>
                <w:szCs w:val="20"/>
                <w:color w:val="auto"/>
              </w:rPr>
            </w:pPr>
          </w:p>
        </w:tc>
        <w:tc>
          <w:tcPr>
            <w:tcW w:w="1780" w:type="dxa"/>
            <w:vAlign w:val="bottom"/>
          </w:tcPr>
          <w:p>
            <w:pPr>
              <w:jc w:val="center"/>
              <w:ind w:right="150"/>
              <w:spacing w:after="0"/>
              <w:rPr>
                <w:sz w:val="20"/>
                <w:szCs w:val="20"/>
                <w:color w:val="auto"/>
              </w:rPr>
            </w:pPr>
            <w:r>
              <w:rPr>
                <w:rFonts w:ascii="Arial" w:cs="Arial" w:eastAsia="Arial" w:hAnsi="Arial"/>
                <w:sz w:val="18"/>
                <w:szCs w:val="18"/>
                <w:color w:val="auto"/>
                <w:w w:val="90"/>
              </w:rPr>
              <w:t>Conversion Date</w:t>
            </w:r>
          </w:p>
        </w:tc>
        <w:tc>
          <w:tcPr>
            <w:tcW w:w="780" w:type="dxa"/>
            <w:vAlign w:val="bottom"/>
          </w:tcPr>
          <w:p>
            <w:pPr>
              <w:spacing w:after="0"/>
              <w:rPr>
                <w:sz w:val="20"/>
                <w:szCs w:val="20"/>
                <w:color w:val="auto"/>
              </w:rPr>
            </w:pP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93"/>
              </w:rPr>
              <w:t>Amount</w:t>
            </w:r>
          </w:p>
        </w:tc>
      </w:tr>
    </w:tbl>
    <w:p>
      <w:pPr>
        <w:spacing w:after="0" w:line="215"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color w:val="auto"/>
                <w:w w:val="89"/>
              </w:rPr>
              <w:t>Volume Weighted Average Price per share</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22"/>
        </w:trPr>
        <w:tc>
          <w:tcPr>
            <w:tcW w:w="3460" w:type="dxa"/>
            <w:vAlign w:val="bottom"/>
            <w:vMerge w:val="restart"/>
          </w:tcPr>
          <w:p>
            <w:pPr>
              <w:jc w:val="center"/>
              <w:ind w:right="330"/>
              <w:spacing w:after="0"/>
              <w:rPr>
                <w:sz w:val="20"/>
                <w:szCs w:val="20"/>
                <w:color w:val="auto"/>
              </w:rPr>
            </w:pPr>
            <w:r>
              <w:rPr>
                <w:rFonts w:ascii="Arial" w:cs="Arial" w:eastAsia="Arial" w:hAnsi="Arial"/>
                <w:sz w:val="18"/>
                <w:szCs w:val="18"/>
                <w:color w:val="auto"/>
                <w:w w:val="91"/>
              </w:rPr>
              <w:t>of Common Stock on such Trading Day</w:t>
            </w:r>
          </w:p>
        </w:tc>
        <w:tc>
          <w:tcPr>
            <w:tcW w:w="7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“Conversion Rate in effect on the Conversion Date,” as such term is used in the formula set forth above, shall be appropriately adjusted to take into account the occurrence on or before the relevant Trading Day of any event that would require an adjustment to the applicable Conversion Rate pursuant to Sections 10.06 to 10.10 of this Indenture.</w:t>
      </w:r>
    </w:p>
    <w:p>
      <w:pPr>
        <w:spacing w:after="0" w:line="177"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 all obligations of such Person for borrowed money (other than non-recourse obligations); and (b) all obligations of such Person evidenced by bonds, debentures, notes or other similar instruments.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Noteholder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Notes</w:t>
      </w:r>
      <w:r>
        <w:rPr>
          <w:rFonts w:ascii="Arial" w:cs="Arial" w:eastAsia="Arial" w:hAnsi="Arial"/>
          <w:sz w:val="17"/>
          <w:szCs w:val="17"/>
          <w:color w:val="auto"/>
        </w:rPr>
        <w:t>” means the Notes, other than any Additional Notes, issued on the date hereof and any Notes issued in replacement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June 1 and December 1 of each year, commencing December 1, 2007.</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Common Stock or any other security, the occurrence or existence for more than one-half hour period in the aggregate on any scheduled Trading Day for Common Stock or such other security of any suspension or limitation imposed on trading (by reason of movements in price exceeding limits permitted by the stock exchange or otherwise) in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June 1,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62"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ectPr>
          <w:pgSz w:w="11900" w:h="16838" w:orient="portrait"/>
          <w:cols w:equalWidth="0" w:num="1">
            <w:col w:w="11300"/>
          </w:cols>
          <w:pgMar w:left="240" w:top="121" w:right="359" w:bottom="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signed by legal counsel, who may be an employee of or counsel to the Company, satisfactory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2"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dated May 17, 2007 relating to the offering and sale of the Notes.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means the May 15 or November 15 next preceding such Interest Payment Date.</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w:t>
      </w:r>
    </w:p>
    <w:p>
      <w:pPr>
        <w:spacing w:after="0" w:line="225" w:lineRule="exact"/>
        <w:rPr>
          <w:sz w:val="20"/>
          <w:szCs w:val="20"/>
          <w:color w:val="auto"/>
        </w:rPr>
      </w:pPr>
    </w:p>
    <w:p>
      <w:pPr>
        <w:ind w:right="3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5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Company’s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176"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xml:space="preserve">” means, with respect to Common Stock or any other security, a day during which (a) trading in Common Stock or such other security generally occurs, (b) there is no Market Disruption Event and (c) a Closing Price for Common Stock or such other security (other than a Closing Price referred to in the next to last sentence of such definition) is available for such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Common Stock or such other security is not admitted for trading or quotation on or by any exchange, bureau or other organization, Trading Day will mean any Business Day.</w:t>
      </w:r>
    </w:p>
    <w:p>
      <w:pPr>
        <w:spacing w:after="0" w:line="165"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Price</w:t>
      </w:r>
      <w:r>
        <w:rPr>
          <w:rFonts w:ascii="Arial" w:cs="Arial" w:eastAsia="Arial" w:hAnsi="Arial"/>
          <w:sz w:val="17"/>
          <w:szCs w:val="17"/>
          <w:color w:val="auto"/>
        </w:rPr>
        <w:t xml:space="preserve">” means, on any date of determination, the average of the secondary market bid quotations obtained by the Trustee for $5.0 million principal amount of the Notes, at approximately 3:30 p.m., New York City time, on such determination date from three independent U.S. nationally recognized securities dealers selected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If the Trustee cannot reasonably obtain at least one bid for $5.0 million principal amount of the Notes from a U.S. nationally recognized securities dealer, then the Trading Price per $1,000 principal amount of the Notes will be deemed to be less than 98% of the product 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Closing Price of Common Stock on such date of determination and the then Applicable Conversion Rate for the Notes.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means Morgan Stanley &amp; Co. Incorporated, Credit Suisse Securities (USA) LLC and Lehman Brothers Inc.</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dated as of May 17, 2007 among the Company and the Underwriters relating to the purchase of the Notes by the Underwriters.</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Volume Weighted Average Price</w:t>
      </w:r>
      <w:r>
        <w:rPr>
          <w:rFonts w:ascii="Arial" w:cs="Arial" w:eastAsia="Arial" w:hAnsi="Arial"/>
          <w:sz w:val="18"/>
          <w:szCs w:val="18"/>
          <w:color w:val="auto"/>
        </w:rPr>
        <w:t>” per share of Common Stock on any Trading Day means such price as displayed on Bloomberg (or any successor service) page MU.N &lt;equity&gt; VAP in respect of the period from 9:30 a.m. to 4:00 p.m., New York City time, on such Trading Day. If such price is not available, the Volume Weighted Average Price means the market value per share of Common Stock on such day as determined by a nationally recognized independent investment banking firm retained for this purpose by the Company.</w:t>
      </w:r>
    </w:p>
    <w:p>
      <w:pPr>
        <w:sectPr>
          <w:pgSz w:w="11900" w:h="16838" w:orient="portrait"/>
          <w:cols w:equalWidth="0" w:num="1">
            <w:col w:w="11420"/>
          </w:cols>
          <w:pgMar w:left="240" w:top="121" w:right="239" w:bottom="153" w:gutter="0" w:footer="0" w:header="0"/>
        </w:sectPr>
      </w:pPr>
    </w:p>
    <w:bookmarkStart w:id="21" w:name="page22"/>
    <w:bookmarkEnd w:id="21"/>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ind w:left="660"/>
              <w:spacing w:after="0"/>
              <w:rPr>
                <w:sz w:val="20"/>
                <w:szCs w:val="20"/>
                <w:color w:val="auto"/>
              </w:rPr>
            </w:pPr>
            <w:r>
              <w:rPr>
                <w:rFonts w:ascii="Arial" w:cs="Arial" w:eastAsia="Arial" w:hAnsi="Arial"/>
                <w:sz w:val="18"/>
                <w:szCs w:val="18"/>
                <w:color w:val="auto"/>
              </w:rPr>
              <w:t>Section 1.02.</w:t>
            </w:r>
          </w:p>
        </w:tc>
        <w:tc>
          <w:tcPr>
            <w:tcW w:w="248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1"/>
        </w:trPr>
        <w:tc>
          <w:tcPr>
            <w:tcW w:w="20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4"/>
                <w:szCs w:val="14"/>
                <w:b w:val="1"/>
                <w:bCs w:val="1"/>
                <w:color w:val="auto"/>
              </w:rPr>
              <w:t>Defined in Section</w:t>
            </w:r>
          </w:p>
        </w:tc>
        <w:tc>
          <w:tcPr>
            <w:tcW w:w="29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w:t>
            </w:r>
          </w:p>
        </w:tc>
        <w:tc>
          <w:tcPr>
            <w:tcW w:w="248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13.02(b)</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“Act”</w:t>
            </w:r>
          </w:p>
        </w:tc>
        <w:tc>
          <w:tcPr>
            <w:tcW w:w="2480" w:type="dxa"/>
            <w:vAlign w:val="bottom"/>
          </w:tcPr>
          <w:p>
            <w:pPr>
              <w:spacing w:after="0"/>
              <w:rPr>
                <w:sz w:val="18"/>
                <w:szCs w:val="18"/>
                <w:color w:val="auto"/>
              </w:rPr>
            </w:pP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91"/>
              </w:rPr>
              <w:t>1.05</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“Bankruptcy Default”</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6.01(k)</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5"/>
              </w:rPr>
              <w:t>“beneficial owner”</w:t>
            </w:r>
          </w:p>
        </w:tc>
        <w:tc>
          <w:tcPr>
            <w:tcW w:w="2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3.01(a)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7"/>
              </w:rPr>
              <w:t>“Company Order”</w:t>
            </w:r>
          </w:p>
        </w:tc>
        <w:tc>
          <w:tcPr>
            <w:tcW w:w="248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91"/>
              </w:rPr>
              <w:t>2.02</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“Conversion Agent”</w:t>
            </w: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91"/>
              </w:rPr>
              <w:t>2.03</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3"/>
              </w:rPr>
              <w:t>“Conversion Date”</w:t>
            </w:r>
          </w:p>
        </w:tc>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10.02(a)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“Conversion Obligation”</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10.01(a)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3"/>
              </w:rPr>
              <w:t>“Conversion Rate”</w:t>
            </w:r>
          </w:p>
        </w:tc>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10.01(a)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“Conversion Trigger Price”</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10.01(c)</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“Defaulted Interest”</w:t>
            </w: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88"/>
              </w:rPr>
              <w:t>12.02</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“Disposition Event”</w:t>
            </w: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88"/>
              </w:rPr>
              <w:t>10.12</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“Distributed Assets”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10.08(a)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“Effective Date”</w:t>
            </w:r>
          </w:p>
        </w:tc>
        <w:tc>
          <w:tcPr>
            <w:tcW w:w="2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10.13(b)</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7"/>
              </w:rPr>
              <w:t>“Event of Default”</w:t>
            </w:r>
          </w:p>
        </w:tc>
        <w:tc>
          <w:tcPr>
            <w:tcW w:w="248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91"/>
              </w:rPr>
              <w:t>6.01</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“Expiration Date”</w:t>
            </w:r>
          </w:p>
        </w:tc>
        <w:tc>
          <w:tcPr>
            <w:tcW w:w="2480" w:type="dxa"/>
            <w:vAlign w:val="bottom"/>
          </w:tcPr>
          <w:p>
            <w:pPr>
              <w:spacing w:after="0"/>
              <w:rPr>
                <w:sz w:val="18"/>
                <w:szCs w:val="18"/>
                <w:color w:val="auto"/>
              </w:rPr>
            </w:pP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88"/>
              </w:rPr>
              <w:t>10.10</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“Extension Fee”</w:t>
            </w:r>
          </w:p>
        </w:tc>
        <w:tc>
          <w:tcPr>
            <w:tcW w:w="248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91"/>
              </w:rPr>
              <w:t>6.15</w:t>
            </w:r>
          </w:p>
        </w:tc>
        <w:tc>
          <w:tcPr>
            <w:tcW w:w="2960" w:type="dxa"/>
            <w:vAlign w:val="bottom"/>
          </w:tcPr>
          <w:p>
            <w:pPr>
              <w:spacing w:after="0"/>
              <w:rPr>
                <w:sz w:val="18"/>
                <w:szCs w:val="18"/>
                <w:color w:val="auto"/>
              </w:rPr>
            </w:pPr>
          </w:p>
        </w:tc>
      </w:tr>
      <w:tr>
        <w:trPr>
          <w:trHeight w:val="702"/>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20" w:type="dxa"/>
            <w:vAlign w:val="bottom"/>
          </w:tcPr>
          <w:p>
            <w:pPr>
              <w:jc w:val="right"/>
              <w:ind w:right="89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75"/>
        </w:trPr>
        <w:tc>
          <w:tcPr>
            <w:tcW w:w="2040" w:type="dxa"/>
            <w:vAlign w:val="bottom"/>
            <w:tcBorders>
              <w:bottom w:val="single" w:sz="8" w:color="010101"/>
            </w:tcBorders>
            <w:gridSpan w:val="2"/>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2960" w:type="dxa"/>
            <w:vAlign w:val="bottom"/>
            <w:tcBorders>
              <w:bottom w:val="single" w:sz="8" w:color="010101"/>
            </w:tcBorders>
          </w:tcPr>
          <w:p>
            <w:pPr>
              <w:spacing w:after="0"/>
              <w:rPr>
                <w:sz w:val="24"/>
                <w:szCs w:val="24"/>
                <w:color w:val="auto"/>
              </w:rPr>
            </w:pPr>
          </w:p>
        </w:tc>
      </w:tr>
      <w:tr>
        <w:trPr>
          <w:trHeight w:val="496"/>
        </w:trPr>
        <w:tc>
          <w:tcPr>
            <w:tcW w:w="20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4"/>
                <w:szCs w:val="14"/>
                <w:b w:val="1"/>
                <w:bCs w:val="1"/>
                <w:color w:val="auto"/>
              </w:rPr>
              <w:t>Defined in Section</w:t>
            </w:r>
          </w:p>
        </w:tc>
        <w:tc>
          <w:tcPr>
            <w:tcW w:w="29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“group”</w:t>
            </w:r>
          </w:p>
        </w:tc>
        <w:tc>
          <w:tcPr>
            <w:tcW w:w="248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3.01(a)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“Legal Holiday”</w:t>
            </w:r>
          </w:p>
        </w:tc>
        <w:tc>
          <w:tcPr>
            <w:tcW w:w="2480" w:type="dxa"/>
            <w:vAlign w:val="bottom"/>
          </w:tcPr>
          <w:p>
            <w:pPr>
              <w:spacing w:after="0"/>
              <w:rPr>
                <w:sz w:val="18"/>
                <w:szCs w:val="18"/>
                <w:color w:val="auto"/>
              </w:rPr>
            </w:pP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88"/>
              </w:rPr>
              <w:t>13.07</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“Make-Whole Change in Control”</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10.13(a)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“Make-Whole Shares”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10.13(a)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 Settlement”</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10.02(c)</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“Paying Agent”</w:t>
            </w:r>
          </w:p>
        </w:tc>
        <w:tc>
          <w:tcPr>
            <w:tcW w:w="2480" w:type="dxa"/>
            <w:vAlign w:val="bottom"/>
          </w:tcPr>
          <w:p>
            <w:pPr>
              <w:spacing w:after="0"/>
              <w:rPr>
                <w:sz w:val="18"/>
                <w:szCs w:val="18"/>
                <w:color w:val="auto"/>
              </w:rPr>
            </w:pP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91"/>
              </w:rPr>
              <w:t>2.03</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“Primary Registrar”</w:t>
            </w: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91"/>
              </w:rPr>
              <w:t>2.03</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“Purchased Shares”</w:t>
            </w: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88"/>
              </w:rPr>
              <w:t>10.10</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Price”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11.01(b)</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“Reference Period”</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10.08(a)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Property”</w:t>
            </w: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88"/>
              </w:rPr>
              <w:t>10.12</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“Register”</w:t>
            </w:r>
          </w:p>
        </w:tc>
        <w:tc>
          <w:tcPr>
            <w:tcW w:w="2480" w:type="dxa"/>
            <w:vAlign w:val="bottom"/>
          </w:tcPr>
          <w:p>
            <w:pPr>
              <w:spacing w:after="0"/>
              <w:rPr>
                <w:sz w:val="18"/>
                <w:szCs w:val="18"/>
                <w:color w:val="auto"/>
              </w:rPr>
            </w:pP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91"/>
              </w:rPr>
              <w:t>2.03</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248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91"/>
              </w:rPr>
              <w:t>2.03</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89"/>
              </w:rPr>
              <w:t>“Repurchase Date”</w:t>
            </w:r>
          </w:p>
        </w:tc>
        <w:tc>
          <w:tcPr>
            <w:tcW w:w="2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3.01(a)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Notice”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3.01(c)</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“Repurchase Price”</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3.01(a)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248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88"/>
              </w:rPr>
              <w:t>10.23</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“Shareholders Rights Plan”</w:t>
            </w: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88"/>
              </w:rPr>
              <w:t>10.23</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Record Date”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12.02(a)</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“Specified Cash Amount”</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10.02(b)</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“Spin-Off”</w:t>
            </w:r>
          </w:p>
        </w:tc>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10.08(b)</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“Stock Price”</w:t>
            </w:r>
          </w:p>
        </w:tc>
        <w:tc>
          <w:tcPr>
            <w:tcW w:w="2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10.13(b)</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Price Condition”</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10.01(b)(ii)</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“Trigger Event”</w:t>
            </w:r>
          </w:p>
        </w:tc>
        <w:tc>
          <w:tcPr>
            <w:tcW w:w="2480" w:type="dxa"/>
            <w:vAlign w:val="bottom"/>
          </w:tcPr>
          <w:p>
            <w:pPr>
              <w:spacing w:after="0"/>
              <w:rPr>
                <w:sz w:val="18"/>
                <w:szCs w:val="18"/>
                <w:color w:val="auto"/>
              </w:rPr>
            </w:pPr>
          </w:p>
        </w:tc>
        <w:tc>
          <w:tcPr>
            <w:tcW w:w="3980" w:type="dxa"/>
            <w:vAlign w:val="bottom"/>
            <w:gridSpan w:val="3"/>
          </w:tcPr>
          <w:p>
            <w:pPr>
              <w:jc w:val="center"/>
              <w:ind w:left="2330"/>
              <w:spacing w:after="0"/>
              <w:rPr>
                <w:sz w:val="20"/>
                <w:szCs w:val="20"/>
                <w:color w:val="auto"/>
              </w:rPr>
            </w:pPr>
            <w:r>
              <w:rPr>
                <w:rFonts w:ascii="Arial" w:cs="Arial" w:eastAsia="Arial" w:hAnsi="Arial"/>
                <w:sz w:val="18"/>
                <w:szCs w:val="18"/>
                <w:color w:val="auto"/>
                <w:w w:val="88"/>
              </w:rPr>
              <w:t>10.11</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“Underwriters”</w:t>
            </w:r>
          </w:p>
        </w:tc>
        <w:tc>
          <w:tcPr>
            <w:tcW w:w="248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2330"/>
              <w:spacing w:after="0"/>
              <w:rPr>
                <w:sz w:val="20"/>
                <w:szCs w:val="20"/>
                <w:color w:val="auto"/>
              </w:rPr>
            </w:pPr>
            <w:r>
              <w:rPr>
                <w:rFonts w:ascii="Arial" w:cs="Arial" w:eastAsia="Arial" w:hAnsi="Arial"/>
                <w:sz w:val="18"/>
                <w:szCs w:val="18"/>
                <w:color w:val="auto"/>
                <w:w w:val="91"/>
              </w:rPr>
              <w:t>1.01</w:t>
            </w:r>
          </w:p>
        </w:tc>
        <w:tc>
          <w:tcPr>
            <w:tcW w:w="2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-3783330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-3783330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 Whenever this Indenture refers to a provision of the Trust Indenture Act, the provision is incorporated by reference in and made a part of this Indenture. The following Trust Indenture Act terms used in this Indenture have the following meanings: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Noteholder.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this Indenture securities means the Company.</w:t>
      </w:r>
    </w:p>
    <w:p>
      <w:pPr>
        <w:sectPr>
          <w:pgSz w:w="11900" w:h="16838" w:orient="portrait"/>
          <w:cols w:equalWidth="0" w:num="1">
            <w:col w:w="11460"/>
          </w:cols>
          <w:pgMar w:left="240" w:top="121" w:right="199" w:bottom="98"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98" w:gutter="0" w:footer="0" w:header="0"/>
          <w:type w:val="continuous"/>
        </w:sectPr>
      </w:pPr>
    </w:p>
    <w:bookmarkStart w:id="22" w:name="page23"/>
    <w:bookmarkEnd w:id="22"/>
    <w:p>
      <w:pPr>
        <w:spacing w:after="0" w:line="7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All other Trust Indenture Act terms used in this Indenture that are defined by the Trust Indenture Act, defined by Trust Indenture Act reference to another statute or defined by Securities Exchange Commission rule have the meanings assigned to them by such definitions.</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 or except as otherwise expressly provided,</w:t>
      </w:r>
    </w:p>
    <w:p>
      <w:pPr>
        <w:spacing w:after="0" w:line="225" w:lineRule="exact"/>
        <w:rPr>
          <w:sz w:val="20"/>
          <w:szCs w:val="20"/>
          <w:color w:val="auto"/>
        </w:rPr>
      </w:pPr>
    </w:p>
    <w:p>
      <w:pPr>
        <w:ind w:left="1780" w:hanging="475"/>
        <w:spacing w:after="0"/>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“herein,” “hereof” and other words of similar import refer to this Indenture as a whole and not to any particular Section, Article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1740" w:hanging="435"/>
        <w:spacing w:after="0"/>
        <w:tabs>
          <w:tab w:leader="none" w:pos="1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references to Sections or Articles or Exhibits refer to Sections or Articles or Exhibits of or to this Indenture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firstLine="1305"/>
        <w:spacing w:after="0" w:line="277" w:lineRule="auto"/>
        <w:tabs>
          <w:tab w:leader="none" w:pos="1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40" w:firstLine="1305"/>
        <w:spacing w:after="0" w:line="277" w:lineRule="auto"/>
        <w:tabs>
          <w:tab w:leader="none" w:pos="17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Acts of Holders</w:t>
      </w:r>
      <w:r>
        <w:rPr>
          <w:rFonts w:ascii="Arial" w:cs="Arial" w:eastAsia="Arial" w:hAnsi="Arial"/>
          <w:sz w:val="16"/>
          <w:szCs w:val="16"/>
          <w:color w:val="auto"/>
        </w:rPr>
        <w:t>. Any request, demand, authorization, direction, notice, consent, waiver or other action provided by this Indenture to be given or taken by Holders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6"/>
          <w:szCs w:val="16"/>
          <w:b w:val="1"/>
          <w:bCs w:val="1"/>
          <w:color w:val="auto"/>
        </w:rPr>
        <w:t>Act</w:t>
      </w:r>
      <w:r>
        <w:rPr>
          <w:rFonts w:ascii="Arial" w:cs="Arial" w:eastAsia="Arial" w:hAnsi="Arial"/>
          <w:sz w:val="16"/>
          <w:szCs w:val="16"/>
          <w:color w:val="auto"/>
        </w:rPr>
        <w:t>” of Holders signing such instrument or instruments. Proof of execution of any such instrument or of a writing appointing any such agent (either of which may be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electronic form) shall be sufficient for any purpose of this Indenture and conclusive in favor of the Trustee and the Company, if made in the manner provided in this Section.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Dating and Denominations; Legends</w:t>
      </w:r>
      <w:r>
        <w:rPr>
          <w:rFonts w:ascii="Arial" w:cs="Arial" w:eastAsia="Arial" w:hAnsi="Arial"/>
          <w:sz w:val="16"/>
          <w:szCs w:val="16"/>
          <w:color w:val="auto"/>
        </w:rPr>
        <w:t>.</w:t>
      </w:r>
    </w:p>
    <w:p>
      <w:pPr>
        <w:spacing w:after="0" w:line="225" w:lineRule="exact"/>
        <w:rPr>
          <w:sz w:val="20"/>
          <w:szCs w:val="20"/>
          <w:color w:val="auto"/>
        </w:rPr>
      </w:pPr>
    </w:p>
    <w:p>
      <w:pPr>
        <w:ind w:right="320" w:firstLine="1305"/>
        <w:spacing w:after="0" w:line="257" w:lineRule="auto"/>
        <w:tabs>
          <w:tab w:leader="none" w:pos="17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Notes and the Trustee’s certificate of authentication will be substantially in 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88" w:lineRule="exact"/>
        <w:rPr>
          <w:rFonts w:ascii="Arial" w:cs="Arial" w:eastAsia="Arial" w:hAnsi="Arial"/>
          <w:sz w:val="18"/>
          <w:szCs w:val="18"/>
          <w:color w:val="auto"/>
        </w:rPr>
      </w:pPr>
    </w:p>
    <w:p>
      <w:pPr>
        <w:ind w:right="100" w:firstLine="1305"/>
        <w:spacing w:after="0" w:line="255" w:lineRule="auto"/>
        <w:tabs>
          <w:tab w:leader="none" w:pos="173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Global Notes in General</w:t>
      </w:r>
      <w:r>
        <w:rPr>
          <w:rFonts w:ascii="Arial" w:cs="Arial" w:eastAsia="Arial" w:hAnsi="Arial"/>
          <w:sz w:val="18"/>
          <w:szCs w:val="18"/>
          <w:color w:val="auto"/>
        </w:rPr>
        <w:t>. Each Global Note shall represent such of the outstanding Notes as shall be specified therein and each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 it shall represent the 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93" w:lineRule="exact"/>
        <w:rPr>
          <w:sz w:val="20"/>
          <w:szCs w:val="20"/>
          <w:color w:val="auto"/>
        </w:rPr>
      </w:pPr>
    </w:p>
    <w:p>
      <w:pPr>
        <w:jc w:val="both"/>
        <w:ind w:right="16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jc w:val="both"/>
        <w:ind w:right="140" w:firstLine="8"/>
        <w:spacing w:after="0" w:line="255"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pacing w:after="0" w:line="190" w:lineRule="exact"/>
        <w:rPr>
          <w:rFonts w:ascii="Arial" w:cs="Arial" w:eastAsia="Arial" w:hAnsi="Arial"/>
          <w:sz w:val="18"/>
          <w:szCs w:val="18"/>
          <w:color w:val="auto"/>
        </w:rPr>
      </w:pPr>
    </w:p>
    <w:p>
      <w:pPr>
        <w:jc w:val="both"/>
        <w:ind w:right="160" w:firstLine="1305"/>
        <w:spacing w:after="0" w:line="286" w:lineRule="auto"/>
        <w:tabs>
          <w:tab w:leader="none" w:pos="1721"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An Officer shall sign the Notes for the Company by manual or facsimile signature. Typographic errors or defects in any such facsimile</w:t>
      </w:r>
    </w:p>
    <w:p>
      <w:pPr>
        <w:sectPr>
          <w:pgSz w:w="11900" w:h="16915" w:orient="portrait"/>
          <w:cols w:equalWidth="0" w:num="1">
            <w:col w:w="11420"/>
          </w:cols>
          <w:pgMar w:left="240" w:top="368"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signature shall not affect the validity or enforceability of any Note which has been authenticated and delivered by the Trustee.</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If an Officer whose signature is on a Note no longer holds that office at the time the Trustee authenticates the Note, the Note shall be valid nevertheless.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Trustee shall authenticate and make available for delivery Notes for original issue in the aggregate principal amount of $1,135,000,000 (or up to $1,300,000,000 to the extent the Underwriters exercise their over-allotment option under the Underwriting Agreement in full) upon receipt of a written order or orders of the Company signed by an Officer of the Company (a “</w:t>
      </w:r>
      <w:r>
        <w:rPr>
          <w:rFonts w:ascii="Arial" w:cs="Arial" w:eastAsia="Arial" w:hAnsi="Arial"/>
          <w:sz w:val="17"/>
          <w:szCs w:val="17"/>
          <w:b w:val="1"/>
          <w:bCs w:val="1"/>
          <w:color w:val="auto"/>
        </w:rPr>
        <w:t>Company Order</w:t>
      </w:r>
      <w:r>
        <w:rPr>
          <w:rFonts w:ascii="Arial" w:cs="Arial" w:eastAsia="Arial" w:hAnsi="Arial"/>
          <w:sz w:val="17"/>
          <w:szCs w:val="17"/>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$1,135,000,000 (or $1,300,000,000 to the extent the Underwriters exercise their over-allotment option under the Underwriting Agreement in full) except as provided in Section 2.07.</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shall be issuable only in registered form without coupons and only in denominations of $1,000 principal amount and any integral multiple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Paying Agent and Conversion Agent</w:t>
      </w:r>
      <w:r>
        <w:rPr>
          <w:rFonts w:ascii="Arial" w:cs="Arial" w:eastAsia="Arial" w:hAnsi="Arial"/>
          <w:sz w:val="18"/>
          <w:szCs w:val="18"/>
          <w:color w:val="auto"/>
        </w:rPr>
        <w:t>. The Company shall maintain one or more offices or agencies where Notes may be 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70"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Company hereby initially designates the Trustee as Paying Agent, Registrar, and Conversion Agent, and each of the Corporate Trust Office of the Trustee and the office or agency of the Trustee in the United States (located at Sixth and Marquette, MAC N9303-120, Minneapolis, Minnesota 55479, Tel. (612) 667-2344, Attention: Corporate Trust Services, one such office or agency of the Company for each of the aforesaid purposes.</w:t>
      </w:r>
    </w:p>
    <w:p>
      <w:pPr>
        <w:spacing w:after="0" w:line="1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Paying Agent to Hold Money in Trust</w:t>
      </w:r>
      <w:r>
        <w:rPr>
          <w:rFonts w:ascii="Arial" w:cs="Arial" w:eastAsia="Arial" w:hAnsi="Arial"/>
          <w:sz w:val="17"/>
          <w:szCs w:val="17"/>
          <w:color w:val="auto"/>
        </w:rPr>
        <w:t>. Prior to 12:00 p.m., New York City time, on each date on which the principal amount of or interest, if any, on any Notes is due and payable, the Company shall deposit with a Paying Agent a sum sufficient to pay such principal amount or interest, if any, so becoming due. A Paying Agent shall hold in trust for the benefit of Noteholders or the Trustee all money held by the Paying Agent for the payment of principal amount of or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Noteholder Lists</w:t>
      </w:r>
      <w:r>
        <w:rPr>
          <w:rFonts w:ascii="Arial" w:cs="Arial" w:eastAsia="Arial" w:hAnsi="Arial"/>
          <w:sz w:val="18"/>
          <w:szCs w:val="18"/>
          <w:color w:val="auto"/>
        </w:rPr>
        <w:t>. The Trustee shall preserve in as current a form as is reasonably practicable the most recent list available to it of the names and addresses of Noteholders. If the Trustee is not the Primary Registrar, the Company shall furnish to the Trustee on or before ten Business Days prior to the interest payment date, and at such other times as the Trustee may request in writing, a list in such form and as of such date as the Trustee may reasonably require of the names and addresses of Noteholders.</w:t>
      </w:r>
    </w:p>
    <w:p>
      <w:pPr>
        <w:spacing w:after="0" w:line="18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Transfer and Exchange</w:t>
      </w:r>
      <w:r>
        <w:rPr>
          <w:rFonts w:ascii="Arial" w:cs="Arial" w:eastAsia="Arial" w:hAnsi="Arial"/>
          <w:sz w:val="16"/>
          <w:szCs w:val="16"/>
          <w:color w:val="auto"/>
        </w:rPr>
        <w:t xml:space="preserve">. Subject to compliance with any applicable additional requirements contained in Section 2.13, when a Note is presented to a Registrar with a request to register a transfer thereof or to exchange such Note for an equal principal amount of Notes of other authorized denominations, the Registrar shall register the transfer or make the exchange as requested if its requirements for such transactions are met;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every Note presented or surrendered for registration of transfer or exchange shall be duly endorsed or accompanied by an assignment form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w:t>
      </w:r>
    </w:p>
    <w:p>
      <w:pPr>
        <w:sectPr>
          <w:pgSz w:w="11900" w:h="16838" w:orient="portrait"/>
          <w:cols w:equalWidth="0" w:num="1">
            <w:col w:w="11420"/>
          </w:cols>
          <w:pgMar w:left="240" w:top="125" w:right="239" w:bottom="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sufficient to cover any tax, assessment or other governmental charge that may be imposed in relation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sentence shall not apply to any exchange pursuant to Section 2.10, Section 3.04, Section 9.03(b) or Section 10.02(h) not involving any transfer.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Replacement Notes</w:t>
      </w:r>
      <w:r>
        <w:rPr>
          <w:rFonts w:ascii="Arial" w:cs="Arial" w:eastAsia="Arial" w:hAnsi="Arial"/>
          <w:sz w:val="17"/>
          <w:szCs w:val="17"/>
          <w:color w:val="auto"/>
        </w:rPr>
        <w:t>. If any mutilated Note is surrendered to the Company, a Registrar or the Trustee, or the Company, a Registrar 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8"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r>
        <w:rPr>
          <w:rFonts w:ascii="Arial" w:cs="Arial" w:eastAsia="Arial" w:hAnsi="Arial"/>
          <w:sz w:val="18"/>
          <w:szCs w:val="18"/>
          <w:color w:val="auto"/>
        </w:rPr>
        <w:t>. Notes outstanding at any time are all Notes authenticated by the Trustee, except for those canceled by it, those converted pursuant to Article 10, those delivered to it for cancellation or surrendered for transfer or exchange and those described in this Section 2.08 as not outstanding.</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Treasury Notes</w:t>
      </w:r>
      <w:r>
        <w:rPr>
          <w:rFonts w:ascii="Arial" w:cs="Arial" w:eastAsia="Arial" w:hAnsi="Arial"/>
          <w:sz w:val="17"/>
          <w:szCs w:val="17"/>
          <w:color w:val="auto"/>
        </w:rPr>
        <w:t>. In determining whether the Holders of the required principal amount of Notes have concurred in any notice, 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Temporary Notes</w:t>
      </w:r>
      <w:r>
        <w:rPr>
          <w:rFonts w:ascii="Arial" w:cs="Arial" w:eastAsia="Arial" w:hAnsi="Arial"/>
          <w:sz w:val="17"/>
          <w:szCs w:val="17"/>
          <w:color w:val="auto"/>
        </w:rPr>
        <w:t>. Until definitive Notes are ready for delivery, the Company may prepare and execute, and, upon receipt of a 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Cancellation</w:t>
      </w:r>
      <w:r>
        <w:rPr>
          <w:rFonts w:ascii="Arial" w:cs="Arial" w:eastAsia="Arial" w:hAnsi="Arial"/>
          <w:sz w:val="17"/>
          <w:szCs w:val="17"/>
          <w:color w:val="auto"/>
        </w:rPr>
        <w:t>. The Company at any time may deliver Notes to the Trustee for cancellation. The Registrar, the Paying Agent and 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ectPr>
          <w:pgSz w:w="11900" w:h="16838" w:orient="portrait"/>
          <w:cols w:equalWidth="0" w:num="1">
            <w:col w:w="11420"/>
          </w:cols>
          <w:pgMar w:left="240" w:top="125"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xml:space="preserve">. The Company in issuing the Notes may use one or more “CUSIP” numbers (if then generally in use), and, if so, the Trustee shall use “CUSIP” numbers in notices of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Book-Entry Provisions for Global Notes</w:t>
      </w:r>
      <w:r>
        <w:rPr>
          <w:rFonts w:ascii="Arial" w:cs="Arial" w:eastAsia="Arial" w:hAnsi="Arial"/>
          <w:sz w:val="17"/>
          <w:szCs w:val="17"/>
          <w:color w:val="auto"/>
        </w:rPr>
        <w:t>. (a) Transfers of Global Notes shall be limited to transfers in whole, but not in part, to the Depositary, its successors or their respective nominees. In addition, Certificated Notes shall be transferred to all beneficial owners, as identified by the Depositary, in exchange for their beneficial interests in Global Notes only if (i) the Depositary notifies the Company that the Depositary is unwilling or unable to continue as depositary for any Global Note (or the Depositary ceases to be a “clearing agency” registered under Section 17A of the Exchange Act) and a successor Depositary is not appointed by the Company within 90 days of such notice or cessation or (ii) an Event of Default has occurred and is continuing and the Registrar has received a written request from the Depositary to issue Certificated Notes.</w:t>
      </w:r>
    </w:p>
    <w:p>
      <w:pPr>
        <w:spacing w:after="0" w:line="178" w:lineRule="exact"/>
        <w:rPr>
          <w:sz w:val="20"/>
          <w:szCs w:val="20"/>
          <w:color w:val="auto"/>
        </w:rPr>
      </w:pPr>
    </w:p>
    <w:p>
      <w:pPr>
        <w:jc w:val="both"/>
        <w:ind w:right="140" w:firstLine="1305"/>
        <w:spacing w:after="0" w:line="259" w:lineRule="auto"/>
        <w:tabs>
          <w:tab w:leader="none" w:pos="17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the transfer of a Global Note in its entirety to beneficial owners pursuant to Section 2.13(a), such Global Note shall be deemed to be surrendered to the Trustee for cancellation, and the Company shall execute, and the Trustee shall upon written instructions from the Company authenticate and deliver, to each beneficial owner identified by the Depositary in exchange for its beneficial interest in such Global Note, an equal aggregate principal amount of Certificated Notes of authorized denominations.</w:t>
      </w:r>
    </w:p>
    <w:p>
      <w:pPr>
        <w:spacing w:after="0" w:line="186" w:lineRule="exact"/>
        <w:rPr>
          <w:rFonts w:ascii="Arial" w:cs="Arial" w:eastAsia="Arial" w:hAnsi="Arial"/>
          <w:sz w:val="18"/>
          <w:szCs w:val="18"/>
          <w:color w:val="auto"/>
        </w:rPr>
      </w:pPr>
    </w:p>
    <w:p>
      <w:pPr>
        <w:ind w:right="200" w:firstLine="1305"/>
        <w:spacing w:after="0" w:line="277" w:lineRule="auto"/>
        <w:tabs>
          <w:tab w:leader="none" w:pos="17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any Global Note may grant proxies and otherwise authorize any Person to take any action that a Holder is entitled to take under this Indenture or the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Repurchase at the Option of the Holders Upon Change in Control or Termination of Trading</w:t>
      </w:r>
      <w:r>
        <w:rPr>
          <w:rFonts w:ascii="Arial" w:cs="Arial" w:eastAsia="Arial" w:hAnsi="Arial"/>
          <w:sz w:val="17"/>
          <w:szCs w:val="17"/>
          <w:color w:val="auto"/>
        </w:rPr>
        <w:t>. (a) Upon the occurrence of a Change in Control or a Termination of Trading, each Holder shall have the right, at such Holder’s option, subject to the terms and conditions of Article 3 of this Indenture, to require the Company to repurchase for Cash all or any portion of such Holder’s Notes in integral multiples of $1,000 principal amount at a price (the “</w:t>
      </w:r>
      <w:r>
        <w:rPr>
          <w:rFonts w:ascii="Arial" w:cs="Arial" w:eastAsia="Arial" w:hAnsi="Arial"/>
          <w:sz w:val="17"/>
          <w:szCs w:val="17"/>
          <w:b w:val="1"/>
          <w:bCs w:val="1"/>
          <w:color w:val="auto"/>
        </w:rPr>
        <w:t>Repurchase Price</w:t>
      </w:r>
      <w:r>
        <w:rPr>
          <w:rFonts w:ascii="Arial" w:cs="Arial" w:eastAsia="Arial" w:hAnsi="Arial"/>
          <w:sz w:val="17"/>
          <w:szCs w:val="17"/>
          <w:color w:val="auto"/>
        </w:rPr>
        <w:t xml:space="preserve">”) equal to 100% of the principal amount of the Notes to be repurchased, plus accrued and unpaid interest to, but excluding, the Repurchase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Repurchase Date is after a Regular Record Date and on or prior to the Interest Payment Date to which it relates, the interest accrued to the Interest Payment Date will be paid to Holders of the Notes as of the preceding Regular Record Date, and the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7"/>
          <w:szCs w:val="17"/>
          <w:b w:val="1"/>
          <w:bCs w:val="1"/>
          <w:color w:val="auto"/>
        </w:rPr>
        <w:t>Repurchase Date</w:t>
      </w:r>
      <w:r>
        <w:rPr>
          <w:rFonts w:ascii="Arial" w:cs="Arial" w:eastAsia="Arial" w:hAnsi="Arial"/>
          <w:sz w:val="17"/>
          <w:szCs w:val="17"/>
          <w:color w:val="auto"/>
        </w:rPr>
        <w:t>”), which shall be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earlier than 20 days or later than 35 days after the date on which the Company mails the notice contemplated by Section 3.01(b)(i), subject to satisfaction by or on behalf of the Holder of the requirements set forth in Section 3.01(c).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100" w:firstLine="1953"/>
        <w:spacing w:after="0" w:line="297" w:lineRule="auto"/>
        <w:tabs>
          <w:tab w:leader="none" w:pos="2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58" w:lineRule="exact"/>
        <w:rPr>
          <w:rFonts w:ascii="Arial" w:cs="Arial" w:eastAsia="Arial" w:hAnsi="Arial"/>
          <w:sz w:val="16"/>
          <w:szCs w:val="16"/>
          <w:color w:val="auto"/>
        </w:rPr>
      </w:pPr>
    </w:p>
    <w:p>
      <w:pPr>
        <w:ind w:right="40" w:firstLine="1953"/>
        <w:spacing w:after="0" w:line="293" w:lineRule="auto"/>
        <w:tabs>
          <w:tab w:leader="none" w:pos="2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provided that none of these circumstances will be a Change in Control if persons that beneficially own the Voting Securities of the Company immediately prior to the transaction own, directly or indirectly, a majority of the Voting Securities of the surviving or transferee person immediately after the transaction in substantially the same proportion as their ownership of the Company’s Voting Securities immediately prior to the transaction; or</w:t>
      </w:r>
    </w:p>
    <w:p>
      <w:pPr>
        <w:spacing w:after="0" w:line="164" w:lineRule="exact"/>
        <w:rPr>
          <w:rFonts w:ascii="Arial" w:cs="Arial" w:eastAsia="Arial" w:hAnsi="Arial"/>
          <w:sz w:val="16"/>
          <w:szCs w:val="16"/>
          <w:color w:val="auto"/>
        </w:rPr>
      </w:pPr>
    </w:p>
    <w:p>
      <w:pPr>
        <w:ind w:left="2680" w:hanging="727"/>
        <w:spacing w:after="0"/>
        <w:tabs>
          <w:tab w:leader="none" w:pos="2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defining a Change in Control:</w:t>
      </w:r>
    </w:p>
    <w:p>
      <w:pPr>
        <w:spacing w:after="0" w:line="221" w:lineRule="exact"/>
        <w:rPr>
          <w:sz w:val="20"/>
          <w:szCs w:val="20"/>
          <w:color w:val="auto"/>
        </w:rPr>
      </w:pPr>
    </w:p>
    <w:p>
      <w:pPr>
        <w:ind w:left="3300" w:hanging="699"/>
        <w:spacing w:after="0"/>
        <w:tabs>
          <w:tab w:leader="none" w:pos="3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 or any successor provisions;</w:t>
      </w:r>
    </w:p>
    <w:p>
      <w:pPr>
        <w:spacing w:after="0" w:line="207" w:lineRule="exact"/>
        <w:rPr>
          <w:sz w:val="20"/>
          <w:szCs w:val="20"/>
          <w:color w:val="auto"/>
        </w:rPr>
      </w:pPr>
    </w:p>
    <w:p>
      <w:pPr>
        <w:ind w:right="380" w:firstLine="2601"/>
        <w:spacing w:after="0" w:line="282" w:lineRule="auto"/>
        <w:tabs>
          <w:tab w:leader="none" w:pos="3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jc w:val="both"/>
        <w:ind w:right="120" w:firstLine="2601"/>
        <w:spacing w:after="0" w:line="266" w:lineRule="auto"/>
        <w:tabs>
          <w:tab w:leader="none" w:pos="3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ectPr>
          <w:pgSz w:w="11900" w:h="16838" w:orient="portrait"/>
          <w:cols w:equalWidth="0" w:num="1">
            <w:col w:w="11420"/>
          </w:cols>
          <w:pgMar w:left="240" w:top="125" w:right="239" w:bottom="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 subject to the provisions set forth in Section 10.02.</w:t>
      </w:r>
    </w:p>
    <w:p>
      <w:pPr>
        <w:spacing w:after="0" w:line="158" w:lineRule="exact"/>
        <w:rPr>
          <w:sz w:val="20"/>
          <w:szCs w:val="20"/>
          <w:color w:val="auto"/>
        </w:rPr>
      </w:pPr>
    </w:p>
    <w:p>
      <w:pPr>
        <w:ind w:firstLine="1305"/>
        <w:spacing w:after="0" w:line="259" w:lineRule="auto"/>
        <w:tabs>
          <w:tab w:leader="none" w:pos="20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mail a written notice of Change in Control or Termination of Trading by first-class mail to the Trustee and to each Holder at their addresses shown in the register of the Registrar (and to beneficial owners as required by applicable law). The notice shall include a form of Repurchase Notice to be completed by the Noteholder and shall state:</w:t>
      </w:r>
    </w:p>
    <w:p>
      <w:pPr>
        <w:spacing w:after="0" w:line="186" w:lineRule="exact"/>
        <w:rPr>
          <w:rFonts w:ascii="Arial" w:cs="Arial" w:eastAsia="Arial" w:hAnsi="Arial"/>
          <w:sz w:val="18"/>
          <w:szCs w:val="18"/>
          <w:color w:val="auto"/>
        </w:rPr>
      </w:pPr>
    </w:p>
    <w:p>
      <w:pPr>
        <w:ind w:left="2940" w:hanging="663"/>
        <w:spacing w:after="0"/>
        <w:tabs>
          <w:tab w:leader="none" w:pos="2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2940" w:hanging="663"/>
        <w:spacing w:after="0"/>
        <w:tabs>
          <w:tab w:leader="none" w:pos="2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2960" w:hanging="683"/>
        <w:spacing w:after="0"/>
        <w:tabs>
          <w:tab w:leader="none" w:pos="2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900" w:hanging="623"/>
        <w:spacing w:after="0"/>
        <w:tabs>
          <w:tab w:leader="none" w:pos="2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25" w:lineRule="exact"/>
        <w:rPr>
          <w:rFonts w:ascii="Arial" w:cs="Arial" w:eastAsia="Arial" w:hAnsi="Arial"/>
          <w:sz w:val="18"/>
          <w:szCs w:val="18"/>
          <w:color w:val="auto"/>
        </w:rPr>
      </w:pPr>
    </w:p>
    <w:p>
      <w:pPr>
        <w:ind w:left="2900" w:hanging="623"/>
        <w:spacing w:after="0"/>
        <w:tabs>
          <w:tab w:leader="none" w:pos="2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25" w:lineRule="exact"/>
        <w:rPr>
          <w:rFonts w:ascii="Arial" w:cs="Arial" w:eastAsia="Arial" w:hAnsi="Arial"/>
          <w:sz w:val="18"/>
          <w:szCs w:val="18"/>
          <w:color w:val="auto"/>
        </w:rPr>
      </w:pPr>
    </w:p>
    <w:p>
      <w:pPr>
        <w:ind w:left="2900" w:hanging="623"/>
        <w:spacing w:after="0"/>
        <w:tabs>
          <w:tab w:leader="none" w:pos="2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2900" w:hanging="623"/>
        <w:spacing w:after="0"/>
        <w:tabs>
          <w:tab w:leader="none" w:pos="2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right="40" w:firstLine="2277"/>
        <w:spacing w:after="0" w:line="277" w:lineRule="auto"/>
        <w:tabs>
          <w:tab w:leader="none" w:pos="28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Notes with respect to which a Repurchase Notice is given by the Holder may be converted pursuant to Article 10 hereof only if the Repurchase Notice has been withdrawn in accordance with the terms of this Indenture; and</w:t>
      </w:r>
    </w:p>
    <w:p>
      <w:pPr>
        <w:spacing w:after="0" w:line="170" w:lineRule="exact"/>
        <w:rPr>
          <w:rFonts w:ascii="Arial" w:cs="Arial" w:eastAsia="Arial" w:hAnsi="Arial"/>
          <w:sz w:val="18"/>
          <w:szCs w:val="18"/>
          <w:color w:val="auto"/>
        </w:rPr>
      </w:pPr>
    </w:p>
    <w:p>
      <w:pPr>
        <w:ind w:left="2940" w:hanging="663"/>
        <w:spacing w:after="0"/>
        <w:tabs>
          <w:tab w:leader="none" w:pos="2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right="120" w:firstLine="1305"/>
        <w:spacing w:after="0" w:line="347" w:lineRule="auto"/>
        <w:tabs>
          <w:tab w:leader="none" w:pos="199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Holder may exercise its rights specified in Section 3.01 by delivery of a written notice (a “</w:t>
      </w:r>
      <w:r>
        <w:rPr>
          <w:rFonts w:ascii="Arial" w:cs="Arial" w:eastAsia="Arial" w:hAnsi="Arial"/>
          <w:sz w:val="16"/>
          <w:szCs w:val="16"/>
          <w:b w:val="1"/>
          <w:bCs w:val="1"/>
          <w:color w:val="auto"/>
        </w:rPr>
        <w:t>Repurchase Notice</w:t>
      </w:r>
      <w:r>
        <w:rPr>
          <w:rFonts w:ascii="Arial" w:cs="Arial" w:eastAsia="Arial" w:hAnsi="Arial"/>
          <w:sz w:val="16"/>
          <w:szCs w:val="16"/>
          <w:color w:val="auto"/>
        </w:rPr>
        <w:t>”) to the Paying Agent at any time prior to the Close of Business on the Business Day immediately preceding the Repurchase Date. The Repurchase Notice shall state:</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2277"/>
        <w:spacing w:after="0" w:line="277" w:lineRule="auto"/>
        <w:tabs>
          <w:tab w:leader="none" w:pos="27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2760" w:hanging="483"/>
        <w:spacing w:after="0"/>
        <w:tabs>
          <w:tab w:leader="none" w:pos="2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 and</w:t>
      </w:r>
    </w:p>
    <w:p>
      <w:pPr>
        <w:spacing w:after="0" w:line="210" w:lineRule="exact"/>
        <w:rPr>
          <w:rFonts w:ascii="Arial" w:cs="Arial" w:eastAsia="Arial" w:hAnsi="Arial"/>
          <w:sz w:val="16"/>
          <w:szCs w:val="16"/>
          <w:color w:val="auto"/>
        </w:rPr>
      </w:pPr>
    </w:p>
    <w:p>
      <w:pPr>
        <w:ind w:left="2780" w:hanging="503"/>
        <w:spacing w:after="0"/>
        <w:tabs>
          <w:tab w:leader="none" w:pos="2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that such Notes shall be repurchased by the Company pursuant to the terms and conditions specified in this Article 3.</w:t>
      </w:r>
    </w:p>
    <w:p>
      <w:pPr>
        <w:spacing w:after="0" w:line="24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The delivery of such Note to the Paying Agent prior to, on or after the Repurchase Date (together with all necessary endorsements and compliance by the Holder with the Applicable Procedures) at the offices of the Paying Agent shall be a condition to the receipt by the Holder of the Repurchase Price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Repurchase Price shall be so paid pursuant to this Section 3.01 only if the Note so delivered to the Paying Agent shall conform in all respects to the description thereof set forth in the related Repurchase Notice.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Any repurchase by the Company contemplated pursuant to the provisions of this Section 3.01 shall be consummated by the delivery of the consideration to be received by the Holder (together with accrued and unpaid interest to but not including the Repurchase Date) on or prior to the later of the Repurchase Date and the time of delivery of the Note to the Paying Agent in accordance with this Section 3.01.</w:t>
      </w:r>
    </w:p>
    <w:p>
      <w:pPr>
        <w:spacing w:after="0" w:line="181" w:lineRule="exact"/>
        <w:rPr>
          <w:sz w:val="20"/>
          <w:szCs w:val="20"/>
          <w:color w:val="auto"/>
        </w:rPr>
      </w:pPr>
    </w:p>
    <w:p>
      <w:pPr>
        <w:ind w:right="660" w:firstLine="648"/>
        <w:spacing w:after="0" w:line="286" w:lineRule="auto"/>
        <w:rPr>
          <w:sz w:val="20"/>
          <w:szCs w:val="20"/>
          <w:color w:val="auto"/>
        </w:rPr>
      </w:pPr>
      <w:r>
        <w:rPr>
          <w:rFonts w:ascii="Arial" w:cs="Arial" w:eastAsia="Arial" w:hAnsi="Arial"/>
          <w:sz w:val="17"/>
          <w:szCs w:val="17"/>
          <w:color w:val="auto"/>
        </w:rPr>
        <w:t>Notwithstanding anything herein to the contrary, any Holder delivering to the Paying Agent the Repurchase Notice contemplated by this Section 3.01(c) shall have the right to withdraw such Repurchase Notice at any time prior to the Close of Business on the Business Day immediately preceding the Repurchase Date by delivery of a written notice of withdrawal to the Paying Agent in accordance with Section 3.02.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Paying Agent shall promptly notify the Company of the receipt by it of any Repurchase Notice or written withdrawal thereof.</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No Notes may be repurchased by the Company at the option of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the date on which such repurchase is to be consummated. The Paying Agent will promptly return to the respective Holders thereof any Notes (x) with respect to which a Repurchase Notice has been withdrawn in compliance with this Indenture, or (y) held by it during the continuance of acceleration described in the immediately</w:t>
      </w:r>
    </w:p>
    <w:p>
      <w:pPr>
        <w:sectPr>
          <w:pgSz w:w="11900" w:h="16838" w:orient="portrait"/>
          <w:cols w:equalWidth="0" w:num="1">
            <w:col w:w="11380"/>
          </w:cols>
          <w:pgMar w:left="240" w:top="125" w:right="279" w:bottom="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preceding sentence in which case, upon such return, the Repurchase Notice with respect thereto shall be deemed to have been withdrawn.</w:t>
      </w:r>
    </w:p>
    <w:p>
      <w:pPr>
        <w:spacing w:after="0" w:line="225" w:lineRule="exact"/>
        <w:rPr>
          <w:sz w:val="20"/>
          <w:szCs w:val="20"/>
          <w:color w:val="auto"/>
        </w:rPr>
      </w:pPr>
    </w:p>
    <w:p>
      <w:pPr>
        <w:ind w:right="300" w:firstLine="648"/>
        <w:spacing w:after="0" w:line="274"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Effect of Repurchase Notice</w:t>
      </w:r>
      <w:r>
        <w:rPr>
          <w:rFonts w:ascii="Arial" w:cs="Arial" w:eastAsia="Arial" w:hAnsi="Arial"/>
          <w:sz w:val="17"/>
          <w:szCs w:val="17"/>
          <w:color w:val="auto"/>
        </w:rPr>
        <w:t>. (a) Upon receipt by the Paying Agent of the Repurchase Notice specified in Section 3.01(c), the Holder of the Note in respect of which such Repurchase Notice was given shall (unless such Repurchase Notice is withdrawn as specified in this</w:t>
      </w:r>
    </w:p>
    <w:p>
      <w:pPr>
        <w:ind w:right="80"/>
        <w:spacing w:after="0" w:line="270" w:lineRule="auto"/>
        <w:rPr>
          <w:sz w:val="20"/>
          <w:szCs w:val="20"/>
          <w:color w:val="auto"/>
        </w:rPr>
      </w:pPr>
      <w:r>
        <w:rPr>
          <w:rFonts w:ascii="Arial" w:cs="Arial" w:eastAsia="Arial" w:hAnsi="Arial"/>
          <w:sz w:val="17"/>
          <w:szCs w:val="17"/>
          <w:color w:val="auto"/>
        </w:rPr>
        <w:t>Section 3.02) thereafter be entitled to receive solely the Repurchase Price and any accrued and unpaid interest to but not including the Repurchase Date, with respect to such Note. Such Repurchase Price shall be paid to such Holder, subject to receipt of funds by the Paying Agent, on or prior to the later of (x) the Repurchase Date, with respect to such Note (provided the conditions in Section 3.01(c) have been satisfied) and (y) the time of delivery of such Note to the Paying Agent by the Holder thereof in the manner required by Section 3.01(c).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3.02.</w:t>
      </w:r>
    </w:p>
    <w:p>
      <w:pPr>
        <w:spacing w:after="0" w:line="179" w:lineRule="exact"/>
        <w:rPr>
          <w:sz w:val="20"/>
          <w:szCs w:val="20"/>
          <w:color w:val="auto"/>
        </w:rPr>
      </w:pPr>
    </w:p>
    <w:p>
      <w:pPr>
        <w:ind w:right="40" w:firstLine="1305"/>
        <w:spacing w:after="0" w:line="342" w:lineRule="auto"/>
        <w:tabs>
          <w:tab w:leader="none" w:pos="20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Repurchase Notice may be withdrawn by means of a written notice of withdrawal delivered to the office of the Paying Agent at any time prior to the Close of Business on the Business Day immediately preceding the Repurchase Date. Such notice of withdrawal shall state:</w:t>
      </w:r>
    </w:p>
    <w:p>
      <w:pPr>
        <w:spacing w:after="0" w:line="123" w:lineRule="exact"/>
        <w:rPr>
          <w:rFonts w:ascii="Arial" w:cs="Arial" w:eastAsia="Arial" w:hAnsi="Arial"/>
          <w:sz w:val="16"/>
          <w:szCs w:val="16"/>
          <w:color w:val="auto"/>
        </w:rPr>
      </w:pPr>
    </w:p>
    <w:p>
      <w:pPr>
        <w:ind w:left="2760" w:hanging="483"/>
        <w:spacing w:after="0"/>
        <w:tabs>
          <w:tab w:leader="none" w:pos="2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firstLine="2277"/>
        <w:spacing w:after="0" w:line="277" w:lineRule="auto"/>
        <w:tabs>
          <w:tab w:leader="none" w:pos="27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rFonts w:ascii="Arial" w:cs="Arial" w:eastAsia="Arial" w:hAnsi="Arial"/>
          <w:sz w:val="18"/>
          <w:szCs w:val="18"/>
          <w:color w:val="auto"/>
        </w:rPr>
      </w:pPr>
    </w:p>
    <w:p>
      <w:pPr>
        <w:ind w:left="2780" w:hanging="503"/>
        <w:spacing w:after="0"/>
        <w:tabs>
          <w:tab w:leader="none" w:pos="2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principal amount, if any, of the Notes that remain subject to a Repurchase Notice.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Deposit of Repurchase Price</w:t>
      </w:r>
      <w:r>
        <w:rPr>
          <w:rFonts w:ascii="Arial" w:cs="Arial" w:eastAsia="Arial" w:hAnsi="Arial"/>
          <w:sz w:val="16"/>
          <w:szCs w:val="16"/>
          <w:color w:val="auto"/>
        </w:rPr>
        <w:t>. Prior to 12:00 p.m. (New York City time) on or prior to the Repurchase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the Paying Agent holds money sufficient to pay the Repurchase Price with respect to the Notes to be repurchased on the Repurchase Date in accordance with the terms of this Indenture, then, immediately on and after the Repurchase Date,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Notes Repurchased in Part</w:t>
      </w:r>
      <w:r>
        <w:rPr>
          <w:rFonts w:ascii="Arial" w:cs="Arial" w:eastAsia="Arial" w:hAnsi="Arial"/>
          <w:sz w:val="16"/>
          <w:szCs w:val="16"/>
          <w:color w:val="auto"/>
        </w:rPr>
        <w:t>. Any Note which is to be repurchased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repurchased.</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Covenant to Comply with Securities Laws upon Repurchase of Notes</w:t>
      </w:r>
      <w:r>
        <w:rPr>
          <w:rFonts w:ascii="Arial" w:cs="Arial" w:eastAsia="Arial" w:hAnsi="Arial"/>
          <w:sz w:val="18"/>
          <w:szCs w:val="18"/>
          <w:color w:val="auto"/>
        </w:rPr>
        <w:t>. In connection with any repurchase upon the occurrence of a Change in Control, to the extent required by applicable law, the Company shall:</w:t>
      </w:r>
    </w:p>
    <w:p>
      <w:pPr>
        <w:spacing w:after="0" w:line="170" w:lineRule="exact"/>
        <w:rPr>
          <w:sz w:val="20"/>
          <w:szCs w:val="20"/>
          <w:color w:val="auto"/>
        </w:rPr>
      </w:pPr>
    </w:p>
    <w:p>
      <w:pPr>
        <w:ind w:left="1780" w:hanging="475"/>
        <w:spacing w:after="0"/>
        <w:tabs>
          <w:tab w:leader="none" w:pos="1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comply with the provisions of Rule 13e-4, Rule 14e-1 and any other tender offer rules under the Exchange Act that may then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and</w:t>
      </w:r>
    </w:p>
    <w:p>
      <w:pPr>
        <w:spacing w:after="0" w:line="211" w:lineRule="exact"/>
        <w:rPr>
          <w:sz w:val="20"/>
          <w:szCs w:val="20"/>
          <w:color w:val="auto"/>
        </w:rPr>
      </w:pPr>
    </w:p>
    <w:p>
      <w:pPr>
        <w:ind w:left="1740" w:hanging="435"/>
        <w:spacing w:after="0"/>
        <w:tabs>
          <w:tab w:leader="none" w:pos="17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as necessary to effect a repurchase of Notes by the Company at the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r>
        <w:rPr>
          <w:rFonts w:ascii="Arial" w:cs="Arial" w:eastAsia="Arial" w:hAnsi="Arial"/>
          <w:sz w:val="18"/>
          <w:szCs w:val="18"/>
          <w:color w:val="auto"/>
        </w:rPr>
        <w:t xml:space="preserve">. (a) The Company agrees to pay the principal of and interest on the Notes on the dates and in the manner provided in the Notes and this Indenture. Not later than 12:00 p.m. New York City time, on the due date of any principal of or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or any Affiliate of the Company is acting as Paying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89" w:lineRule="exact"/>
        <w:rPr>
          <w:sz w:val="20"/>
          <w:szCs w:val="20"/>
          <w:color w:val="auto"/>
        </w:rPr>
      </w:pPr>
    </w:p>
    <w:p>
      <w:pPr>
        <w:ind w:right="120" w:firstLine="1305"/>
        <w:spacing w:after="0" w:line="286" w:lineRule="auto"/>
        <w:tabs>
          <w:tab w:leader="none" w:pos="17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installment of principal or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will be considered paid on the due date only if paid to the Holders.</w:t>
      </w:r>
    </w:p>
    <w:p>
      <w:pPr>
        <w:spacing w:after="0" w:line="165" w:lineRule="exact"/>
        <w:rPr>
          <w:rFonts w:ascii="Arial" w:cs="Arial" w:eastAsia="Arial" w:hAnsi="Arial"/>
          <w:sz w:val="17"/>
          <w:szCs w:val="17"/>
          <w:color w:val="auto"/>
        </w:rPr>
      </w:pPr>
    </w:p>
    <w:p>
      <w:pPr>
        <w:ind w:right="280" w:firstLine="1305"/>
        <w:spacing w:after="0" w:line="277" w:lineRule="auto"/>
        <w:tabs>
          <w:tab w:leader="none" w:pos="17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ectPr>
          <w:pgSz w:w="11900" w:h="16838" w:orient="portrait"/>
          <w:cols w:equalWidth="0" w:num="1">
            <w:col w:w="11400"/>
          </w:cols>
          <w:pgMar w:left="240" w:top="125" w:right="259" w:bottom="139" w:gutter="0" w:footer="0" w:header="0"/>
        </w:sectPr>
      </w:pPr>
    </w:p>
    <w:bookmarkStart w:id="28" w:name="page29"/>
    <w:bookmarkEnd w:id="28"/>
    <w:p>
      <w:pPr>
        <w:ind w:firstLine="1305"/>
        <w:spacing w:after="0" w:line="277" w:lineRule="auto"/>
        <w:tabs>
          <w:tab w:leader="none" w:pos="17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in respect of the Notes represented by the Global Notes are to be made by wire transfer of same-day funds to the Depositary for the purpose of permitting such party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r>
        <w:rPr>
          <w:rFonts w:ascii="Arial" w:cs="Arial" w:eastAsia="Arial" w:hAnsi="Arial"/>
          <w:sz w:val="18"/>
          <w:szCs w:val="18"/>
          <w:color w:val="auto"/>
        </w:rPr>
        <w:t>. The Company will maintain in the United States, an office or agency where Notes may be surrendered for registration of transfer or exchange or for presentation for payment and where notices and demands to or upon the 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9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The Company will do or cause to be done all things necessary to preserve and keep in full force and effect its existence 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this Section does not prohibit any transaction otherwise permitted by Section 5.01.</w:t>
      </w:r>
    </w:p>
    <w:p>
      <w:pPr>
        <w:spacing w:after="0" w:line="18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Annual Reports</w:t>
      </w:r>
      <w:r>
        <w:rPr>
          <w:rFonts w:ascii="Arial" w:cs="Arial" w:eastAsia="Arial" w:hAnsi="Arial"/>
          <w:sz w:val="17"/>
          <w:szCs w:val="17"/>
          <w:color w:val="auto"/>
        </w:rPr>
        <w:t>. The Company shall deliver to the Trustee, within fifteen days after the Company is required to file the 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provided that any such information, documents or reports filed with the Commission pursuant to its Electronic Data Gathering, Analysis and Retrieval (or EDGAR) system shall be deemed to be filed with the Trustee.</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656"/>
        <w:spacing w:after="0" w:line="286" w:lineRule="auto"/>
        <w:tabs>
          <w:tab w:leader="none" w:pos="13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65" w:lineRule="exact"/>
        <w:rPr>
          <w:rFonts w:ascii="Arial" w:cs="Arial" w:eastAsia="Arial" w:hAnsi="Arial"/>
          <w:sz w:val="17"/>
          <w:szCs w:val="17"/>
          <w:color w:val="auto"/>
        </w:rPr>
      </w:pPr>
    </w:p>
    <w:p>
      <w:pPr>
        <w:ind w:right="300" w:firstLine="656"/>
        <w:spacing w:after="0" w:line="342" w:lineRule="auto"/>
        <w:tabs>
          <w:tab w:leader="none" w:pos="1353"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Stay, Extension and Usury Laws</w:t>
      </w:r>
      <w:r>
        <w:rPr>
          <w:rFonts w:ascii="Arial" w:cs="Arial" w:eastAsia="Arial" w:hAnsi="Arial"/>
          <w:sz w:val="17"/>
          <w:szCs w:val="17"/>
          <w:color w:val="auto"/>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Consolidation, Merger, Sale or Lease of Assets by the Company</w:t>
      </w:r>
      <w:r>
        <w:rPr>
          <w:rFonts w:ascii="Arial" w:cs="Arial" w:eastAsia="Arial" w:hAnsi="Arial"/>
          <w:sz w:val="16"/>
          <w:szCs w:val="16"/>
          <w:color w:val="auto"/>
        </w:rPr>
        <w:t>. (a) The Company may consolidate with or merge into 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Person or convey, transfer or lease its properties and assets substantially as an entirety to another Person (other than a Subsidiary of the Company) only if:</w:t>
      </w:r>
    </w:p>
    <w:p>
      <w:pPr>
        <w:spacing w:after="0" w:line="234" w:lineRule="exact"/>
        <w:rPr>
          <w:sz w:val="20"/>
          <w:szCs w:val="20"/>
          <w:color w:val="auto"/>
        </w:rPr>
      </w:pPr>
    </w:p>
    <w:p>
      <w:pPr>
        <w:ind w:right="140" w:firstLine="2079"/>
        <w:spacing w:after="0" w:line="277" w:lineRule="auto"/>
        <w:tabs>
          <w:tab w:leader="none" w:pos="27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70" w:lineRule="exact"/>
        <w:rPr>
          <w:rFonts w:ascii="Arial" w:cs="Arial" w:eastAsia="Arial" w:hAnsi="Arial"/>
          <w:sz w:val="18"/>
          <w:szCs w:val="18"/>
          <w:color w:val="auto"/>
        </w:rPr>
      </w:pPr>
    </w:p>
    <w:p>
      <w:pPr>
        <w:ind w:left="2800" w:hanging="721"/>
        <w:spacing w:after="0"/>
        <w:tabs>
          <w:tab w:leader="none" w:pos="2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such corporation (if other than the Company) assumes all of the obligations of the Company under the Notes and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left="2800" w:hanging="721"/>
        <w:spacing w:after="0"/>
        <w:tabs>
          <w:tab w:leader="none" w:pos="2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has occurred and is continuing;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ectPr>
          <w:pgSz w:w="11900" w:h="16838" w:orient="portrait"/>
          <w:cols w:equalWidth="0" w:num="1">
            <w:col w:w="11420"/>
          </w:cols>
          <w:pgMar w:left="240" w:top="125" w:right="239" w:bottom="0" w:gutter="0" w:footer="0" w:header="0"/>
        </w:sectPr>
      </w:pPr>
    </w:p>
    <w:bookmarkStart w:id="29" w:name="page30"/>
    <w:bookmarkEnd w:id="29"/>
    <w:p>
      <w:pPr>
        <w:ind w:right="700" w:firstLine="2079"/>
        <w:spacing w:after="0" w:line="308" w:lineRule="auto"/>
        <w:tabs>
          <w:tab w:leader="none" w:pos="2781"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146" w:lineRule="exact"/>
        <w:rPr>
          <w:rFonts w:ascii="Arial" w:cs="Arial" w:eastAsia="Arial" w:hAnsi="Arial"/>
          <w:sz w:val="17"/>
          <w:szCs w:val="17"/>
          <w:color w:val="auto"/>
        </w:rPr>
      </w:pPr>
    </w:p>
    <w:p>
      <w:pPr>
        <w:ind w:right="80" w:firstLine="1305"/>
        <w:spacing w:after="0" w:line="308" w:lineRule="auto"/>
        <w:tabs>
          <w:tab w:leader="none" w:pos="16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80" w:firstLine="1305"/>
        <w:spacing w:after="0" w:line="277" w:lineRule="auto"/>
        <w:tabs>
          <w:tab w:leader="none" w:pos="17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w:t>
      </w:r>
    </w:p>
    <w:p>
      <w:pPr>
        <w:spacing w:after="0" w:line="170" w:lineRule="exact"/>
        <w:rPr>
          <w:rFonts w:ascii="Arial" w:cs="Arial" w:eastAsia="Arial" w:hAnsi="Arial"/>
          <w:sz w:val="18"/>
          <w:szCs w:val="18"/>
          <w:color w:val="auto"/>
        </w:rPr>
      </w:pPr>
    </w:p>
    <w:p>
      <w:pPr>
        <w:ind w:right="680" w:firstLine="1305"/>
        <w:spacing w:after="0" w:line="277" w:lineRule="auto"/>
        <w:tabs>
          <w:tab w:leader="none" w:pos="17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defaults in payment of any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340" w:firstLine="1305"/>
        <w:spacing w:after="0" w:line="264" w:lineRule="auto"/>
        <w:tabs>
          <w:tab w:leader="none" w:pos="17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a Change in Control as required under Section 3.01(b) of this Indenture or a Make-Whole Change in Control that does not constitute a Change in Control as required under Section 10.13(a) of this Indenture, and such default continues for a period of three Business Days;</w:t>
      </w:r>
    </w:p>
    <w:p>
      <w:pPr>
        <w:spacing w:after="0" w:line="181" w:lineRule="exact"/>
        <w:rPr>
          <w:rFonts w:ascii="Arial" w:cs="Arial" w:eastAsia="Arial" w:hAnsi="Arial"/>
          <w:sz w:val="18"/>
          <w:szCs w:val="18"/>
          <w:color w:val="auto"/>
        </w:rPr>
      </w:pPr>
    </w:p>
    <w:p>
      <w:pPr>
        <w:ind w:right="20" w:firstLine="1305"/>
        <w:spacing w:after="0" w:line="277" w:lineRule="auto"/>
        <w:tabs>
          <w:tab w:leader="none" w:pos="17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fails to issue any notice of a distribution as required under Section 10.01(e) of this Indenture, and such default continues for a period of three Business Days;</w:t>
      </w:r>
    </w:p>
    <w:p>
      <w:pPr>
        <w:spacing w:after="0" w:line="170" w:lineRule="exact"/>
        <w:rPr>
          <w:rFonts w:ascii="Arial" w:cs="Arial" w:eastAsia="Arial" w:hAnsi="Arial"/>
          <w:sz w:val="18"/>
          <w:szCs w:val="18"/>
          <w:color w:val="auto"/>
        </w:rPr>
      </w:pPr>
    </w:p>
    <w:p>
      <w:pPr>
        <w:ind w:right="580" w:firstLine="1305"/>
        <w:spacing w:after="0" w:line="277" w:lineRule="auto"/>
        <w:tabs>
          <w:tab w:leader="none" w:pos="17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Common Stock, Cash or a combination of Cash and Common Stock, as applicable, upon exercise of a Holder’s right to convert its Notes pursuant to Article 10;</w:t>
      </w:r>
    </w:p>
    <w:p>
      <w:pPr>
        <w:spacing w:after="0" w:line="170" w:lineRule="exact"/>
        <w:rPr>
          <w:rFonts w:ascii="Arial" w:cs="Arial" w:eastAsia="Arial" w:hAnsi="Arial"/>
          <w:sz w:val="18"/>
          <w:szCs w:val="18"/>
          <w:color w:val="auto"/>
        </w:rPr>
      </w:pPr>
    </w:p>
    <w:p>
      <w:pPr>
        <w:ind w:right="40" w:firstLine="1305"/>
        <w:spacing w:after="0" w:line="264" w:lineRule="auto"/>
        <w:tabs>
          <w:tab w:leader="none" w:pos="17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81" w:lineRule="exact"/>
        <w:rPr>
          <w:rFonts w:ascii="Arial" w:cs="Arial" w:eastAsia="Arial" w:hAnsi="Arial"/>
          <w:sz w:val="18"/>
          <w:szCs w:val="18"/>
          <w:color w:val="auto"/>
        </w:rPr>
      </w:pPr>
    </w:p>
    <w:p>
      <w:pPr>
        <w:ind w:firstLine="1305"/>
        <w:spacing w:after="0" w:line="293" w:lineRule="auto"/>
        <w:tabs>
          <w:tab w:leader="none" w:pos="1731"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 (2) above shall cease or be cured, waived, rescinded or annulled, then the resulting Event of Default shall be deemed not to have occurred;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40" w:hanging="435"/>
        <w:spacing w:after="0"/>
        <w:tabs>
          <w:tab w:leader="none" w:pos="17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pursuant to or under or within the meaning of any Bankruptcy Law, (i) commences a voluntary case or proceeding;</w:t>
      </w:r>
    </w:p>
    <w:p>
      <w:pPr>
        <w:spacing w:after="0" w:line="46" w:lineRule="exact"/>
        <w:rPr>
          <w:rFonts w:ascii="Arial" w:cs="Arial" w:eastAsia="Arial" w:hAnsi="Arial"/>
          <w:sz w:val="16"/>
          <w:szCs w:val="16"/>
          <w:color w:val="auto"/>
        </w:rPr>
      </w:pPr>
    </w:p>
    <w:p>
      <w:pPr>
        <w:ind w:right="100" w:firstLine="8"/>
        <w:spacing w:after="0" w:line="295" w:lineRule="auto"/>
        <w:tabs>
          <w:tab w:leader="none" w:pos="26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61" w:lineRule="exact"/>
        <w:rPr>
          <w:rFonts w:ascii="Arial" w:cs="Arial" w:eastAsia="Arial" w:hAnsi="Arial"/>
          <w:sz w:val="16"/>
          <w:szCs w:val="16"/>
          <w:color w:val="auto"/>
        </w:rPr>
      </w:pPr>
    </w:p>
    <w:p>
      <w:pPr>
        <w:ind w:right="40" w:firstLine="1305"/>
        <w:spacing w:after="0" w:line="279" w:lineRule="auto"/>
        <w:tabs>
          <w:tab w:leader="none" w:pos="1781" w:val="left"/>
        </w:tabs>
        <w:numPr>
          <w:ilvl w:val="1"/>
          <w:numId w:val="56"/>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(h) or (i) a “</w:t>
      </w:r>
      <w:r>
        <w:rPr>
          <w:rFonts w:ascii="Arial" w:cs="Arial" w:eastAsia="Arial" w:hAnsi="Arial"/>
          <w:sz w:val="17"/>
          <w:szCs w:val="17"/>
          <w:b w:val="1"/>
          <w:bCs w:val="1"/>
          <w:color w:val="auto"/>
        </w:rPr>
        <w:t>Bankruptcy Default</w:t>
      </w:r>
      <w:r>
        <w:rPr>
          <w:rFonts w:ascii="Arial" w:cs="Arial" w:eastAsia="Arial" w:hAnsi="Arial"/>
          <w:sz w:val="17"/>
          <w:szCs w:val="17"/>
          <w:color w:val="auto"/>
        </w:rPr>
        <w:t>”).</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r>
        <w:rPr>
          <w:rFonts w:ascii="Arial" w:cs="Arial" w:eastAsia="Arial" w:hAnsi="Arial"/>
          <w:sz w:val="18"/>
          <w:szCs w:val="18"/>
          <w:color w:val="auto"/>
        </w:rPr>
        <w:t>. If an Event of Default, other than a Bankruptcy Default, occurs and is continuing under this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and unpaid interest on the Notes to be immediately due and payable. Upon a declaration of acceleration, such principal and interest will become immediately due and payable. If a Bankruptcy Default occurs, the principal of and accrued interest on the Notes then outstanding will become immediately due and payable automatically without any declaration or other act on the part of the Trustee or any Holder.</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r>
        <w:rPr>
          <w:rFonts w:ascii="Arial" w:cs="Arial" w:eastAsia="Arial" w:hAnsi="Arial"/>
          <w:sz w:val="18"/>
          <w:szCs w:val="18"/>
          <w:color w:val="auto"/>
        </w:rPr>
        <w:t>. If an Event of Default occurs and is continuing, the Trustee may pursue, in its own name or as trustee of an express trust, any available remedy by proceeding at law or in equity to collect the payment of principal of and interest on the Notes or to enforce the performance of any provision of the Notes or this Indenture. The Trustee may maintain a proceeding even if it does not possess any of the Notes or does not produce any of them in the proceeding.</w:t>
      </w:r>
    </w:p>
    <w:p>
      <w:pPr>
        <w:sectPr>
          <w:pgSz w:w="11900" w:h="16838" w:orient="portrait"/>
          <w:cols w:equalWidth="0" w:num="1">
            <w:col w:w="11420"/>
          </w:cols>
          <w:pgMar w:left="240" w:top="125" w:right="239" w:bottom="0" w:gutter="0" w:footer="0" w:header="0"/>
        </w:sectPr>
      </w:pPr>
    </w:p>
    <w:bookmarkStart w:id="30" w:name="page31"/>
    <w:bookmarkEnd w:id="30"/>
    <w:p>
      <w:pPr>
        <w:ind w:right="120" w:firstLine="648"/>
        <w:spacing w:after="0" w:line="293"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Waiver of Past Defaults</w:t>
      </w:r>
      <w:r>
        <w:rPr>
          <w:rFonts w:ascii="Arial" w:cs="Arial" w:eastAsia="Arial" w:hAnsi="Arial"/>
          <w:sz w:val="16"/>
          <w:szCs w:val="16"/>
          <w:color w:val="auto"/>
        </w:rPr>
        <w:t>. Except as otherwise provided in Section 6.07 and Section 9.02(b), Holders of a majority in principal amount of the outstanding Notes by written notice to the Company and to the Trustee may waive any existing or future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with respect to any Note or the Repurchase Price or Redemption Price with respect to any Note, (b) in the payment or delivery of the consideration due upon conversion of the Notes or (c) in respect of any provision that under this Indenture cannot be modified or amended without the consent of the Holder of each outstanding Note affected) if: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2277"/>
        <w:spacing w:after="0" w:line="277" w:lineRule="auto"/>
        <w:tabs>
          <w:tab w:leader="none" w:pos="26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on the Notes that have become due solely by the declaration of acceleration, have been cured or waived, and</w:t>
      </w:r>
    </w:p>
    <w:p>
      <w:pPr>
        <w:spacing w:after="0" w:line="170" w:lineRule="exact"/>
        <w:rPr>
          <w:rFonts w:ascii="Arial" w:cs="Arial" w:eastAsia="Arial" w:hAnsi="Arial"/>
          <w:sz w:val="18"/>
          <w:szCs w:val="18"/>
          <w:color w:val="auto"/>
        </w:rPr>
      </w:pPr>
    </w:p>
    <w:p>
      <w:pPr>
        <w:ind w:left="2640" w:hanging="363"/>
        <w:spacing w:after="0"/>
        <w:tabs>
          <w:tab w:leader="none" w:pos="2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Control by Majority</w:t>
      </w:r>
      <w:r>
        <w:rPr>
          <w:rFonts w:ascii="Arial" w:cs="Arial" w:eastAsia="Arial" w:hAnsi="Arial"/>
          <w:sz w:val="17"/>
          <w:szCs w:val="17"/>
          <w:color w:val="auto"/>
        </w:rPr>
        <w:t>. The Holders of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r>
        <w:rPr>
          <w:rFonts w:ascii="Arial" w:cs="Arial" w:eastAsia="Arial" w:hAnsi="Arial"/>
          <w:sz w:val="18"/>
          <w:szCs w:val="18"/>
          <w:color w:val="auto"/>
        </w:rPr>
        <w:t>. A Holder may not institute any proceeding, judicial or otherwise, with respect to this Indenture or the Notes, or for the appointment of a receiver or trustee, or for any other remedy under this Indenture or the Notes, unless:</w:t>
      </w:r>
    </w:p>
    <w:p>
      <w:pPr>
        <w:spacing w:after="0" w:line="170" w:lineRule="exact"/>
        <w:rPr>
          <w:sz w:val="20"/>
          <w:szCs w:val="20"/>
          <w:color w:val="auto"/>
        </w:rPr>
      </w:pPr>
    </w:p>
    <w:p>
      <w:pPr>
        <w:ind w:left="2760" w:hanging="483"/>
        <w:spacing w:after="0"/>
        <w:tabs>
          <w:tab w:leader="none" w:pos="2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40" w:firstLine="2277"/>
        <w:spacing w:after="0" w:line="277" w:lineRule="auto"/>
        <w:tabs>
          <w:tab w:leader="none" w:pos="27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100" w:firstLine="2277"/>
        <w:spacing w:after="0" w:line="277" w:lineRule="auto"/>
        <w:tabs>
          <w:tab w:leader="none" w:pos="27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760" w:hanging="483"/>
        <w:spacing w:after="0"/>
        <w:tabs>
          <w:tab w:leader="none" w:pos="2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6"/>
          <w:szCs w:val="16"/>
          <w:color w:val="auto"/>
        </w:rPr>
      </w:pPr>
    </w:p>
    <w:p>
      <w:pPr>
        <w:ind w:right="180" w:firstLine="2277"/>
        <w:spacing w:after="0" w:line="277" w:lineRule="auto"/>
        <w:tabs>
          <w:tab w:leader="none" w:pos="27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ind w:right="660" w:firstLine="8"/>
        <w:spacing w:after="0" w:line="261" w:lineRule="auto"/>
        <w:tabs>
          <w:tab w:leader="none" w:pos="2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 of principal of or interest on its Note on the Maturity Date or the relevant Interest Payment Date, as the case may be, (x) payment of the Repurchase Price on the Repurchase Date, (y) payment of the Redemption Price on the Redemption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Date and (z) payment or delivery, as the case may be, of Cash, Common Stock or a combination thereof upon conversion of such Note on the date specified in the third paragraph of Section 10.02(a), or to bring suit for the enforcement of any such payment or delivery, as the case may be, on or after such respective dates, may not be impaired or affected without the consent of that Holder.</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i w:val="1"/>
          <w:iCs w:val="1"/>
          <w:color w:val="auto"/>
        </w:rPr>
        <w:t>Collection Suit by Trustee</w:t>
      </w:r>
      <w:r>
        <w:rPr>
          <w:rFonts w:ascii="Arial" w:cs="Arial" w:eastAsia="Arial" w:hAnsi="Arial"/>
          <w:sz w:val="17"/>
          <w:szCs w:val="17"/>
          <w:color w:val="auto"/>
        </w:rPr>
        <w:t>. If an Event of Default in payment of principal or interest specified in clause (a) or (b) of Section 6.01 occurs and is continuing, the Trustee may recover judgment in its own name and as trustee of an express trust for the whole amount of principal and accrued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pacing w:after="0" w:line="17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Trustee May File Proofs of Claim</w:t>
      </w:r>
      <w:r>
        <w:rPr>
          <w:rFonts w:ascii="Arial" w:cs="Arial" w:eastAsia="Arial" w:hAnsi="Arial"/>
          <w:sz w:val="16"/>
          <w:szCs w:val="16"/>
          <w:color w:val="auto"/>
        </w:rPr>
        <w:t>. The Trustee may file proofs of claim and other papers or documents as may be necessary or 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r>
        <w:rPr>
          <w:rFonts w:ascii="Arial" w:cs="Arial" w:eastAsia="Arial" w:hAnsi="Arial"/>
          <w:sz w:val="18"/>
          <w:szCs w:val="18"/>
          <w:color w:val="auto"/>
        </w:rPr>
        <w:t>. If the Trustee collects any money or property pursuant to this Article, it shall pay out the money or property in the following order:</w:t>
      </w:r>
    </w:p>
    <w:p>
      <w:pPr>
        <w:sectPr>
          <w:pgSz w:w="11900" w:h="16838" w:orient="portrait"/>
          <w:cols w:equalWidth="0" w:num="1">
            <w:col w:w="11400"/>
          </w:cols>
          <w:pgMar w:left="240" w:top="125" w:right="259" w:bottom="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Second: to Holders for amounts then due and unpaid for principal of and interest on the Notes, ratably, without preference or priority of any kind, according to the amounts due and payable on the Notes for principal and interest;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Trustee, upon written notice to the Company, may fix a record date and payment date for any payment to Holders pursuant to this Section. At least 15 days before such record date, the Trustee shall mail to each Noteholder and the Company a notice that states the record date, the payment date and the amount to be paid.</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 proceeding to enforce any right or remedy under 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for Costs</w:t>
      </w:r>
      <w:r>
        <w:rPr>
          <w:rFonts w:ascii="Arial" w:cs="Arial" w:eastAsia="Arial" w:hAnsi="Arial"/>
          <w:sz w:val="17"/>
          <w:szCs w:val="17"/>
          <w:color w:val="auto"/>
        </w:rPr>
        <w:t>. In any suit for the enforcement of any right or remedy under this Indenture or in any suit against the 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principal of or interest on any Note on the respective due dates, (b) the Change of Control Purchase Price on the Change of Control Repurchase Date, (c) the Redemption Price on the Redemption Date, (d) the Cash, Common Stock, or a combination thereof due upon conversion of a Note or (e) a suit by Holders of more than 10% in principal amount of the outstanding Notes.</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No right or remedy conferred or reserved to the Trustee or to the Holders under this Indenture is 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Failure to File</w:t>
      </w:r>
      <w:r>
        <w:rPr>
          <w:rFonts w:ascii="Arial" w:cs="Arial" w:eastAsia="Arial" w:hAnsi="Arial"/>
          <w:sz w:val="18"/>
          <w:szCs w:val="18"/>
          <w:color w:val="auto"/>
        </w:rPr>
        <w:t>. Notwithstanding anything in this Article 6, the Company may, at its option, elect that the sole remedy for an Event of Default relating to its failure to comply with its obligations described under Section 4.04 or its failure to comply with the requirements of Section 314(a)(1) of the Trust Indenture Act will for the first 180 days after the occurrence of such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 Event of Default consist exclusively of the right to receive an extension fee on the notes in an amount equal to 0.5% of the principal amount of the Notes (the “</w:t>
      </w:r>
      <w:r>
        <w:rPr>
          <w:rFonts w:ascii="Arial" w:cs="Arial" w:eastAsia="Arial" w:hAnsi="Arial"/>
          <w:sz w:val="18"/>
          <w:szCs w:val="18"/>
          <w:b w:val="1"/>
          <w:bCs w:val="1"/>
          <w:color w:val="auto"/>
        </w:rPr>
        <w:t>Extension Fee</w:t>
      </w:r>
      <w:r>
        <w:rPr>
          <w:rFonts w:ascii="Arial" w:cs="Arial" w:eastAsia="Arial" w:hAnsi="Arial"/>
          <w:sz w:val="18"/>
          <w:szCs w:val="18"/>
          <w:color w:val="auto"/>
        </w:rPr>
        <w:t>”). The Company shall pay the Extension Fee on all outstanding Notes on the date on which such Event of Default first occurs. On the 181st day after such Event of Default (if the Event of Default relating to the reporting obligations is not cured or waived prior to such 181st day), the Notes shall be subject to acceleration as provided in Section 6.02. This Section 6.15 shall not affect the rights of Holders of Notes if any other Event of Default occurs under the Indenture. If the Company does not pay the Extension Fee on a timely basis in accordance with this Section 6.15, the Notes shall be subject to acceleration as provided in Section 6.02.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General</w:t>
      </w:r>
      <w:r>
        <w:rPr>
          <w:rFonts w:ascii="Arial" w:cs="Arial" w:eastAsia="Arial" w:hAnsi="Arial"/>
          <w:sz w:val="18"/>
          <w:szCs w:val="18"/>
          <w:color w:val="auto"/>
        </w:rPr>
        <w:t>. (a) The duties and responsibilities of the Trustee are as provided by the Trust Indenture Act and as set forth herein. 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firstLine="1305"/>
        <w:spacing w:after="0" w:line="279" w:lineRule="auto"/>
        <w:tabs>
          <w:tab w:leader="none" w:pos="17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Arial" w:cs="Arial" w:eastAsia="Arial" w:hAnsi="Arial"/>
          <w:sz w:val="17"/>
          <w:szCs w:val="17"/>
          <w:color w:val="auto"/>
        </w:rPr>
      </w:pPr>
    </w:p>
    <w:p>
      <w:pPr>
        <w:ind w:right="180" w:firstLine="1305"/>
        <w:spacing w:after="0" w:line="277" w:lineRule="auto"/>
        <w:tabs>
          <w:tab w:leader="none" w:pos="17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ectPr>
          <w:pgSz w:w="11900" w:h="16838" w:orient="portrait"/>
          <w:cols w:equalWidth="0" w:num="1">
            <w:col w:w="11400"/>
          </w:cols>
          <w:pgMar w:left="240" w:top="125" w:right="259" w:bottom="0" w:gutter="0" w:footer="0" w:header="0"/>
        </w:sectPr>
      </w:pPr>
    </w:p>
    <w:bookmarkStart w:id="32" w:name="page33"/>
    <w:bookmarkEnd w:id="32"/>
    <w:p>
      <w:pPr>
        <w:ind w:left="660"/>
        <w:spacing w:after="0"/>
        <w:tabs>
          <w:tab w:leader="none" w:pos="20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80" w:firstLine="1305"/>
        <w:spacing w:after="0" w:line="255" w:lineRule="auto"/>
        <w:tabs>
          <w:tab w:leader="none" w:pos="17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0" w:firstLine="1305"/>
        <w:spacing w:after="0" w:line="342" w:lineRule="auto"/>
        <w:tabs>
          <w:tab w:leader="none" w:pos="1731" w:val="left"/>
        </w:tabs>
        <w:numPr>
          <w:ilvl w:val="0"/>
          <w:numId w:val="62"/>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conforming to Section 13.06 and the Trustee will not be liable for any action it takes or omits to take in good faith in reliance on the certificate or opinion.</w:t>
      </w:r>
    </w:p>
    <w:p>
      <w:pPr>
        <w:spacing w:after="0" w:line="123" w:lineRule="exact"/>
        <w:rPr>
          <w:rFonts w:ascii="Arial" w:cs="Arial" w:eastAsia="Arial" w:hAnsi="Arial"/>
          <w:sz w:val="16"/>
          <w:szCs w:val="16"/>
          <w:color w:val="auto"/>
        </w:rPr>
      </w:pPr>
    </w:p>
    <w:p>
      <w:pPr>
        <w:ind w:right="500" w:firstLine="1305"/>
        <w:spacing w:after="0" w:line="277" w:lineRule="auto"/>
        <w:tabs>
          <w:tab w:leader="none" w:pos="17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1" w:lineRule="exact"/>
        <w:rPr>
          <w:rFonts w:ascii="Arial" w:cs="Arial" w:eastAsia="Arial" w:hAnsi="Arial"/>
          <w:sz w:val="18"/>
          <w:szCs w:val="18"/>
          <w:color w:val="auto"/>
        </w:rPr>
      </w:pPr>
    </w:p>
    <w:p>
      <w:pPr>
        <w:ind w:right="120" w:firstLine="1305"/>
        <w:spacing w:after="0" w:line="259" w:lineRule="auto"/>
        <w:tabs>
          <w:tab w:leader="none" w:pos="17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260" w:firstLine="1305"/>
        <w:spacing w:after="0" w:line="308" w:lineRule="auto"/>
        <w:tabs>
          <w:tab w:leader="none" w:pos="17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120" w:firstLine="1305"/>
        <w:spacing w:after="0" w:line="264" w:lineRule="auto"/>
        <w:tabs>
          <w:tab w:leader="none" w:pos="17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rFonts w:ascii="Arial" w:cs="Arial" w:eastAsia="Arial" w:hAnsi="Arial"/>
          <w:sz w:val="18"/>
          <w:szCs w:val="18"/>
          <w:color w:val="auto"/>
        </w:rPr>
      </w:pPr>
    </w:p>
    <w:p>
      <w:pPr>
        <w:ind w:right="240" w:firstLine="1305"/>
        <w:spacing w:after="0" w:line="279" w:lineRule="auto"/>
        <w:tabs>
          <w:tab w:leader="none" w:pos="1731"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with respect to Section 4.01, the Trustee shall have no duty to inquire as to performance of the Company with respect to the covenants contained in Article 4. In addition, the Trustee shall not be deemed to have knowledge of an Default or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71" w:lineRule="exact"/>
        <w:rPr>
          <w:rFonts w:ascii="Arial" w:cs="Arial" w:eastAsia="Arial" w:hAnsi="Arial"/>
          <w:sz w:val="17"/>
          <w:szCs w:val="17"/>
          <w:color w:val="auto"/>
        </w:rPr>
      </w:pPr>
    </w:p>
    <w:p>
      <w:pPr>
        <w:ind w:right="500" w:firstLine="1305"/>
        <w:spacing w:after="0" w:line="264" w:lineRule="auto"/>
        <w:tabs>
          <w:tab w:leader="none" w:pos="17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Individual Rights of Trustee</w:t>
      </w:r>
      <w:r>
        <w:rPr>
          <w:rFonts w:ascii="Arial" w:cs="Arial" w:eastAsia="Arial" w:hAnsi="Arial"/>
          <w:sz w:val="17"/>
          <w:szCs w:val="17"/>
          <w:color w:val="auto"/>
        </w:rPr>
        <w:t>. The Trustee, in its individual or any other capacity, may become the owner or pledgee of Notes and may otherwise deal with the Company or its Affiliates with the same rights it would have if it were not the Trustee. Any Agent may do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same with like rights. However, the Trustee is subject to Trust Indenture Act Sections 310(b) and 311.</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(a) makes no representation as to the validity or adequacy of this Indenture or the Notes, (b) is not accountable for the Company’s use or application of the proceeds from the Notes and (c) is not responsible for any statement in the Notes other than its certificate of authentication.</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Notice of Default</w:t>
      </w:r>
      <w:r>
        <w:rPr>
          <w:rFonts w:ascii="Arial" w:cs="Arial" w:eastAsia="Arial" w:hAnsi="Arial"/>
          <w:sz w:val="16"/>
          <w:szCs w:val="16"/>
          <w:color w:val="auto"/>
        </w:rPr>
        <w:t xml:space="preserve">. If any Default or Event of Default occurs and is continuing and is known to the Trustee, the Trustee will send notice of the Default or Event of Default to each Holder within 90 days after it occurs, unless the Default or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a default (w) in the payment of the principal of or interest on any Note (x) in the payment of the Repurchase Price on the Repurchase Date, (y) in the payment of the Redemption Price on the Redemption Date or (z) in the payment or delivery, as the case may be, of Cash, Common Stock or a combination thereof upon conversion of such Note on the date specified in the third paragraph of Section 10.02(b), the Trustee may withhold the notice if and so long as the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6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Reports by Trustee to Holders</w:t>
      </w:r>
      <w:r>
        <w:rPr>
          <w:rFonts w:ascii="Arial" w:cs="Arial" w:eastAsia="Arial" w:hAnsi="Arial"/>
          <w:sz w:val="16"/>
          <w:szCs w:val="16"/>
          <w:color w:val="auto"/>
        </w:rPr>
        <w:t>. Within 60 days after each June 1, beginning with December 1, 2007, the Trustee will mail to each Holder, as provided in Trust Indenture Act Section 313(c), a brief report dated as of such December 1, if required by Trust Indenture Act Section 313(a), and file such reports with each stock exchange upon which its Notes are listed and with the Commission as required by Trust Indenture Act Section 313(d).</w:t>
      </w:r>
    </w:p>
    <w:p>
      <w:pPr>
        <w:sectPr>
          <w:pgSz w:w="11900" w:h="16838" w:orient="portrait"/>
          <w:cols w:equalWidth="0" w:num="1">
            <w:col w:w="11420"/>
          </w:cols>
          <w:pgMar w:left="240" w:top="125" w:right="239" w:bottom="0" w:gutter="0" w:footer="0" w:header="0"/>
        </w:sectPr>
      </w:pPr>
    </w:p>
    <w:bookmarkStart w:id="33" w:name="page34"/>
    <w:bookmarkEnd w:id="33"/>
    <w:p>
      <w:pPr>
        <w:ind w:right="200" w:firstLine="648"/>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(a) The Company will pay the Trustee compensation as agreed upon in writing for its services. The 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ind w:firstLine="1305"/>
        <w:spacing w:after="0" w:line="279" w:lineRule="auto"/>
        <w:tabs>
          <w:tab w:leader="none" w:pos="1731"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 connection with the exercise or performance of any of its powers or duties under this Indenture and the Notes.</w:t>
      </w:r>
    </w:p>
    <w:p>
      <w:pPr>
        <w:spacing w:after="0" w:line="171" w:lineRule="exact"/>
        <w:rPr>
          <w:rFonts w:ascii="Arial" w:cs="Arial" w:eastAsia="Arial" w:hAnsi="Arial"/>
          <w:sz w:val="17"/>
          <w:szCs w:val="17"/>
          <w:color w:val="auto"/>
        </w:rPr>
      </w:pPr>
    </w:p>
    <w:p>
      <w:pPr>
        <w:ind w:right="60" w:firstLine="1305"/>
        <w:spacing w:after="0" w:line="342" w:lineRule="auto"/>
        <w:tabs>
          <w:tab w:leader="none" w:pos="176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on particular Notes.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80" w:hanging="583"/>
        <w:spacing w:after="0"/>
        <w:tabs>
          <w:tab w:leader="none" w:pos="2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outstanding Notes may remove the Trustee by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60" w:firstLine="2097"/>
        <w:spacing w:after="0" w:line="264" w:lineRule="auto"/>
        <w:tabs>
          <w:tab w:leader="none" w:pos="26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rFonts w:ascii="Arial" w:cs="Arial" w:eastAsia="Arial" w:hAnsi="Arial"/>
          <w:sz w:val="18"/>
          <w:szCs w:val="18"/>
          <w:color w:val="auto"/>
        </w:rPr>
      </w:pPr>
    </w:p>
    <w:p>
      <w:pPr>
        <w:ind w:right="100" w:firstLine="2097"/>
        <w:spacing w:after="0" w:line="264" w:lineRule="auto"/>
        <w:tabs>
          <w:tab w:leader="none" w:pos="26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ind w:right="120" w:firstLine="1305"/>
        <w:spacing w:after="0" w:line="257" w:lineRule="auto"/>
        <w:tabs>
          <w:tab w:leader="none" w:pos="16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88" w:lineRule="exact"/>
        <w:rPr>
          <w:rFonts w:ascii="Arial" w:cs="Arial" w:eastAsia="Arial" w:hAnsi="Arial"/>
          <w:sz w:val="18"/>
          <w:szCs w:val="18"/>
          <w:color w:val="auto"/>
        </w:rPr>
      </w:pPr>
    </w:p>
    <w:p>
      <w:pPr>
        <w:ind w:firstLine="1305"/>
        <w:spacing w:after="0" w:line="293" w:lineRule="auto"/>
        <w:tabs>
          <w:tab w:leader="none" w:pos="1631"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delivery by the successor Trustee of a written acceptance of its appointment to the retiring Trustee and to the Company, (i) 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64" w:lineRule="exact"/>
        <w:rPr>
          <w:rFonts w:ascii="Arial" w:cs="Arial" w:eastAsia="Arial" w:hAnsi="Arial"/>
          <w:sz w:val="16"/>
          <w:szCs w:val="16"/>
          <w:color w:val="auto"/>
        </w:rPr>
      </w:pPr>
    </w:p>
    <w:p>
      <w:pPr>
        <w:ind w:right="200" w:firstLine="1305"/>
        <w:spacing w:after="0" w:line="277" w:lineRule="auto"/>
        <w:tabs>
          <w:tab w:leader="none" w:pos="16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Successor Trustee by Merger</w:t>
      </w:r>
      <w:r>
        <w:rPr>
          <w:rFonts w:ascii="Arial" w:cs="Arial" w:eastAsia="Arial" w:hAnsi="Arial"/>
          <w:sz w:val="18"/>
          <w:szCs w:val="18"/>
          <w:color w:val="auto"/>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w:t>
      </w:r>
      <w:r>
        <w:rPr>
          <w:rFonts w:ascii="Arial" w:cs="Arial" w:eastAsia="Arial" w:hAnsi="Arial"/>
          <w:sz w:val="18"/>
          <w:szCs w:val="18"/>
          <w:color w:val="auto"/>
        </w:rPr>
        <w:t>. This Indenture must always have a Trustee that satisfies the requirements of Trust Indenture Act Section 310(a) and has a combined capital and surplus of at least $25,000,000 as set forth in its most recent published annual report of condition.</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will not be liable for interest on any money received by it except as it may agree in writing with the Company. Money held in trust by the Trustee need not be segregated from other funds except to the extent required by law and except for money held in trust under Article 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Satisfaction and Discharge of this Indenture</w:t>
      </w:r>
      <w:r>
        <w:rPr>
          <w:rFonts w:ascii="Arial" w:cs="Arial" w:eastAsia="Arial" w:hAnsi="Arial"/>
          <w:sz w:val="16"/>
          <w:szCs w:val="16"/>
          <w:color w:val="auto"/>
        </w:rPr>
        <w:t>. (a) This Indenture shall cease to be of further effect if either: (i) all outstanding Notes (other than Notes replaced pursuant to Section 2.07) have been delivered to the Trustee for cancellation, (ii) all outstanding Notes have become due and</w:t>
      </w:r>
    </w:p>
    <w:p>
      <w:pPr>
        <w:sectPr>
          <w:pgSz w:w="11900" w:h="16838" w:orient="portrait"/>
          <w:cols w:equalWidth="0" w:num="1">
            <w:col w:w="11420"/>
          </w:cols>
          <w:pgMar w:left="240" w:top="125" w:right="239" w:bottom="0" w:gutter="0" w:footer="0" w:header="0"/>
        </w:sectPr>
      </w:pPr>
    </w:p>
    <w:bookmarkStart w:id="34" w:name="page35"/>
    <w:bookmarkEnd w:id="34"/>
    <w:p>
      <w:pPr>
        <w:ind w:right="120"/>
        <w:spacing w:after="0" w:line="255" w:lineRule="auto"/>
        <w:rPr>
          <w:sz w:val="20"/>
          <w:szCs w:val="20"/>
          <w:color w:val="auto"/>
        </w:rPr>
      </w:pPr>
      <w:r>
        <w:rPr>
          <w:rFonts w:ascii="Arial" w:cs="Arial" w:eastAsia="Arial" w:hAnsi="Arial"/>
          <w:sz w:val="18"/>
          <w:szCs w:val="18"/>
          <w:color w:val="auto"/>
        </w:rPr>
        <w:t xml:space="preserve">payable on the Maturity Date or on any Repurchase Date in connection with any repurchase upon the occurrence of a Change in Control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 respect of such payment or Cash and Common Stock, if any, in respect of any such conversion on the Maturity Date, the Repurchase Date, the Redemption Date or the date such conversion is to be settled,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all cases, the Company shall pay to the Trustee all other sums payable hereunder by the Company.</w:t>
      </w:r>
    </w:p>
    <w:p>
      <w:pPr>
        <w:spacing w:after="0" w:line="189" w:lineRule="exact"/>
        <w:rPr>
          <w:sz w:val="20"/>
          <w:szCs w:val="20"/>
          <w:color w:val="auto"/>
        </w:rPr>
      </w:pPr>
    </w:p>
    <w:p>
      <w:pPr>
        <w:ind w:left="1640" w:hanging="335"/>
        <w:spacing w:after="0"/>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2760" w:hanging="483"/>
        <w:spacing w:after="0"/>
        <w:tabs>
          <w:tab w:leader="none" w:pos="27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w:t>
      </w:r>
    </w:p>
    <w:p>
      <w:pPr>
        <w:spacing w:after="0" w:line="225" w:lineRule="exact"/>
        <w:rPr>
          <w:rFonts w:ascii="Arial" w:cs="Arial" w:eastAsia="Arial" w:hAnsi="Arial"/>
          <w:sz w:val="18"/>
          <w:szCs w:val="18"/>
          <w:color w:val="auto"/>
        </w:rPr>
      </w:pPr>
    </w:p>
    <w:p>
      <w:pPr>
        <w:ind w:right="100" w:firstLine="2277"/>
        <w:spacing w:after="0" w:line="308" w:lineRule="auto"/>
        <w:tabs>
          <w:tab w:leader="none" w:pos="2759" w:val="left"/>
        </w:tabs>
        <w:numPr>
          <w:ilvl w:val="1"/>
          <w:numId w:val="67"/>
        </w:numPr>
        <w:rPr>
          <w:rFonts w:ascii="Arial" w:cs="Arial" w:eastAsia="Arial" w:hAnsi="Arial"/>
          <w:sz w:val="17"/>
          <w:szCs w:val="17"/>
          <w:color w:val="auto"/>
        </w:rPr>
      </w:pPr>
      <w:r>
        <w:rPr>
          <w:rFonts w:ascii="Arial" w:cs="Arial" w:eastAsia="Arial" w:hAnsi="Arial"/>
          <w:sz w:val="17"/>
          <w:szCs w:val="17"/>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46" w:lineRule="exact"/>
        <w:rPr>
          <w:rFonts w:ascii="Arial" w:cs="Arial" w:eastAsia="Arial" w:hAnsi="Arial"/>
          <w:sz w:val="17"/>
          <w:szCs w:val="17"/>
          <w:color w:val="auto"/>
        </w:rPr>
      </w:pPr>
    </w:p>
    <w:p>
      <w:pPr>
        <w:ind w:right="340" w:firstLine="2277"/>
        <w:spacing w:after="0" w:line="277" w:lineRule="auto"/>
        <w:tabs>
          <w:tab w:leader="none" w:pos="2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Events of Default and as to any factual matters), each stating that all conditions precedent provided for herein relating to the satisfaction and discharge of this Indenture have been complied with.</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188"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 Subject to the provisions of Section 8.03, the Trustee or a Paying Agent shall hold in trust, for the 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on the Notes or delivery of the Cash and Common Stock, if applicable, payable or issuable, as the case may be, upon conversion of the Notes.</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to Company</w:t>
      </w:r>
      <w:r>
        <w:rPr>
          <w:rFonts w:ascii="Arial" w:cs="Arial" w:eastAsia="Arial" w:hAnsi="Arial"/>
          <w:sz w:val="18"/>
          <w:szCs w:val="18"/>
          <w:color w:val="auto"/>
        </w:rPr>
        <w:t>. The Trustee and each Paying Agent shall promptly pay or deliver, as the case may be, to the Company upon request any excess money, Common Stock or other consideration (x) paid or delivered to them pursuant to Section 8.01 and (y) held by them at any time.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the third paragraph of Section 10.02(b),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 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Reinstatement</w:t>
      </w:r>
      <w:r>
        <w:rPr>
          <w:rFonts w:ascii="Arial" w:cs="Arial" w:eastAsia="Arial" w:hAnsi="Arial"/>
          <w:sz w:val="17"/>
          <w:szCs w:val="17"/>
          <w:color w:val="auto"/>
        </w:rPr>
        <w:t xml:space="preserve">. If the Trustee or any Paying Agent is unable to apply any money, Common Stock or other consideration in 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the principal amount of (including the relevant Repurchase Price or Redemption Price) or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SUPPLEMENTS AND WAIVERS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Amendments Without Consent of Holders</w:t>
      </w:r>
      <w:r>
        <w:rPr>
          <w:rFonts w:ascii="Arial" w:cs="Arial" w:eastAsia="Arial" w:hAnsi="Arial"/>
          <w:sz w:val="18"/>
          <w:szCs w:val="18"/>
          <w:color w:val="auto"/>
        </w:rPr>
        <w:t>. The Company and the Trustee may amend or supplement this Indenture or the Notes without notice to or the consent of any Noteholder:</w:t>
      </w:r>
    </w:p>
    <w:p>
      <w:pPr>
        <w:sectPr>
          <w:pgSz w:w="11900" w:h="16838" w:orient="portrait"/>
          <w:cols w:equalWidth="0" w:num="1">
            <w:col w:w="11420"/>
          </w:cols>
          <w:pgMar w:left="240" w:top="125" w:right="239" w:bottom="0" w:gutter="0" w:footer="0" w:header="0"/>
        </w:sectPr>
      </w:pPr>
    </w:p>
    <w:bookmarkStart w:id="35" w:name="page36"/>
    <w:bookmarkEnd w:id="35"/>
    <w:p>
      <w:pPr>
        <w:ind w:right="120" w:firstLine="1305"/>
        <w:spacing w:after="0" w:line="277" w:lineRule="auto"/>
        <w:tabs>
          <w:tab w:leader="none" w:pos="16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“Description of Notes” contained in the Prospectus;</w:t>
      </w:r>
    </w:p>
    <w:p>
      <w:pPr>
        <w:spacing w:after="0" w:line="170" w:lineRule="exact"/>
        <w:rPr>
          <w:rFonts w:ascii="Arial" w:cs="Arial" w:eastAsia="Arial" w:hAnsi="Arial"/>
          <w:sz w:val="18"/>
          <w:szCs w:val="18"/>
          <w:color w:val="auto"/>
        </w:rPr>
      </w:pPr>
    </w:p>
    <w:p>
      <w:pPr>
        <w:ind w:right="180" w:firstLine="1305"/>
        <w:spacing w:after="0" w:line="277" w:lineRule="auto"/>
        <w:tabs>
          <w:tab w:leader="none" w:pos="16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evidence a successor to the Company and the assumption by that successor of the obligations of the Company under this Indenture in accordance with Article 5 or Section 10.12 of this Indenture;</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640" w:hanging="335"/>
        <w:spacing w:after="0"/>
        <w:tabs>
          <w:tab w:leader="none" w:pos="1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Amendments With Consent of Holders</w:t>
      </w:r>
      <w:r>
        <w:rPr>
          <w:rFonts w:ascii="Arial" w:cs="Arial" w:eastAsia="Arial" w:hAnsi="Arial"/>
          <w:sz w:val="18"/>
          <w:szCs w:val="18"/>
          <w:color w:val="auto"/>
        </w:rPr>
        <w:t>. (a) Except as otherwise provided in Section 6.07 or paragraph (b), the Company and the 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Indenture and its consequences, except an uncured default (i) in the payment of the principal amount, or accrued and unpaid interest, with respect to any Note, (ii) the Repurchase Price with respect to any Note (iii) the Redemption Price with respect to any Note, (iv) in the payment or delivery of the consideration due upon conversion of the Notes or (v) in respect of any provision that under this Indenture cannot be modified or amended without the consent of the Holder of each outstanding Note affected.</w:t>
      </w:r>
    </w:p>
    <w:p>
      <w:pPr>
        <w:spacing w:after="0" w:line="187" w:lineRule="exact"/>
        <w:rPr>
          <w:sz w:val="20"/>
          <w:szCs w:val="20"/>
          <w:color w:val="auto"/>
        </w:rPr>
      </w:pPr>
    </w:p>
    <w:p>
      <w:pPr>
        <w:ind w:left="2000" w:hanging="695"/>
        <w:spacing w:after="0"/>
        <w:tabs>
          <w:tab w:leader="none" w:pos="2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the provisions of paragraph (a), without the consent of each Holder affected, an amendment or waiver may not:</w:t>
      </w:r>
    </w:p>
    <w:p>
      <w:pPr>
        <w:spacing w:after="0" w:line="248" w:lineRule="exact"/>
        <w:rPr>
          <w:rFonts w:ascii="Arial" w:cs="Arial" w:eastAsia="Arial" w:hAnsi="Arial"/>
          <w:sz w:val="16"/>
          <w:szCs w:val="16"/>
          <w:color w:val="auto"/>
        </w:rPr>
      </w:pPr>
    </w:p>
    <w:p>
      <w:pPr>
        <w:ind w:left="2940" w:hanging="663"/>
        <w:spacing w:after="0"/>
        <w:tabs>
          <w:tab w:leader="none" w:pos="29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reduce the principal amount of, or interest payment on any Note, or reduce the Repurchase Price or Redemption Price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any Note;</w:t>
      </w:r>
    </w:p>
    <w:p>
      <w:pPr>
        <w:spacing w:after="0" w:line="211" w:lineRule="exact"/>
        <w:rPr>
          <w:sz w:val="20"/>
          <w:szCs w:val="20"/>
          <w:color w:val="auto"/>
        </w:rPr>
      </w:pPr>
    </w:p>
    <w:p>
      <w:pPr>
        <w:ind w:left="2940" w:hanging="663"/>
        <w:spacing w:after="0"/>
        <w:tabs>
          <w:tab w:leader="none" w:pos="2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960" w:hanging="683"/>
        <w:spacing w:after="0"/>
        <w:tabs>
          <w:tab w:leader="none" w:pos="2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940" w:hanging="663"/>
        <w:spacing w:after="0"/>
        <w:tabs>
          <w:tab w:leader="none" w:pos="2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940" w:hanging="663"/>
        <w:spacing w:after="0"/>
        <w:tabs>
          <w:tab w:leader="none" w:pos="2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left="2940" w:hanging="663"/>
        <w:spacing w:after="0"/>
        <w:tabs>
          <w:tab w:leader="none" w:pos="29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make any change that adversely affects the right of a Holder to require the Company to repurchase a Note upon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occurrence of a Change in Control;</w:t>
      </w:r>
    </w:p>
    <w:p>
      <w:pPr>
        <w:spacing w:after="0" w:line="210" w:lineRule="exact"/>
        <w:rPr>
          <w:rFonts w:ascii="Arial" w:cs="Arial" w:eastAsia="Arial" w:hAnsi="Arial"/>
          <w:sz w:val="16"/>
          <w:szCs w:val="16"/>
          <w:color w:val="auto"/>
        </w:rPr>
      </w:pPr>
    </w:p>
    <w:p>
      <w:pPr>
        <w:ind w:right="840" w:firstLine="2277"/>
        <w:spacing w:after="0" w:line="277" w:lineRule="auto"/>
        <w:tabs>
          <w:tab w:leader="none" w:pos="2939" w:val="left"/>
        </w:tabs>
        <w:numPr>
          <w:ilvl w:val="1"/>
          <w:numId w:val="70"/>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960" w:hanging="683"/>
        <w:spacing w:after="0"/>
        <w:tabs>
          <w:tab w:leader="none" w:pos="29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change the provisions in this Indenture that relate to modifying or amending the provisions of this Indenture.</w:t>
      </w:r>
    </w:p>
    <w:p>
      <w:pPr>
        <w:spacing w:after="0" w:line="236" w:lineRule="exact"/>
        <w:rPr>
          <w:rFonts w:ascii="Arial" w:cs="Arial" w:eastAsia="Arial" w:hAnsi="Arial"/>
          <w:sz w:val="17"/>
          <w:szCs w:val="17"/>
          <w:color w:val="auto"/>
        </w:rPr>
      </w:pPr>
    </w:p>
    <w:p>
      <w:pPr>
        <w:ind w:right="520" w:firstLine="1305"/>
        <w:spacing w:after="0" w:line="277" w:lineRule="auto"/>
        <w:tabs>
          <w:tab w:leader="none" w:pos="19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not necessary for Noteholders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80" w:firstLine="1305"/>
        <w:spacing w:after="0" w:line="257" w:lineRule="auto"/>
        <w:tabs>
          <w:tab w:leader="none" w:pos="2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amendment, supplement or waiver under this Section will become effective on receipt by the Trustee of written consents from the Holders of the requisite percentage in principal amount of the outstanding Notes. After an amendment, 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Effect of Consent</w:t>
      </w:r>
      <w:r>
        <w:rPr>
          <w:rFonts w:ascii="Arial" w:cs="Arial" w:eastAsia="Arial" w:hAnsi="Arial"/>
          <w:sz w:val="18"/>
          <w:szCs w:val="18"/>
          <w:color w:val="auto"/>
        </w:rPr>
        <w:t>. (a) After an amendment, supplement or waiver becomes effective, it will bind every Holder unless it is of the 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pacing w:after="0" w:line="187" w:lineRule="exact"/>
        <w:rPr>
          <w:sz w:val="20"/>
          <w:szCs w:val="20"/>
          <w:color w:val="auto"/>
        </w:rPr>
      </w:pPr>
    </w:p>
    <w:p>
      <w:pPr>
        <w:ind w:right="140" w:firstLine="1305"/>
        <w:spacing w:after="0" w:line="279" w:lineRule="auto"/>
        <w:tabs>
          <w:tab w:leader="none" w:pos="20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ectPr>
          <w:pgSz w:w="11900" w:h="16838" w:orient="portrait"/>
          <w:cols w:equalWidth="0" w:num="1">
            <w:col w:w="11420"/>
          </w:cols>
          <w:pgMar w:left="240" w:top="125" w:right="239" w:bottom="0" w:gutter="0" w:footer="0" w:header="0"/>
        </w:sectPr>
      </w:pPr>
    </w:p>
    <w:bookmarkStart w:id="36" w:name="page37"/>
    <w:bookmarkEnd w:id="36"/>
    <w:p>
      <w:pPr>
        <w:ind w:right="20" w:firstLine="648"/>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Trustee’s Rights and Obligations</w:t>
      </w:r>
      <w:r>
        <w:rPr>
          <w:rFonts w:ascii="Arial" w:cs="Arial" w:eastAsia="Arial" w:hAnsi="Arial"/>
          <w:sz w:val="18"/>
          <w:szCs w:val="18"/>
          <w:color w:val="auto"/>
        </w:rPr>
        <w:t>. The Trustee is entitled to receive, and will be fully protected in relying upon, an Opinion of Counsel stating that the execution of any amendment, supplement or waiver authorized pursuant to this Article is authorized or permitted by this Indenture. If the Trustee has received such an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Payments for Consents</w:t>
      </w:r>
      <w:r>
        <w:rPr>
          <w:rFonts w:ascii="Arial" w:cs="Arial" w:eastAsia="Arial" w:hAnsi="Arial"/>
          <w:sz w:val="18"/>
          <w:szCs w:val="18"/>
          <w:color w:val="auto"/>
        </w:rPr>
        <w:t>. The Company shall not, and shall not permit or suffer any of its Subsidiaries or Affiliates to,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Conversion Privilege</w:t>
      </w:r>
      <w:r>
        <w:rPr>
          <w:rFonts w:ascii="Arial" w:cs="Arial" w:eastAsia="Arial" w:hAnsi="Arial"/>
          <w:sz w:val="18"/>
          <w:szCs w:val="18"/>
          <w:color w:val="auto"/>
        </w:rPr>
        <w:t>. (a) Subject to and upon compliance with the provisions of this Article 10, a Noteholder shall have the right, at such Noteholder’s option, to convert all or any portion (if the portion to be converted is $1,000 principal amount or an integral multiple thereof) of such Noteholder’s Notes (1) at any time prior to the Close of Business on March 1, 2014, upon the occurrence of any of the events set forth in clauses (i) through (vii) of Section 10.01(b) and (2) at any time on or after March 1, 2014, until the Close of Business on the Business Day immediately preceding the Maturity Date without regard to the occurrence of any of the events set forth in clauses (i) through (vii) of Section 10.01(b), in each case, at a conversion rate (the “</w:t>
      </w:r>
      <w:r>
        <w:rPr>
          <w:rFonts w:ascii="Arial" w:cs="Arial" w:eastAsia="Arial" w:hAnsi="Arial"/>
          <w:sz w:val="18"/>
          <w:szCs w:val="18"/>
          <w:b w:val="1"/>
          <w:bCs w:val="1"/>
          <w:color w:val="auto"/>
        </w:rPr>
        <w:t>Conversion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40"/>
        <w:spacing w:after="0" w:line="314" w:lineRule="auto"/>
        <w:rPr>
          <w:sz w:val="20"/>
          <w:szCs w:val="20"/>
          <w:color w:val="auto"/>
        </w:rPr>
      </w:pPr>
      <w:r>
        <w:rPr>
          <w:rFonts w:ascii="Arial" w:cs="Arial" w:eastAsia="Arial" w:hAnsi="Arial"/>
          <w:sz w:val="16"/>
          <w:szCs w:val="16"/>
          <w:b w:val="1"/>
          <w:bCs w:val="1"/>
          <w:color w:val="auto"/>
        </w:rPr>
        <w:t>Rate</w:t>
      </w:r>
      <w:r>
        <w:rPr>
          <w:rFonts w:ascii="Arial" w:cs="Arial" w:eastAsia="Arial" w:hAnsi="Arial"/>
          <w:sz w:val="16"/>
          <w:szCs w:val="16"/>
          <w:color w:val="auto"/>
        </w:rPr>
        <w:t>”) equivalent to 70.2679 shares of Common Stock per $1,000 principal amount of Notes, subject to adjustment as set forth in this Article 10. Upon</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of any Notes, the Company shall pay or deliver to the converting Noteholder Cash, shares of Common Stock, or a combination thereof, as described in Section 10.02 (the Company’s obligation to pay or deliver such consideration being herein called the “</w:t>
      </w:r>
      <w:r>
        <w:rPr>
          <w:rFonts w:ascii="Arial" w:cs="Arial" w:eastAsia="Arial" w:hAnsi="Arial"/>
          <w:sz w:val="16"/>
          <w:szCs w:val="16"/>
          <w:b w:val="1"/>
          <w:bCs w:val="1"/>
          <w:color w:val="auto"/>
        </w:rPr>
        <w:t>Conversion Obligation</w:t>
      </w:r>
      <w:r>
        <w:rPr>
          <w:rFonts w:ascii="Arial" w:cs="Arial" w:eastAsia="Arial" w:hAnsi="Arial"/>
          <w:sz w:val="16"/>
          <w:szCs w:val="16"/>
          <w:color w:val="auto"/>
        </w:rPr>
        <w:t>”).</w:t>
      </w:r>
    </w:p>
    <w:p>
      <w:pPr>
        <w:spacing w:after="0" w:line="146" w:lineRule="exact"/>
        <w:rPr>
          <w:sz w:val="20"/>
          <w:szCs w:val="20"/>
          <w:color w:val="auto"/>
        </w:rPr>
      </w:pPr>
    </w:p>
    <w:p>
      <w:pPr>
        <w:ind w:right="140" w:firstLine="1305"/>
        <w:spacing w:after="0" w:line="277" w:lineRule="auto"/>
        <w:tabs>
          <w:tab w:leader="none" w:pos="20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Noteholder may convert its Note into Cash, shares of Common Stock, or a combination thereof, as described in Section 10.02, prior to the Close of Business on March 1, 2014, upon the occurrence of any of the events set forth below:</w:t>
      </w:r>
    </w:p>
    <w:p>
      <w:pPr>
        <w:spacing w:after="0" w:line="170" w:lineRule="exact"/>
        <w:rPr>
          <w:rFonts w:ascii="Arial" w:cs="Arial" w:eastAsia="Arial" w:hAnsi="Arial"/>
          <w:sz w:val="18"/>
          <w:szCs w:val="18"/>
          <w:color w:val="auto"/>
        </w:rPr>
      </w:pPr>
    </w:p>
    <w:p>
      <w:pPr>
        <w:ind w:right="140" w:firstLine="2277"/>
        <w:spacing w:after="0" w:line="264" w:lineRule="auto"/>
        <w:tabs>
          <w:tab w:leader="none" w:pos="2844"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any calendar quarter commencing at any time after August 30, 2007, and only during such calendar quarter, if the Closing Price of Common Stock for at least 20 Trading Days in the period of 30 consecutive Trading Days ending on the last Trading Day of the preceding calendar quarter exceeds the Conversion Trigger Price as defined in Section 10.01(c);</w:t>
      </w:r>
    </w:p>
    <w:p>
      <w:pPr>
        <w:spacing w:after="0" w:line="181" w:lineRule="exact"/>
        <w:rPr>
          <w:rFonts w:ascii="Arial" w:cs="Arial" w:eastAsia="Arial" w:hAnsi="Arial"/>
          <w:sz w:val="18"/>
          <w:szCs w:val="18"/>
          <w:color w:val="auto"/>
        </w:rPr>
      </w:pPr>
    </w:p>
    <w:p>
      <w:pPr>
        <w:ind w:left="2860" w:hanging="583"/>
        <w:spacing w:after="0"/>
        <w:tabs>
          <w:tab w:leader="none" w:pos="28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$1,000 principal amount of Notes for each Trading Day during that five-day period was less than 98% of the product of the Closing Price of Common Stock and the then Applicable Conversion Rate, subject to compliance with the procedures and conditions described in Section 10.01(d) concerning the Trustee’s obligation to make a Trading Price determination (the “</w:t>
      </w:r>
      <w:r>
        <w:rPr>
          <w:rFonts w:ascii="Arial" w:cs="Arial" w:eastAsia="Arial" w:hAnsi="Arial"/>
          <w:sz w:val="18"/>
          <w:szCs w:val="18"/>
          <w:b w:val="1"/>
          <w:bCs w:val="1"/>
          <w:color w:val="auto"/>
        </w:rPr>
        <w:t>Trading Price Condition</w:t>
      </w:r>
      <w:r>
        <w:rPr>
          <w:rFonts w:ascii="Arial" w:cs="Arial" w:eastAsia="Arial" w:hAnsi="Arial"/>
          <w:sz w:val="18"/>
          <w:szCs w:val="18"/>
          <w:color w:val="auto"/>
        </w:rPr>
        <w:t>”);</w:t>
      </w:r>
    </w:p>
    <w:p>
      <w:pPr>
        <w:spacing w:after="0" w:line="190" w:lineRule="exact"/>
        <w:rPr>
          <w:sz w:val="20"/>
          <w:szCs w:val="20"/>
          <w:color w:val="auto"/>
        </w:rPr>
      </w:pPr>
    </w:p>
    <w:p>
      <w:pPr>
        <w:ind w:right="140" w:firstLine="2277"/>
        <w:spacing w:after="0" w:line="273" w:lineRule="auto"/>
        <w:tabs>
          <w:tab w:leader="none" w:pos="28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Noteholders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78" w:lineRule="exact"/>
        <w:rPr>
          <w:rFonts w:ascii="Arial" w:cs="Arial" w:eastAsia="Arial" w:hAnsi="Arial"/>
          <w:sz w:val="17"/>
          <w:szCs w:val="17"/>
          <w:color w:val="auto"/>
        </w:rPr>
      </w:pPr>
    </w:p>
    <w:p>
      <w:pPr>
        <w:ind w:firstLine="2277"/>
        <w:spacing w:after="0" w:line="293" w:lineRule="auto"/>
        <w:tabs>
          <w:tab w:leader="none" w:pos="2844"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Company elects to distribute to all holders of Common Stock Cash, debt securities (or other evidence of Debt) or other assets (excluding dividends or distributions described in Section 10.06), which distribution, together with all other such distributions within the preceding twelve months, has a per share value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Noteholders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64" w:lineRule="exact"/>
        <w:rPr>
          <w:rFonts w:ascii="Arial" w:cs="Arial" w:eastAsia="Arial" w:hAnsi="Arial"/>
          <w:sz w:val="16"/>
          <w:szCs w:val="16"/>
          <w:color w:val="auto"/>
        </w:rPr>
      </w:pPr>
    </w:p>
    <w:p>
      <w:pPr>
        <w:ind w:right="540" w:firstLine="2277"/>
        <w:spacing w:after="0" w:line="277" w:lineRule="auto"/>
        <w:tabs>
          <w:tab w:leader="none" w:pos="28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 Termination of Trading, a Change in Control or a Make-Whole Change in Control that does not constitute a Change in Control occurs, during the period from,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including, the date that is 35 Business Days prior to the anticipated effective date of the transaction, or, in the case of a Termination of Trading, the earlier of the date the applicable securities exchange announces that a termination of trading will occur or the effective date of the Termination of Trading, to, and including, the date that is 35 Trading Days after the actual effective date of such transaction (or, in the case of a Change in Control or a Termination of Trading, until the related Repurchase Date);</w:t>
      </w:r>
    </w:p>
    <w:p>
      <w:pPr>
        <w:sectPr>
          <w:pgSz w:w="11900" w:h="16838" w:orient="portrait"/>
          <w:cols w:equalWidth="0" w:num="1">
            <w:col w:w="11420"/>
          </w:cols>
          <w:pgMar w:left="240" w:top="125" w:right="239" w:bottom="156" w:gutter="0" w:footer="0" w:header="0"/>
        </w:sectPr>
      </w:pPr>
    </w:p>
    <w:bookmarkStart w:id="37" w:name="page38"/>
    <w:bookmarkEnd w:id="37"/>
    <w:p>
      <w:pPr>
        <w:ind w:firstLine="2277"/>
        <w:spacing w:after="0" w:line="255" w:lineRule="auto"/>
        <w:tabs>
          <w:tab w:leader="none" w:pos="28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Company is party to a consolidation, merger, binding share exchange, or transfer or lease of all or substantially all of the Company’s assets, pursuant to which Common Stock would be converted into Cash, securities or other assets, during the period from, and including, the date that is 35 Business Days prior to the anticipated effective date of the transaction, or, in the case of a Termination of Trading, the earlier of the date the applicable securities exchange announces that a termination of trading will occur or the effective date of the Termination of Trading, to, and including, the date that is 35 Trading Days after the actual effective date of such transaction (or, if such transaction also constitutes a Change in Control or in the case of a Termination of Trading, until the related Repurchase Date); or</w:t>
      </w:r>
    </w:p>
    <w:p>
      <w:pPr>
        <w:spacing w:after="0" w:line="193" w:lineRule="exact"/>
        <w:rPr>
          <w:rFonts w:ascii="Arial" w:cs="Arial" w:eastAsia="Arial" w:hAnsi="Arial"/>
          <w:sz w:val="18"/>
          <w:szCs w:val="18"/>
          <w:color w:val="auto"/>
        </w:rPr>
      </w:pPr>
    </w:p>
    <w:p>
      <w:pPr>
        <w:ind w:right="700" w:firstLine="2277"/>
        <w:spacing w:after="0" w:line="277" w:lineRule="auto"/>
        <w:tabs>
          <w:tab w:leader="none" w:pos="28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Notes that have been called for redemption, at any time prior to the close of business on the Business Day immediately preceding the Redemption Date, even if the Notes are not otherwise convertible at such time.</w:t>
      </w:r>
    </w:p>
    <w:p>
      <w:pPr>
        <w:spacing w:after="0" w:line="166"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7"/>
          <w:szCs w:val="17"/>
          <w:color w:val="auto"/>
        </w:rPr>
        <w:t>(c ) The “</w:t>
      </w:r>
      <w:r>
        <w:rPr>
          <w:rFonts w:ascii="Arial" w:cs="Arial" w:eastAsia="Arial" w:hAnsi="Arial"/>
          <w:sz w:val="17"/>
          <w:szCs w:val="17"/>
          <w:b w:val="1"/>
          <w:bCs w:val="1"/>
          <w:color w:val="auto"/>
        </w:rPr>
        <w:t>Conversion Trigger Price</w:t>
      </w:r>
      <w:r>
        <w:rPr>
          <w:rFonts w:ascii="Arial" w:cs="Arial" w:eastAsia="Arial" w:hAnsi="Arial"/>
          <w:sz w:val="17"/>
          <w:szCs w:val="17"/>
          <w:color w:val="auto"/>
        </w:rPr>
        <w:t>” shall equal 130% of the Conversion Price. The Conversion Trigger Price will initially equal $18.50 and shall be automatically adjusted whenever the Conversion Price is adjusted as a result of an adjustment in the Conversion Rate pursuant to this Article 10. The Company will determine at the beginning of each calendar quarter commencing at any time after August 30, 2007 (through the calendar quarter ending February 28, 2014), whether the Notes are convertible as a result of the price of Common Stock exceeding the Conversion Trigger Price in accordance with Section 10.01(b)(i) and will notify the Company, the Conversion Agent and the Trustee.</w:t>
      </w:r>
    </w:p>
    <w:p>
      <w:pPr>
        <w:spacing w:after="0" w:line="172" w:lineRule="exact"/>
        <w:rPr>
          <w:sz w:val="20"/>
          <w:szCs w:val="20"/>
          <w:color w:val="auto"/>
        </w:rPr>
      </w:pPr>
    </w:p>
    <w:p>
      <w:pPr>
        <w:ind w:right="60" w:firstLine="1305"/>
        <w:spacing w:after="0" w:line="289" w:lineRule="auto"/>
        <w:tabs>
          <w:tab w:leader="none" w:pos="20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Noteholder provides the Company with reasonable evidence that the Trading Price per $1,000 principal amount of the Notes would be less than 98% of the product of the Closing Price of Common Stock and the then Applicable Conversion Rate. At such time, the Company shall instruct the Trustee to determine the Trading Price of the Notes beginning on the next Trading Day and on each successive Trading Day until the Trading Price per $1,000 principal amount of the Notes is greater than or equal to 98% of the product of the Closing Price of Common Stock and the then Applicable Conversion Rate. If the Company does not, when it is obligated to, make a request to the Trustee to determine the Trading Price per $1,000 principal amount of Notes, or if the Company makes such request to the Trustee, but the Trustee does not or cannot make such determination, then the Trading Price per $1,000 principal amount of Notes will be deemed to be less than 98% of the product of the Closing Price 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Common Stock and the then applicable Conversion Rate. If the Trading Price Condition has been met, the Company shall so notify the Noteholders. If, at any point after the Trading Price Condition has been met, the Trading Price per $1,000 principal amount of Notes is greater than 98% of the product of the Closing Price of Common Stock and the then Applicable Conversion Rate, the Company shall so notify Noteholders.</w:t>
      </w:r>
    </w:p>
    <w:p>
      <w:pPr>
        <w:spacing w:after="0" w:line="166" w:lineRule="exact"/>
        <w:rPr>
          <w:sz w:val="20"/>
          <w:szCs w:val="20"/>
          <w:color w:val="auto"/>
        </w:rPr>
      </w:pPr>
    </w:p>
    <w:p>
      <w:pPr>
        <w:ind w:firstLine="1305"/>
        <w:spacing w:after="0" w:line="302" w:lineRule="auto"/>
        <w:tabs>
          <w:tab w:leader="none" w:pos="1991"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the first public announcement of any distribution described in Section 10.01(b)(iii) or Section 10.01(b)(iv), the Company shall notify the Noteholders at least 35 Business Days prior to the Ex-Date for such distribution by (i) issuing a press release and using its reasonable efforts to post such information on its website or otherwise publicly disclose this information or (ii) providing written notice to Noteholders by mailing such notice to Noteholders at their address in the Register (in the case of a Certificated Note), or through the facilities of the Depositary (in the case of a Global Note).</w:t>
      </w:r>
    </w:p>
    <w:p>
      <w:pPr>
        <w:spacing w:after="0" w:line="154" w:lineRule="exact"/>
        <w:rPr>
          <w:sz w:val="20"/>
          <w:szCs w:val="20"/>
          <w:color w:val="auto"/>
        </w:rPr>
      </w:pPr>
    </w:p>
    <w:p>
      <w:pPr>
        <w:ind w:right="60" w:firstLine="1297"/>
        <w:spacing w:after="0" w:line="285" w:lineRule="auto"/>
        <w:rPr>
          <w:sz w:val="20"/>
          <w:szCs w:val="20"/>
          <w:color w:val="auto"/>
        </w:rPr>
      </w:pPr>
      <w:r>
        <w:rPr>
          <w:rFonts w:ascii="Arial" w:cs="Arial" w:eastAsia="Arial" w:hAnsi="Arial"/>
          <w:sz w:val="16"/>
          <w:szCs w:val="16"/>
          <w:color w:val="auto"/>
        </w:rPr>
        <w:t>Following the announcement of any public announcement of a transaction described in Section 10.01(b)(v) or Section 10.01(b)(vi), the Company shall notify the Noteholders and the Trustee as promptly as practicable, but at least 35 Business Days prior to the anticipated effective date of such transaction in the case of a Change in Control or a Make-Whole Change in Control, and the earlier of the day immediately following the date the applicable securities exchange announces that a termination of trading will occur or on the effective date of a Termination of Trading in the case of a Termination of Trading by (i) issuing a press release and using its reasonable efforts to post such information on its website or otherwise publicly disclose this information or</w:t>
      </w:r>
    </w:p>
    <w:p>
      <w:pPr>
        <w:spacing w:after="0" w:line="2" w:lineRule="exact"/>
        <w:rPr>
          <w:sz w:val="20"/>
          <w:szCs w:val="20"/>
          <w:color w:val="auto"/>
        </w:rPr>
      </w:pPr>
    </w:p>
    <w:p>
      <w:pPr>
        <w:ind w:right="500" w:firstLine="8"/>
        <w:spacing w:after="0" w:line="261" w:lineRule="auto"/>
        <w:tabs>
          <w:tab w:leader="none" w:pos="2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providing written notice to Noteholders by mailing such notice to Noteholders at their address in the Register (in the case of a Certificated Note), or through the facilities of the Depositary (in the case of a Global Note).</w:t>
      </w:r>
    </w:p>
    <w:p>
      <w:pPr>
        <w:spacing w:after="0" w:line="184" w:lineRule="exact"/>
        <w:rPr>
          <w:sz w:val="20"/>
          <w:szCs w:val="20"/>
          <w:color w:val="auto"/>
        </w:rPr>
      </w:pPr>
    </w:p>
    <w:p>
      <w:pPr>
        <w:ind w:left="2020" w:hanging="715"/>
        <w:spacing w:after="0"/>
        <w:tabs>
          <w:tab w:leader="none" w:pos="2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determining that Noteholders are entitled to convert their Notes in accordance with the provisions set forth in</w:t>
      </w:r>
    </w:p>
    <w:p>
      <w:pPr>
        <w:spacing w:after="0" w:line="23"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Section 10.01(b), the Company shall promptly (i) issuing a press release and use its reasonable efforts to post such information on its website or otherwise publicly disclose this information or (ii) provide written notice to Noteholders by mailing such notice to Noteholders at their address in the Register (in the case of a Certificated Note), or through the facilities of the Depositary (in the case of a Global Note).</w:t>
      </w:r>
    </w:p>
    <w:p>
      <w:pPr>
        <w:spacing w:after="0" w:line="190" w:lineRule="exact"/>
        <w:rPr>
          <w:sz w:val="20"/>
          <w:szCs w:val="20"/>
          <w:color w:val="auto"/>
        </w:rPr>
      </w:pPr>
    </w:p>
    <w:p>
      <w:pPr>
        <w:ind w:right="20" w:firstLine="1305"/>
        <w:spacing w:after="0" w:line="297" w:lineRule="auto"/>
        <w:tabs>
          <w:tab w:leader="none" w:pos="20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Noteholders shall not have the right to convert their Notes pursuant to Section 10.01(b)(iii) or Section 10.01(b)(iv) if in connection with the distribution described in Section 10.01(b)(iii) or Section 10.01(b)(iv) that gives rise to a right to convert their Notes, such Noteholders are entitled to participate (as a result of holding their Notes, and at the same time as holders of Common Stock participate) in the distribution described in such Section as if such Noteholders held a number of shares of Common Stock equal to the applicable Conversion Rate on the Ex-Date for such distribution,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the principal amount (expressed in thousands) of Notes held by such Noteholder, without having to convert their Notes.</w:t>
      </w:r>
    </w:p>
    <w:p>
      <w:pPr>
        <w:spacing w:after="0" w:line="15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Conversion Procedures; Conversion Settlement</w:t>
      </w:r>
      <w:r>
        <w:rPr>
          <w:rFonts w:ascii="Arial" w:cs="Arial" w:eastAsia="Arial" w:hAnsi="Arial"/>
          <w:sz w:val="16"/>
          <w:szCs w:val="16"/>
          <w:color w:val="auto"/>
        </w:rPr>
        <w:t>. (a) To convert a Note that is represented by a Certificated Note, a Noteholder must (1) complete and manually sign a Conversion Notice, a form of which is on the back of the Note, and deliver such Conversion Notice to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Conversion Agent, (2) surrender the Note to the Conversion Agent, (3) if required, furnish appropriate endorsement and transfer documents, (4) if required,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 all transfer or similar taxes and (5) if required, pay Cash equal to amount of interest due on the next Interest Payment Date for such Note. If a Noteholder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holds a beneficial interest in a Global Note, to convert such beneficial interest, such Noteholder must comply with the requirements (4) and (5) as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immediately preceding sentence and comply with the applicable procedures of the Depositary for converting a beneficial interest in a Global Note.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date on which all of the requirements set forth in the first sentence of this Section 10.02(a) (in the case of a Certificated Note) or the second sentence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Section 10.02(a) (in the case of a Global Note or a beneficial interest therein) have been satisfied is referred to in this Indenture as the “</w:t>
      </w:r>
      <w:r>
        <w:rPr>
          <w:rFonts w:ascii="Arial" w:cs="Arial" w:eastAsia="Arial" w:hAnsi="Arial"/>
          <w:sz w:val="17"/>
          <w:szCs w:val="17"/>
          <w:b w:val="1"/>
          <w:bCs w:val="1"/>
          <w:color w:val="auto"/>
        </w:rPr>
        <w:t>Conversion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 The Conversion Agent shall, within one (1) Business Day of any Conversion Date, provide notice to the Company, as set forth in Section 12.03,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occurrence of such Conversion Date.</w:t>
      </w:r>
    </w:p>
    <w:p>
      <w:pPr>
        <w:sectPr>
          <w:pgSz w:w="11900" w:h="16838" w:orient="portrait"/>
          <w:cols w:equalWidth="0" w:num="1">
            <w:col w:w="11420"/>
          </w:cols>
          <w:pgMar w:left="240" w:top="125" w:right="239" w:bottom="0" w:gutter="0" w:footer="0" w:header="0"/>
        </w:sectPr>
      </w:pPr>
    </w:p>
    <w:bookmarkStart w:id="38" w:name="page39"/>
    <w:bookmarkEnd w:id="38"/>
    <w:p>
      <w:pPr>
        <w:ind w:right="40" w:firstLine="1305"/>
        <w:spacing w:after="0" w:line="271" w:lineRule="auto"/>
        <w:tabs>
          <w:tab w:leader="none" w:pos="200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may satisfy the Conversion Obligation by delivering shares of Common Stock, Cash, or a combination thereof as set forth in this Section 10.02(b). The Company shall inform Noteholders through the Trustee of the method the Company chooses to satisfy the Conversion Obligation (and the Specified Cash Amount, if applicable, as described in the immediately succeeding paragraph) no later than the 25th Scheduled Trading Day prior to the Maturity Date (in respect of Notes converted during the period on or after the 24th Scheduled Trading Day immediately preceding the Maturity Date) and no later than two Trading Days following the applicable Conversion Date (in all other cases), as the case may be. Except to the extent the Company has irrevocably elected Net Share Settlement as described in Section 10.02(c), if the Company does not give notice within the time periods described in the immediately preceding sentence as to how it intends to settle any Conversion Obligation, the Company shall satisfy the Conversion Obligation by delivering solely shares of Common Stock (except for any Cash in lieu of fractional shares).</w:t>
      </w:r>
    </w:p>
    <w:p>
      <w:pPr>
        <w:spacing w:after="0" w:line="179"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If the Company chooses to satisfy any portion of the Conversion Obligation in Cash (except for any Cash in lieu of fractional shares), or if the Company has irrevocably elected Net Share Settlement as described in Section 10.02(c), the Company shall notify holders during the periods set forth in the immediately preceding paragraph of the amount to be satisfied in Cash as a fixed dollar amount per $1,000 principal amount of Notes (the “</w:t>
      </w:r>
      <w:r>
        <w:rPr>
          <w:rFonts w:ascii="Arial" w:cs="Arial" w:eastAsia="Arial" w:hAnsi="Arial"/>
          <w:sz w:val="17"/>
          <w:szCs w:val="17"/>
          <w:b w:val="1"/>
          <w:bCs w:val="1"/>
          <w:color w:val="auto"/>
        </w:rPr>
        <w:t>Specified</w:t>
      </w:r>
      <w:r>
        <w:rPr>
          <w:rFonts w:ascii="Arial" w:cs="Arial" w:eastAsia="Arial" w:hAnsi="Arial"/>
          <w:sz w:val="17"/>
          <w:szCs w:val="17"/>
          <w:color w:val="auto"/>
        </w:rPr>
        <w:t xml:space="preserve"> </w:t>
      </w:r>
      <w:r>
        <w:rPr>
          <w:rFonts w:ascii="Arial" w:cs="Arial" w:eastAsia="Arial" w:hAnsi="Arial"/>
          <w:sz w:val="17"/>
          <w:szCs w:val="17"/>
          <w:b w:val="1"/>
          <w:bCs w:val="1"/>
          <w:color w:val="auto"/>
        </w:rPr>
        <w:t>Cash Amount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the Company has previously irrevocably elected Net Share Settlement as described in Section 10.02(c), the Specified Cash</w:t>
      </w:r>
      <w:r>
        <w:rPr>
          <w:rFonts w:ascii="Arial" w:cs="Arial" w:eastAsia="Arial" w:hAnsi="Arial"/>
          <w:sz w:val="17"/>
          <w:szCs w:val="17"/>
          <w:b w:val="1"/>
          <w:bCs w:val="1"/>
          <w:color w:val="auto"/>
        </w:rPr>
        <w:t xml:space="preserve"> </w:t>
      </w:r>
      <w:r>
        <w:rPr>
          <w:rFonts w:ascii="Arial" w:cs="Arial" w:eastAsia="Arial" w:hAnsi="Arial"/>
          <w:sz w:val="17"/>
          <w:szCs w:val="17"/>
          <w:color w:val="auto"/>
        </w:rPr>
        <w:t>Amount must be at least equal to $1,000. If, subsequent to the Company electing Net Share Settlement, the Company fails to timely notify converting Noteholders of the Specified Cash Amount, the Specified Cash Amount shall be deemed to be $1,000.</w:t>
      </w:r>
    </w:p>
    <w:p>
      <w:pPr>
        <w:spacing w:after="0" w:line="178"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The Company shall treat all Holders with the same Cash Settlement Averaging Period in the same manner. The Company shall not, however, have any obligation to settle any Conversion Obligations arising with respect to different Cash Settlement Averaging Periods in the same manner.</w:t>
      </w:r>
    </w:p>
    <w:p>
      <w:pPr>
        <w:spacing w:after="0" w:line="124"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If the Company elects to settle any conversion of Notes by delivering solely shares of Common Stock, such settlement shall occur as soon as practicable after the Company notifies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Holders that is has chosen such method of settlement, but in any event within three Business Days of the relevant Conversion Date. Any settlement of a Conversion Obligation made entirely or partially in Cash (other than Cash in lieu of fractional shares) shall occur on the third Business Day immediately following the final Trading Day of the Cash Settlement Averaging Period.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amount of Cash and/or number of shares of Common Stock, as the case may be, due upon conversion of Notes shall be determined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300" w:firstLine="1953"/>
        <w:spacing w:after="0" w:line="291" w:lineRule="auto"/>
        <w:tabs>
          <w:tab w:leader="none" w:pos="2650" w:val="left"/>
        </w:tabs>
        <w:numPr>
          <w:ilvl w:val="2"/>
          <w:numId w:val="82"/>
        </w:numPr>
        <w:rPr>
          <w:rFonts w:ascii="Arial" w:cs="Arial" w:eastAsia="Arial" w:hAnsi="Arial"/>
          <w:sz w:val="16"/>
          <w:szCs w:val="16"/>
          <w:color w:val="auto"/>
        </w:rPr>
      </w:pPr>
      <w:r>
        <w:rPr>
          <w:rFonts w:ascii="Arial" w:cs="Arial" w:eastAsia="Arial" w:hAnsi="Arial"/>
          <w:sz w:val="16"/>
          <w:szCs w:val="16"/>
          <w:color w:val="auto"/>
        </w:rPr>
        <w:t xml:space="preserve">If the Company elects to satisfy the entire Conversion Obligation by delivering Common Stock, the Company shall deliver to the converting Holder a number of shares of Common Stock equal to (i) (A) the aggregate principal amount of Notes to be converted </w:t>
      </w:r>
      <w:r>
        <w:rPr>
          <w:rFonts w:ascii="Arial" w:cs="Arial" w:eastAsia="Arial" w:hAnsi="Arial"/>
          <w:sz w:val="16"/>
          <w:szCs w:val="16"/>
          <w:i w:val="1"/>
          <w:iCs w:val="1"/>
          <w:color w:val="auto"/>
        </w:rPr>
        <w:t>divided by</w:t>
      </w:r>
    </w:p>
    <w:p>
      <w:pPr>
        <w:ind w:firstLine="8"/>
        <w:spacing w:after="0" w:line="261" w:lineRule="auto"/>
        <w:tabs>
          <w:tab w:leader="none" w:pos="2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1,000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Applicable Conversion Rate in effect on the relevant Conversion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Cash in lieu of fractional shares as described in Section 10.03).</w:t>
      </w:r>
    </w:p>
    <w:p>
      <w:pPr>
        <w:spacing w:after="0" w:line="183" w:lineRule="exact"/>
        <w:rPr>
          <w:rFonts w:ascii="Arial" w:cs="Arial" w:eastAsia="Arial" w:hAnsi="Arial"/>
          <w:sz w:val="18"/>
          <w:szCs w:val="18"/>
          <w:color w:val="auto"/>
        </w:rPr>
      </w:pPr>
    </w:p>
    <w:p>
      <w:pPr>
        <w:ind w:right="680" w:firstLine="1953"/>
        <w:spacing w:after="0" w:line="308" w:lineRule="auto"/>
        <w:tabs>
          <w:tab w:leader="none" w:pos="2650" w:val="left"/>
        </w:tabs>
        <w:numPr>
          <w:ilvl w:val="2"/>
          <w:numId w:val="83"/>
        </w:numPr>
        <w:rPr>
          <w:rFonts w:ascii="Arial" w:cs="Arial" w:eastAsia="Arial" w:hAnsi="Arial"/>
          <w:sz w:val="17"/>
          <w:szCs w:val="17"/>
          <w:color w:val="auto"/>
        </w:rPr>
      </w:pPr>
      <w:r>
        <w:rPr>
          <w:rFonts w:ascii="Arial" w:cs="Arial" w:eastAsia="Arial" w:hAnsi="Arial"/>
          <w:sz w:val="17"/>
          <w:szCs w:val="17"/>
          <w:color w:val="auto"/>
        </w:rPr>
        <w:t>If the Company elects to satisfy the entire Conversion Obligation by paying Cash, the Company shall pay to the converting Holder, for each $1,000 principal amount of Notes so converted, Cash in an amount equal to the Conversion Value.</w:t>
      </w:r>
    </w:p>
    <w:p>
      <w:pPr>
        <w:spacing w:after="0" w:line="146" w:lineRule="exact"/>
        <w:rPr>
          <w:rFonts w:ascii="Arial" w:cs="Arial" w:eastAsia="Arial" w:hAnsi="Arial"/>
          <w:sz w:val="17"/>
          <w:szCs w:val="17"/>
          <w:color w:val="auto"/>
        </w:rPr>
      </w:pPr>
    </w:p>
    <w:p>
      <w:pPr>
        <w:ind w:right="40" w:firstLine="1953"/>
        <w:spacing w:after="0" w:line="255" w:lineRule="auto"/>
        <w:tabs>
          <w:tab w:leader="none" w:pos="265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If the Company elects to satisfy the Conversion Obligation by delivering or paying, as the case may be, a combination of Cash and Common Stock, or if the Company has irrevocably elected Net Share Settlement pursuant to Section 10.02(c), the Company shall deliver to the converting holder, for each $1,000 principal amount of Notes so converted (x) Cash in an amount equal to the lesser of (A) the Specified Cash Amount (which shall be at least $1,000 if the Company has made an irrevocable Net Share Settlement Election) and (B) the Conversion Value; and (y) if the Conversion Value is greater than the Specified Cash Amount, a number of shares of Common Stock equal to the sum of the Daily Share Amounts for each of the twenty Trading Days in the Cash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Cash in lieu of fractional shares as described in Section 10.03).</w:t>
      </w:r>
    </w:p>
    <w:p>
      <w:pPr>
        <w:spacing w:after="0" w:line="189" w:lineRule="exact"/>
        <w:rPr>
          <w:rFonts w:ascii="Arial" w:cs="Arial" w:eastAsia="Arial" w:hAnsi="Arial"/>
          <w:sz w:val="18"/>
          <w:szCs w:val="18"/>
          <w:color w:val="auto"/>
        </w:rPr>
      </w:pPr>
    </w:p>
    <w:p>
      <w:pPr>
        <w:ind w:firstLine="1305"/>
        <w:spacing w:after="0" w:line="272" w:lineRule="auto"/>
        <w:tabs>
          <w:tab w:leader="none" w:pos="1631" w:val="left"/>
        </w:tabs>
        <w:numPr>
          <w:ilvl w:val="1"/>
          <w:numId w:val="83"/>
        </w:numPr>
        <w:rPr>
          <w:rFonts w:ascii="Arial" w:cs="Arial" w:eastAsia="Arial" w:hAnsi="Arial"/>
          <w:sz w:val="17"/>
          <w:szCs w:val="17"/>
          <w:color w:val="auto"/>
        </w:rPr>
      </w:pPr>
      <w:r>
        <w:rPr>
          <w:rFonts w:ascii="Arial" w:cs="Arial" w:eastAsia="Arial" w:hAnsi="Arial"/>
          <w:sz w:val="17"/>
          <w:szCs w:val="17"/>
          <w:color w:val="auto"/>
        </w:rPr>
        <w:t>At any time on or prior to the 30th Scheduled Trading Day prior to the Maturity Date, the Company may irrevocably elect to satisfy the Conversion Obligation with respect to any Notes converted after the date of such election by delivering Cash up to the aggregate principal amount of Notes to be converted, and shares of Common Stock, Cash or a combination thereof in respect of the remainder, if any, of the Conversion Obligation. Such election (a “</w:t>
      </w:r>
      <w:r>
        <w:rPr>
          <w:rFonts w:ascii="Arial" w:cs="Arial" w:eastAsia="Arial" w:hAnsi="Arial"/>
          <w:sz w:val="17"/>
          <w:szCs w:val="17"/>
          <w:b w:val="1"/>
          <w:bCs w:val="1"/>
          <w:color w:val="auto"/>
        </w:rPr>
        <w:t>Net Share Settlement</w:t>
      </w:r>
      <w:r>
        <w:rPr>
          <w:rFonts w:ascii="Arial" w:cs="Arial" w:eastAsia="Arial" w:hAnsi="Arial"/>
          <w:sz w:val="17"/>
          <w:szCs w:val="17"/>
          <w:color w:val="auto"/>
        </w:rPr>
        <w:t>” election) shall be in the Company’s sole discretion and shall not require the consent of Noteholders. Upon making a Net Share Settlement election, the Company shall promptly (i) issue a press release and use its reasonable efforts to post such information on its website or otherwise publicly disclose this information or (ii) provide written notice to Noteholders by mailing such notice to Noteholders at their address in the Register (in the case of a Certificated Note), or through the facilities of the Depositary (in the case of a Global Note).</w:t>
      </w:r>
    </w:p>
    <w:p>
      <w:pPr>
        <w:spacing w:after="0" w:line="177" w:lineRule="exact"/>
        <w:rPr>
          <w:rFonts w:ascii="Arial" w:cs="Arial" w:eastAsia="Arial" w:hAnsi="Arial"/>
          <w:sz w:val="17"/>
          <w:szCs w:val="17"/>
          <w:color w:val="auto"/>
        </w:rPr>
      </w:pPr>
    </w:p>
    <w:p>
      <w:pPr>
        <w:ind w:firstLine="1305"/>
        <w:spacing w:after="0" w:line="308" w:lineRule="auto"/>
        <w:tabs>
          <w:tab w:leader="none" w:pos="1641" w:val="left"/>
        </w:tabs>
        <w:numPr>
          <w:ilvl w:val="1"/>
          <w:numId w:val="83"/>
        </w:numPr>
        <w:rPr>
          <w:rFonts w:ascii="Arial" w:cs="Arial" w:eastAsia="Arial" w:hAnsi="Arial"/>
          <w:sz w:val="17"/>
          <w:szCs w:val="17"/>
          <w:color w:val="auto"/>
        </w:rPr>
      </w:pPr>
      <w:r>
        <w:rPr>
          <w:rFonts w:ascii="Arial" w:cs="Arial" w:eastAsia="Arial" w:hAnsi="Arial"/>
          <w:sz w:val="17"/>
          <w:szCs w:val="17"/>
          <w:color w:val="auto"/>
        </w:rPr>
        <w:t>A Holder receiving Common Stock upon conversion shall not be entitled to any rights as a holder of Common Stock, including, among other things, the right to vote and receive dividends and notices of stockholder meetings, until the Close of Business on the Conversion Date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the Company delivers solely Common Stock in respect of the Conversion Obligation pursuant to clause (1) of Section 10.02(b), other than Cash in lieu of fractional shares delivered pursuant to Section 10.03) or the Close of Business on the last Trading Day of the Cash Settlement Averaging Period (if the Company delivers cash in respect of any portion of the Conversion Obligation pursuant to clause (2) or clause (3) of Section 10.02(b), other than Cash in lieu of any fractional shares delivered pursuant to Section 10.03, or if the Company has irrevocably elected Net Share Settlement).</w:t>
      </w:r>
    </w:p>
    <w:p>
      <w:pPr>
        <w:spacing w:after="0" w:line="171" w:lineRule="exact"/>
        <w:rPr>
          <w:sz w:val="20"/>
          <w:szCs w:val="20"/>
          <w:color w:val="auto"/>
        </w:rPr>
      </w:pPr>
    </w:p>
    <w:p>
      <w:pPr>
        <w:ind w:right="20" w:firstLine="1305"/>
        <w:spacing w:after="0" w:line="302" w:lineRule="auto"/>
        <w:tabs>
          <w:tab w:leader="none" w:pos="1631"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payment or adjustment will be made for dividends on, or other distributions with respect to, any Common Stock except as provided in this Article 10. Upon conversion of a Note, a Noteholder will not receive, except as described below, any Cash payment representing accrued interest. Instead, accrued interest will be deemed paid by the Cash and/or shares of Common Stock, if any, received by the Noteholder upon conversion. Delivery to the Noteholder of such Cash and/or shares of Common Stock shall thus be deemed to satisfy (1) the Company’s obligation to pay the principal amount of a</w:t>
      </w:r>
    </w:p>
    <w:p>
      <w:pPr>
        <w:sectPr>
          <w:pgSz w:w="11900" w:h="16838" w:orient="portrait"/>
          <w:cols w:equalWidth="0" w:num="1">
            <w:col w:w="11400"/>
          </w:cols>
          <w:pgMar w:left="240" w:top="125" w:right="259" w:bottom="0" w:gutter="0" w:footer="0" w:header="0"/>
        </w:sectPr>
      </w:pPr>
    </w:p>
    <w:bookmarkStart w:id="39" w:name="page40"/>
    <w:bookmarkEnd w:id="39"/>
    <w:p>
      <w:pPr>
        <w:ind w:right="440"/>
        <w:spacing w:after="0" w:line="277" w:lineRule="auto"/>
        <w:rPr>
          <w:sz w:val="20"/>
          <w:szCs w:val="20"/>
          <w:color w:val="auto"/>
        </w:rPr>
      </w:pPr>
      <w:r>
        <w:rPr>
          <w:rFonts w:ascii="Arial" w:cs="Arial" w:eastAsia="Arial" w:hAnsi="Arial"/>
          <w:sz w:val="18"/>
          <w:szCs w:val="18"/>
          <w:color w:val="auto"/>
        </w:rPr>
        <w:t>Note, and (2) the Company’s obligation to pay any accrued and unpaid interest on the Note. As a result, upon conversion of a Note, accrued and unpaid interest on such Note is deemed paid in full rather than cancelled, extinguished or forfeited.</w:t>
      </w:r>
    </w:p>
    <w:p>
      <w:pPr>
        <w:spacing w:after="0" w:line="170" w:lineRule="exact"/>
        <w:rPr>
          <w:sz w:val="20"/>
          <w:szCs w:val="20"/>
          <w:color w:val="auto"/>
        </w:rPr>
      </w:pPr>
    </w:p>
    <w:p>
      <w:pPr>
        <w:ind w:right="20" w:firstLine="1305"/>
        <w:spacing w:after="0" w:line="291" w:lineRule="auto"/>
        <w:tabs>
          <w:tab w:leader="none" w:pos="1656"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Notwithstanding Section 10.02(e), if Notes are converted after a Record Date but prior to the next succeeding Interest Payment Date, Holders of such notes at the Close of Business on such Record Date will receive the interest payable on such Notes on the corresponding Interest Payment Date notwithstanding the conversion. Such Notes, upon surrender for conversion, must be accompanied by Cash equal to the amount of interest payable on such Interest Payment Date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need be made (1) if the Company has specified a Redemption Date that is after a Record Date but on or prior to the next succeeding Interest Payment Date, (2) if the Company has specified a Repurchase Date that is after a Record Date but on or prior to the next succeeding Interest Payment Date, (3) with respect to any notes converted after the Record Date immediately preceding the Maturity Date or (4) to the extent of any Defaulted Interest that exists at the time of conversion with respect to such Note.</w:t>
      </w:r>
    </w:p>
    <w:p>
      <w:pPr>
        <w:spacing w:after="0" w:line="167" w:lineRule="exact"/>
        <w:rPr>
          <w:rFonts w:ascii="Arial" w:cs="Arial" w:eastAsia="Arial" w:hAnsi="Arial"/>
          <w:sz w:val="16"/>
          <w:szCs w:val="16"/>
          <w:color w:val="auto"/>
        </w:rPr>
      </w:pPr>
    </w:p>
    <w:p>
      <w:pPr>
        <w:ind w:right="60" w:firstLine="1305"/>
        <w:spacing w:after="0" w:line="308" w:lineRule="auto"/>
        <w:tabs>
          <w:tab w:leader="none" w:pos="1641"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 Noteholder converts more than one Note at the same time, the number of shares of Common Stock and the amount of Cash, if any, including Cash in lieu of fractional shares, due upon conversion shall be determined based on the total principal amount of the Notes converted.</w:t>
      </w:r>
    </w:p>
    <w:p>
      <w:pPr>
        <w:spacing w:after="0" w:line="146" w:lineRule="exact"/>
        <w:rPr>
          <w:rFonts w:ascii="Arial" w:cs="Arial" w:eastAsia="Arial" w:hAnsi="Arial"/>
          <w:sz w:val="17"/>
          <w:szCs w:val="17"/>
          <w:color w:val="auto"/>
        </w:rPr>
      </w:pPr>
    </w:p>
    <w:p>
      <w:pPr>
        <w:ind w:right="340" w:firstLine="1305"/>
        <w:spacing w:after="0" w:line="308" w:lineRule="auto"/>
        <w:tabs>
          <w:tab w:leader="none" w:pos="1641"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Fractional Shares</w:t>
      </w:r>
      <w:r>
        <w:rPr>
          <w:rFonts w:ascii="Arial" w:cs="Arial" w:eastAsia="Arial" w:hAnsi="Arial"/>
          <w:sz w:val="18"/>
          <w:szCs w:val="18"/>
          <w:color w:val="auto"/>
        </w:rPr>
        <w:t>. The Company will not issue a fractional share of Common Stock upon conversion of a Note. Instead, the Company shall pay Cash in lieu of fractional shares based on the Closing Price of Common Stock on the Trading Day prior to the applicable Conversion Date (if the Company delivers solely shares of Common Stock to satisfy the Conversion Obligation, other than such Cash in lieu of fractional shares) or the Closing Price of Common Stock on the last Trading Day of the relevant Cash Settlement Averaging Period (if the Company delivers Cash to satisfy a portion, but less than all, of the Conversion Obligation, other than solely such Cash in lieu</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of any fractional shares, or if the Company has irrevocably elected Net Share Settlement upon conversion).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Taxes on Conversion</w:t>
      </w:r>
      <w:r>
        <w:rPr>
          <w:rFonts w:ascii="Arial" w:cs="Arial" w:eastAsia="Arial" w:hAnsi="Arial"/>
          <w:sz w:val="18"/>
          <w:szCs w:val="18"/>
          <w:color w:val="auto"/>
        </w:rPr>
        <w:t>. If a Holder converts a Note, the Company shall pay any documentary, stamp or similar issue or transfer tax 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Company to Provide Common Stock</w:t>
      </w:r>
      <w:r>
        <w:rPr>
          <w:rFonts w:ascii="Arial" w:cs="Arial" w:eastAsia="Arial" w:hAnsi="Arial"/>
          <w:sz w:val="18"/>
          <w:szCs w:val="18"/>
          <w:color w:val="auto"/>
        </w:rPr>
        <w:t>. The Company shall, from time to time as may be necessary, reserve out of its authorized but unissued shares of Common Stock a sufficient number of shares of Common Stock to permit the delivery in respect of all outstanding Notes of the number of shares of Common Stock due upon conversion (assuming, for purposes of this sentence, that the Company elects to deliver solely shares of Common Stock in respect of the Conversion Obligation).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Any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Adjustment for Change in Capital Stock</w:t>
      </w:r>
      <w:r>
        <w:rPr>
          <w:rFonts w:ascii="Arial" w:cs="Arial" w:eastAsia="Arial" w:hAnsi="Arial"/>
          <w:sz w:val="18"/>
          <w:szCs w:val="18"/>
          <w:color w:val="auto"/>
        </w:rPr>
        <w:t>. (a) If the Company shall, at any time and from time to time while any of the Notes are outstanding, issue dividends or make distributions on Common Stock payable in shares of Common Stock, then the Conversion Rate shall be increased so that the same shall equal the rate determined by multiplying the Conversion Rate in effect at the opening of business on the Ex-Date for such dividend or distribution by a fraction:</w:t>
      </w:r>
    </w:p>
    <w:p>
      <w:pPr>
        <w:spacing w:after="0" w:line="187" w:lineRule="exact"/>
        <w:rPr>
          <w:sz w:val="20"/>
          <w:szCs w:val="20"/>
          <w:color w:val="auto"/>
        </w:rPr>
      </w:pPr>
    </w:p>
    <w:p>
      <w:pPr>
        <w:ind w:firstLine="2277"/>
        <w:spacing w:after="0" w:line="264" w:lineRule="auto"/>
        <w:tabs>
          <w:tab w:leader="none" w:pos="26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numerator of which shall be the sum of the number of shares of Common Stock outstanding at the Close of Business on the Business Day immediately preceding the Ex-Date for such dividend or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total number of shares of Common Stock constituting such dividend or distribution;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2277"/>
        <w:spacing w:after="0" w:line="277" w:lineRule="auto"/>
        <w:tabs>
          <w:tab w:leader="none" w:pos="26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denominator of which shall be the number of shares of Common Stock outstanding at the Close of Business on the Business Day immediately preceding such Ex-Date.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any dividend or distribution of the type described in this Section 10.06 is declared but not so paid or made, the Conversion Rate shall again be adjusted to the Conversion Rate which would then be in effect if such dividend or distribution had not been declared. In no event shall the Conversion Rate be decreased pursuant to this Section 10.06.</w:t>
      </w:r>
    </w:p>
    <w:p>
      <w:pPr>
        <w:spacing w:after="0" w:line="181" w:lineRule="exact"/>
        <w:rPr>
          <w:sz w:val="20"/>
          <w:szCs w:val="20"/>
          <w:color w:val="auto"/>
        </w:rPr>
      </w:pPr>
    </w:p>
    <w:p>
      <w:pPr>
        <w:ind w:right="260" w:firstLine="1305"/>
        <w:spacing w:after="0" w:line="342" w:lineRule="auto"/>
        <w:tabs>
          <w:tab w:leader="none" w:pos="1641"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Company shall, at any time or from time to time while any of the Notes are outstanding, subdivide or reclassify outstanding shares of Common Stock into a greater number of shares of Common Stock, then the Conversion Rate in effect at the opening of business on the day upon</w:t>
      </w:r>
    </w:p>
    <w:p>
      <w:pPr>
        <w:sectPr>
          <w:pgSz w:w="11900" w:h="16838" w:orient="portrait"/>
          <w:cols w:equalWidth="0" w:num="1">
            <w:col w:w="11400"/>
          </w:cols>
          <w:pgMar w:left="240" w:top="125" w:right="259" w:bottom="0" w:gutter="0" w:footer="0" w:header="0"/>
        </w:sectPr>
      </w:pPr>
    </w:p>
    <w:bookmarkStart w:id="40" w:name="page41"/>
    <w:bookmarkEnd w:id="40"/>
    <w:p>
      <w:pPr>
        <w:ind w:right="120"/>
        <w:spacing w:after="0" w:line="270" w:lineRule="auto"/>
        <w:rPr>
          <w:sz w:val="20"/>
          <w:szCs w:val="20"/>
          <w:color w:val="auto"/>
        </w:rPr>
      </w:pPr>
      <w:r>
        <w:rPr>
          <w:rFonts w:ascii="Arial" w:cs="Arial" w:eastAsia="Arial" w:hAnsi="Arial"/>
          <w:sz w:val="17"/>
          <w:szCs w:val="17"/>
          <w:color w:val="auto"/>
        </w:rPr>
        <w:t>which such subdivision or reclassification becomes effective shall be proportionately increased, and conversely, if the Company shall, at any time or from time to time while any of the Notes are outstanding, combine or reclassify outstanding shares of Common Stock into a smaller number of shares of Common Stock, then the Conversion Rate in effect at the opening of business on the day upon which such combination or reclassification becomes effective shall be proportionately decreased. In each such case, the Conversion Rate shall be adjusted by multiplying such Conversion Rate by a fraction, the numerator of which shall be the number of shares of Common Stock outstanding immediately after giving effect to such subdivision, combination or reclassification and the denominator of which shall be the number of shares of Common Stock outstanding immediately prior to such subdivision, combination or reclassification. Such increase or reduction (solely in the case of any combination or reclassification of outstanding shares of Common Stock into a smaller number of shares of Common Stock), as the case may be, shall become effective immediately after the opening of business on the day upon which such subdivision, combination or reclassification becomes effective.</w:t>
      </w:r>
    </w:p>
    <w:p>
      <w:pPr>
        <w:spacing w:after="0" w:line="18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i w:val="1"/>
          <w:iCs w:val="1"/>
          <w:color w:val="auto"/>
        </w:rPr>
        <w:t>Adjustment for Rights, Options or Warrants Issue</w:t>
      </w:r>
      <w:r>
        <w:rPr>
          <w:rFonts w:ascii="Arial" w:cs="Arial" w:eastAsia="Arial" w:hAnsi="Arial"/>
          <w:sz w:val="17"/>
          <w:szCs w:val="17"/>
          <w:color w:val="auto"/>
        </w:rPr>
        <w:t>. If the Company shall, at any time or from time to time while the Notes are outstanding, distribute to all holders of Common Stock rights, options or warrants to purchase shares of Common Stock for a period expiring within 60 days after the record date for such distribution at less than the average of the Closing Prices of Common Stock for the five consecutive Trading Days immediately preceding the first public announcement of such distribution, then the Conversion Rate shall be increased so that the same shall equal the rate determined by multiplying the Conversion Rate in effect at the opening of business on the Ex-Date for such distribution by a fraction:</w:t>
      </w:r>
    </w:p>
    <w:p>
      <w:pPr>
        <w:spacing w:after="0" w:line="173" w:lineRule="exact"/>
        <w:rPr>
          <w:sz w:val="20"/>
          <w:szCs w:val="20"/>
          <w:color w:val="auto"/>
        </w:rPr>
      </w:pPr>
    </w:p>
    <w:p>
      <w:pPr>
        <w:ind w:right="340" w:firstLine="1305"/>
        <w:spacing w:after="0" w:line="342" w:lineRule="auto"/>
        <w:tabs>
          <w:tab w:leader="none" w:pos="2046"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numerator of which shall be the number of shares of Common Stock outstanding at the Close of Business on the Business Day immediately preceding the Ex-Date for such distribution,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total number of additional shares of Common Stock so offered for purchase; and</w:t>
      </w:r>
    </w:p>
    <w:p>
      <w:pPr>
        <w:spacing w:after="0" w:line="123" w:lineRule="exact"/>
        <w:rPr>
          <w:rFonts w:ascii="Arial" w:cs="Arial" w:eastAsia="Arial" w:hAnsi="Arial"/>
          <w:sz w:val="16"/>
          <w:szCs w:val="16"/>
          <w:color w:val="auto"/>
        </w:rPr>
      </w:pPr>
    </w:p>
    <w:p>
      <w:pPr>
        <w:ind w:right="160" w:firstLine="1305"/>
        <w:spacing w:after="0" w:line="264" w:lineRule="auto"/>
        <w:tabs>
          <w:tab w:leader="none" w:pos="20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denominator of which shall be the number of shares of Common Stock outstanding on the Close of Business on the Business Day immediately preceding the Ex-Date for such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number of shares of Common Stock that the aggregate offering price of the total number of shares of Common Stock so offered would purchase at the Current Market Price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of Common Stock on the first public announcement date for such distribution (determined by multiplying such total number of shares of Common Stock so offered by the exercise price of such rights, options or warrants and dividing the product so obtained by such Current Market Price).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adjustment shall become effective immediately after the opening of business on the Ex-Date for such distribution.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which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In no event shall the Conversion Rate be decreased pursuant to this Section 10.07.</w:t>
      </w:r>
    </w:p>
    <w:p>
      <w:pPr>
        <w:spacing w:after="0" w:line="18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the Company elects to make a distribution described in this Section 10.07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Adjustment for Other Distributions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93" w:lineRule="auto"/>
        <w:tabs>
          <w:tab w:leader="none" w:pos="1766"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Company shall, at any time or from time to time while the Notes are outstanding, distribute to all holders of Common Stock any of its Capital Stock, assets (including shares of any Subsidiary of the Company or business unit of the Company), or debt securities or rights to purchase securities of the Company (excluding (x) any dividends or distributions described in Section 10.06, (y) any rights, options or warrants described in Section 10.07 and (z) any dividends or other distributions described in Section 10.09 (such Capital Stock, assets, debt securities or rights to purchase securities of the Company hereinafter in this Section 10.08 called the “</w:t>
      </w:r>
      <w:r>
        <w:rPr>
          <w:rFonts w:ascii="Arial" w:cs="Arial" w:eastAsia="Arial" w:hAnsi="Arial"/>
          <w:sz w:val="16"/>
          <w:szCs w:val="16"/>
          <w:b w:val="1"/>
          <w:bCs w:val="1"/>
          <w:color w:val="auto"/>
        </w:rPr>
        <w:t>Distributed Assets</w:t>
      </w:r>
      <w:r>
        <w:rPr>
          <w:rFonts w:ascii="Arial" w:cs="Arial" w:eastAsia="Arial" w:hAnsi="Arial"/>
          <w:sz w:val="16"/>
          <w:szCs w:val="16"/>
          <w:color w:val="auto"/>
        </w:rPr>
        <w:t>”)), then the Conversion Rate shall be increased so that the same shall equal the rate determined by multiplying the Conversion Rate in effect at the opening of business on the Ex-Date for such distribution by a fraction:</w:t>
      </w:r>
    </w:p>
    <w:p>
      <w:pPr>
        <w:spacing w:after="0" w:line="164" w:lineRule="exact"/>
        <w:rPr>
          <w:rFonts w:ascii="Arial" w:cs="Arial" w:eastAsia="Arial" w:hAnsi="Arial"/>
          <w:sz w:val="16"/>
          <w:szCs w:val="16"/>
          <w:color w:val="auto"/>
        </w:rPr>
      </w:pPr>
    </w:p>
    <w:p>
      <w:pPr>
        <w:ind w:left="2620" w:hanging="343"/>
        <w:spacing w:after="0"/>
        <w:tabs>
          <w:tab w:leader="none" w:pos="2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w:t>
      </w:r>
    </w:p>
    <w:p>
      <w:pPr>
        <w:spacing w:after="0" w:line="225" w:lineRule="exact"/>
        <w:rPr>
          <w:rFonts w:ascii="Arial" w:cs="Arial" w:eastAsia="Arial" w:hAnsi="Arial"/>
          <w:sz w:val="18"/>
          <w:szCs w:val="18"/>
          <w:color w:val="auto"/>
        </w:rPr>
      </w:pPr>
    </w:p>
    <w:p>
      <w:pPr>
        <w:ind w:right="720" w:firstLine="2277"/>
        <w:spacing w:after="0" w:line="277" w:lineRule="auto"/>
        <w:tabs>
          <w:tab w:leader="none" w:pos="2624"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of Common Stock on the Business Day immediately preceding the Ex-Date for such distribution, </w:t>
      </w:r>
      <w:r>
        <w:rPr>
          <w:rFonts w:ascii="Arial" w:cs="Arial" w:eastAsia="Arial" w:hAnsi="Arial"/>
          <w:sz w:val="18"/>
          <w:szCs w:val="18"/>
          <w:i w:val="1"/>
          <w:iCs w:val="1"/>
          <w:color w:val="auto"/>
        </w:rPr>
        <w:t>minus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as determined by the Board of Directors, of the portion of Distributed Assets so distributed applicable to one share of Common Stock;</w:t>
      </w:r>
    </w:p>
    <w:p>
      <w:pPr>
        <w:spacing w:after="0" w:line="248"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 xml:space="preserve">Such increase shall become effective immediately after the opening of business on the Ex-Date for such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fair market value, as determined by the Board of Directors, of the portion of Distributed Assets so distributed applicable to one share of Common Stock” as set forth above is equal to or greater than “the Current Market Price of Common Stock on the Business Day immediately preceding the Ex-Date for such distribution” as set forth above, in lieu of the foregoing adjustment, adequate provision shall be made so that each Noteholder shall receive on the date on which the Distributed Assets are distributed to holders of Common Stock, for each $1,000 principal amount of Notes, the amount of Distributed Assets such Noteholder would have received had such Noteholder owned a number of shares of Common Stock equal to the Conversion Rate on the record date for such</w:t>
      </w:r>
    </w:p>
    <w:p>
      <w:pPr>
        <w:sectPr>
          <w:pgSz w:w="11900" w:h="16838" w:orient="portrait"/>
          <w:cols w:equalWidth="0" w:num="1">
            <w:col w:w="11420"/>
          </w:cols>
          <w:pgMar w:left="240" w:top="125" w:right="239" w:bottom="0" w:gutter="0" w:footer="0" w:header="0"/>
        </w:sectPr>
      </w:pPr>
    </w:p>
    <w:bookmarkStart w:id="41" w:name="page42"/>
    <w:bookmarkEnd w:id="41"/>
    <w:p>
      <w:pPr>
        <w:ind w:right="60"/>
        <w:spacing w:after="0" w:line="308" w:lineRule="auto"/>
        <w:rPr>
          <w:sz w:val="20"/>
          <w:szCs w:val="20"/>
          <w:color w:val="auto"/>
        </w:rPr>
      </w:pPr>
      <w:r>
        <w:rPr>
          <w:rFonts w:ascii="Arial" w:cs="Arial" w:eastAsia="Arial" w:hAnsi="Arial"/>
          <w:sz w:val="17"/>
          <w:szCs w:val="17"/>
          <w:color w:val="auto"/>
        </w:rPr>
        <w:t>distribution. In the event that such distribution is not so made, the Conversion Rate shall again be adjusted to be the Conversion Rate which would then be in effect if such distribution had not been declared. In no event shall the Conversion Rate be decreased pursuant to this Section 10.08(a).</w:t>
      </w:r>
    </w:p>
    <w:p>
      <w:pPr>
        <w:spacing w:after="0" w:line="147"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If the Board of Directors determines the fair market value of any distribution for purposes of this Section 10.08(a)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7"/>
          <w:szCs w:val="17"/>
          <w:b w:val="1"/>
          <w:bCs w:val="1"/>
          <w:color w:val="auto"/>
        </w:rPr>
        <w:t>Reference Period</w:t>
      </w:r>
      <w:r>
        <w:rPr>
          <w:rFonts w:ascii="Arial" w:cs="Arial" w:eastAsia="Arial" w:hAnsi="Arial"/>
          <w:sz w:val="17"/>
          <w:szCs w:val="17"/>
          <w:color w:val="auto"/>
        </w:rPr>
        <w:t>”) used in computing the Current Market Price for purposes of clause (i) above, unless the Board of Directors determines in good faith that determining the fair market value during the Reference Period would not be in the best interest of the Holders.</w:t>
      </w:r>
    </w:p>
    <w:p>
      <w:pPr>
        <w:spacing w:after="0" w:line="171" w:lineRule="exact"/>
        <w:rPr>
          <w:sz w:val="20"/>
          <w:szCs w:val="20"/>
          <w:color w:val="auto"/>
        </w:rPr>
      </w:pPr>
    </w:p>
    <w:p>
      <w:pPr>
        <w:ind w:right="40" w:firstLine="1305"/>
        <w:spacing w:after="0" w:line="259" w:lineRule="auto"/>
        <w:tabs>
          <w:tab w:leader="none" w:pos="1731"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10.08, if the Company distributes Capital Stock of, or similar equity interests in, a Subsidiary of the Company or other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then the Conversion Rate shall be increased so that the same shall equal the rate determined by multiplying the Conversion Rate in effect at the opening of business on the fifteenth Trading Day immediately following the Ex-Date for such Spin-Off by a fraction:</w:t>
      </w:r>
    </w:p>
    <w:p>
      <w:pPr>
        <w:spacing w:after="0" w:line="186" w:lineRule="exact"/>
        <w:rPr>
          <w:rFonts w:ascii="Arial" w:cs="Arial" w:eastAsia="Arial" w:hAnsi="Arial"/>
          <w:sz w:val="18"/>
          <w:szCs w:val="18"/>
          <w:color w:val="auto"/>
        </w:rPr>
      </w:pPr>
    </w:p>
    <w:p>
      <w:pPr>
        <w:ind w:firstLine="1953"/>
        <w:spacing w:after="0" w:line="279" w:lineRule="auto"/>
        <w:tabs>
          <w:tab w:leader="none" w:pos="23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numerator of which will be the sum of (A) the average of the Closing Prices of the Capital Stock or similar equity interest distributed to holders of Common Stock applicable to one share of Common Stock over the ten consecutive Trading Day period immediately following, and including, the fifth Trading Day after the Ex-Date for the Spin-Off and (B) the average of the Closing Prices of Common Stock over the ten consecutive Trading Day period immediately following, and including, the fifth Trading Day after the Ex-Date for the Spin-Off; and</w:t>
      </w:r>
    </w:p>
    <w:p>
      <w:pPr>
        <w:spacing w:after="0" w:line="171" w:lineRule="exact"/>
        <w:rPr>
          <w:rFonts w:ascii="Arial" w:cs="Arial" w:eastAsia="Arial" w:hAnsi="Arial"/>
          <w:sz w:val="17"/>
          <w:szCs w:val="17"/>
          <w:color w:val="auto"/>
        </w:rPr>
      </w:pPr>
    </w:p>
    <w:p>
      <w:pPr>
        <w:ind w:right="480" w:firstLine="1953"/>
        <w:spacing w:after="0" w:line="277" w:lineRule="auto"/>
        <w:tabs>
          <w:tab w:leader="none" w:pos="23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denominator of which is the average of the Closing Prices of Common Stock over the ten consecutive Trading Day period immediately following, and including, the fifth Trading Day after the Ex-Date for the Spin-Off.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no event shall the Conversion Rate be decreased pursuant to this Section 10.08(b).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1305"/>
        <w:spacing w:after="0" w:line="264" w:lineRule="auto"/>
        <w:tabs>
          <w:tab w:leader="none" w:pos="163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Company elects to make a distribution described in Section 10.08(a) or Section 10.08(b)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Adjustment for Cash Dividends</w:t>
      </w:r>
      <w:r>
        <w:rPr>
          <w:rFonts w:ascii="Arial" w:cs="Arial" w:eastAsia="Arial" w:hAnsi="Arial"/>
          <w:sz w:val="18"/>
          <w:szCs w:val="18"/>
          <w:color w:val="auto"/>
        </w:rPr>
        <w:t>. If the Company shall, at any time or from time to time while any of the Notes are outstanding, distribute dividends or make other distributions paid entirely in Cash to all or substantially all holders of Common Stock (other than (x) distributions described in Section 10.10 below or (y) any dividend or distribution in connection with the Company’s liquidation, dissolution or winding up), then the Conversion Rate shall be increased so that the same shall equal the rate determined by multiplying the Conversion Rate in effect at the opening of business on the Ex-Date for such dividend or distribution by a fraction:</w:t>
      </w:r>
    </w:p>
    <w:p>
      <w:pPr>
        <w:spacing w:after="0" w:line="188" w:lineRule="exact"/>
        <w:rPr>
          <w:sz w:val="20"/>
          <w:szCs w:val="20"/>
          <w:color w:val="auto"/>
        </w:rPr>
      </w:pPr>
    </w:p>
    <w:p>
      <w:pPr>
        <w:ind w:left="1700" w:hanging="395"/>
        <w:spacing w:after="0"/>
        <w:tabs>
          <w:tab w:leader="none" w:pos="1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w:t>
      </w:r>
    </w:p>
    <w:p>
      <w:pPr>
        <w:spacing w:after="0" w:line="225" w:lineRule="exact"/>
        <w:rPr>
          <w:rFonts w:ascii="Arial" w:cs="Arial" w:eastAsia="Arial" w:hAnsi="Arial"/>
          <w:sz w:val="18"/>
          <w:szCs w:val="18"/>
          <w:color w:val="auto"/>
        </w:rPr>
      </w:pPr>
    </w:p>
    <w:p>
      <w:pPr>
        <w:ind w:right="260" w:firstLine="1305"/>
        <w:spacing w:after="0" w:line="277" w:lineRule="auto"/>
        <w:tabs>
          <w:tab w:leader="none" w:pos="1641"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per share of Common Stock on the Business Day immediately preceding the Ex-Date for such dividend or distribution,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per share of such dividend or distribution.</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Such adjustment shall become effective immediately after the opening of business on the Ex-Date for such distribution or dividend;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amount per share of such dividend or distribution” as set forth above is equal to or greater than “the Current Market Price per share of Common Stock on the Business Day immediately preceding the Ex-Date for such dividend or distribution” as set forth above, in lieu of the foregoing adjustment, adequate provision shall be made so that each Noteholder shall have the right to receive on the date on which the relevant Cash dividend or distribution is distributed to holders of Common Stock, for each $1,000 principal amount of Notes upon conversion, the amount of Cash such Noteholder would have received had such Noteholder owned a number of shares equal to the Conversion Rate on the Record Date for such dividend or distribution. In the event that such distribution or dividend is not so made, the Conversion Rate shall again be adjusted to be the Conversion Rate which would then be in effect if such dividend or distribution had not been declared.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shall the Conversion Rate be decreased pursuant to this Section 10.09.</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the Company elects to make a distribution described in this Section 10.09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Adjustment for Tender Offer</w:t>
      </w:r>
      <w:r>
        <w:rPr>
          <w:rFonts w:ascii="Arial" w:cs="Arial" w:eastAsia="Arial" w:hAnsi="Arial"/>
          <w:sz w:val="18"/>
          <w:szCs w:val="18"/>
          <w:color w:val="auto"/>
        </w:rPr>
        <w:t>. If the Company or any of its Subsidiaries shall, at any time or from time to time, while any of the Notes are outstanding, distribute Cash or other consideration in respect of a tender offer or exchange offer for Common Stock, where such Cash and the value of any such other consideration per share of Common Stock validly tendered or exchanged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exceeds the Closing Price of Common Stock on Trading Day immediately following the last date (such last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on which tenders or exchanges may be made pursuant to the tender or exchange offer, then the Conversion Rate shall be increased so that the same shall equal the rate determined by multiplying the Conversion Rate in effect at the opening of business on the Business Day immediately following the Trading Day immediately following the Expiration Date by a fraction:</w:t>
      </w:r>
    </w:p>
    <w:p>
      <w:pPr>
        <w:spacing w:after="0" w:line="184" w:lineRule="exact"/>
        <w:rPr>
          <w:sz w:val="20"/>
          <w:szCs w:val="20"/>
          <w:color w:val="auto"/>
        </w:rPr>
      </w:pPr>
    </w:p>
    <w:p>
      <w:pPr>
        <w:ind w:right="360" w:firstLine="1305"/>
        <w:spacing w:after="0" w:line="342" w:lineRule="auto"/>
        <w:tabs>
          <w:tab w:leader="none" w:pos="168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numerator of which will be the sum of (A) the fair market value, as determined by the Board of Directors, of the aggregate consideration payable for all shares of Common Stock that the Company purchases in such tender or exchange offer and (B) the product of the number of</w:t>
      </w:r>
    </w:p>
    <w:p>
      <w:pPr>
        <w:sectPr>
          <w:pgSz w:w="11900" w:h="16838" w:orient="portrait"/>
          <w:cols w:equalWidth="0" w:num="1">
            <w:col w:w="11420"/>
          </w:cols>
          <w:pgMar w:left="240" w:top="125" w:right="239" w:bottom="0" w:gutter="0" w:footer="0" w:header="0"/>
        </w:sectPr>
      </w:pPr>
    </w:p>
    <w:bookmarkStart w:id="42" w:name="page43"/>
    <w:bookmarkEnd w:id="42"/>
    <w:p>
      <w:pPr>
        <w:ind w:right="180"/>
        <w:spacing w:after="0" w:line="277" w:lineRule="auto"/>
        <w:rPr>
          <w:sz w:val="20"/>
          <w:szCs w:val="20"/>
          <w:color w:val="auto"/>
        </w:rPr>
      </w:pPr>
      <w:r>
        <w:rPr>
          <w:rFonts w:ascii="Arial" w:cs="Arial" w:eastAsia="Arial" w:hAnsi="Arial"/>
          <w:sz w:val="18"/>
          <w:szCs w:val="18"/>
          <w:color w:val="auto"/>
        </w:rPr>
        <w:t>shares of Common Stock outstanding, less the number of shares of Common Stock purchased in the relevant tender offer or exchange offer (the “Purchased Shares”), and the Closing Price of Common Stock on the Trading Day immediately following the Expiration Date; and</w:t>
      </w:r>
    </w:p>
    <w:p>
      <w:pPr>
        <w:spacing w:after="0" w:line="170" w:lineRule="exact"/>
        <w:rPr>
          <w:sz w:val="20"/>
          <w:szCs w:val="20"/>
          <w:color w:val="auto"/>
        </w:rPr>
      </w:pPr>
    </w:p>
    <w:p>
      <w:pPr>
        <w:ind w:right="120" w:firstLine="1305"/>
        <w:spacing w:after="0" w:line="277" w:lineRule="auto"/>
        <w:tabs>
          <w:tab w:leader="none" w:pos="164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denominator of which will be the product of the number of shares of Common Stock outstanding, including the Purchased Shares, and the Closing Price of Common Stock on the Trading Day immediately following the Expiration Date.</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An adjustment, if any, to the Conversion Rate pursuant to this Section 10.10 shall become effective immediately prior to the opening of business on the second Trading Day immediately following the Expiration Date. In the event that the Company or a Subsidiary of the Company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which would then be in effect if such tender offer or exchange offer had not been made. If the application of this Section 10.10 to any tender offer or exchange offer would result in a decrease in the Conversion Rate, no adjustment shall be made for such tender offer or exchange offer under this Section 10.10.</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i w:val="1"/>
          <w:iCs w:val="1"/>
          <w:color w:val="auto"/>
        </w:rPr>
        <w:t>Provisions Governing Adjustment to Conversion Rate</w:t>
      </w:r>
      <w:r>
        <w:rPr>
          <w:rFonts w:ascii="Arial" w:cs="Arial" w:eastAsia="Arial" w:hAnsi="Arial"/>
          <w:sz w:val="17"/>
          <w:szCs w:val="17"/>
          <w:color w:val="auto"/>
        </w:rPr>
        <w:t>. Rights or warrants distributed by the Company to all holders of 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7"/>
          <w:szCs w:val="17"/>
          <w:b w:val="1"/>
          <w:bCs w:val="1"/>
          <w:color w:val="auto"/>
        </w:rPr>
        <w:t>Trigger Event</w:t>
      </w:r>
      <w:r>
        <w:rPr>
          <w:rFonts w:ascii="Arial" w:cs="Arial" w:eastAsia="Arial" w:hAnsi="Arial"/>
          <w:sz w:val="17"/>
          <w:szCs w:val="17"/>
          <w:color w:val="auto"/>
        </w:rPr>
        <w:t>”): (i) are deemed to be transferred with such shares of Common Stock; (ii) are not exercisable; and (iii) are also issued in respect of future issuances of Common Stock, shall be deemed not to have been distributed for purposes of Section 10.06, Section 10.07, Section 10.08, Section 10.09 or Section 10.10 (and no adjustment to the Conversion Rate under Section 10.06, Section 10.07, Section 10.08, Section 10.09 or Section 10.10 will be required) until the occurrence of the earliest Trigger Event, whereupon such rights, options and warrants shall be deemed to have been distributed and an appropriate adjustment (if any is required) to the Conversion Rate shall be made under Section 10.08, and, if applicable, Section 10.23.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10.23. In addition, except as set forth in Section 10.23,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10.06, Section 10.07, Section 10.08, Section 10.09 or Section 10.10 was made (including any adjustment contemplated in Section 10.23),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7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ind w:right="100" w:firstLine="1305"/>
        <w:spacing w:after="0" w:line="277" w:lineRule="auto"/>
        <w:tabs>
          <w:tab w:leader="none" w:pos="1631"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in each case, in which holders of outstanding Common Stock would be entitled to receive Cash, securities or other property for their shares of Common Stock, if a Holder converts its Notes on or after the effective date of any such event, subject to the right of the Company to settle all or a portion of the Conversion Obligation with respect to such Notes in Cash (other than solely Cash in lieu of any fractional shares), and the right of the Company to irrevocably elect Net Share Settlement, Notes will be convertible into, in lieu of the shares of Common Stock otherwise deliverable, the same type (in the same proportions) of consideration received by holders of Common Stock in the relevant event (collectively, “</w:t>
      </w:r>
      <w:r>
        <w:rPr>
          <w:rFonts w:ascii="Arial" w:cs="Arial" w:eastAsia="Arial" w:hAnsi="Arial"/>
          <w:sz w:val="16"/>
          <w:szCs w:val="16"/>
          <w:b w:val="1"/>
          <w:bCs w:val="1"/>
          <w:color w:val="auto"/>
        </w:rPr>
        <w:t>Reference Property</w:t>
      </w:r>
      <w:r>
        <w:rPr>
          <w:rFonts w:ascii="Arial" w:cs="Arial" w:eastAsia="Arial" w:hAnsi="Arial"/>
          <w:sz w:val="16"/>
          <w:szCs w:val="16"/>
          <w:color w:val="auto"/>
        </w:rPr>
        <w:t>”).</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Company elects to settle all or any portion of the Conversion Obligation in Cash (other than solely Cash in lieu of any fractional shares) or if the Company irrevocably elects Net Share Settlement, Holders shall receive in connection with any conversion (1) Cash in an amount equal to the portion of the Conversion Obligation that Company has elected to settle with Cash (which shall be at least equal to the lesser of (x) the aggregate principal amount of Notes to be converted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8"/>
        <w:spacing w:after="0" w:line="257"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relevant Conversion Value, if the Company has irrevocably elected Net Share Settlement); and (2) in lieu of the shares of Common Stock otherwise deliverable, if any, Reference Property. If the Company elects to settle any conversion in whole or in part by delivering Cash in respect the Conversion Obligation (other than solely Cash in lieu of any fractional shares) or if the Company irrevocably elects Net Share Settlement, the amount of Cash and any Reference Property that the Holders will receive will be based on the Daily Share Amounts of Reference Property and the Applicable Conversion Rate as set forth in Section 10.02.</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If the Disposition Event provides the holders of Common Stock with the right to receive more than a single type of consideration determined based in part upon any form of stockholder election, the Reference Property shall be comprised of the weighted average of the types and amounts of consideration</w:t>
      </w:r>
    </w:p>
    <w:p>
      <w:pPr>
        <w:sectPr>
          <w:pgSz w:w="11900" w:h="16838" w:orient="portrait"/>
          <w:cols w:equalWidth="0" w:num="1">
            <w:col w:w="11400"/>
          </w:cols>
          <w:pgMar w:left="240" w:top="125" w:right="259" w:bottom="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received by the holders of Common Stock upon the occurrence of such event.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Upon the occurrence of a Disposition Event, the Company or the successor or purchasing Person, as the case may be, shall execute with the Trustee a supplemental indenture (which shall comply with the Trust Indenture Act as in force at the date of execution of such supplemental indenture if such supplemental indenture is then required to so comply) permitted under Section 9.02(b) providing for the conversion and settlement of the Notes as set forth in this Indenture. Such supplemental indenture shall provide for adjustments that shall be as nearly equivalent as may be practicable to the adjustments provided for in this Article 10. 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8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event the Company shall execute a supplemental indenture pursuant to this Section 10.12,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Noteholders. The Company shall cause notice of the execution of such supplemental indenture to be mailed to each Noteholder, at its address appearing on the Register provided for in this Indenture, within twenty days after execution thereof. Failure to deliver such notice shall not affect the legality or validity of such supplemental indenture.</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Adjustment to Conversion Rate Upon a Make-Whole Change in Control; Discretionary Adjustment</w:t>
      </w:r>
      <w:r>
        <w:rPr>
          <w:rFonts w:ascii="Arial" w:cs="Arial" w:eastAsia="Arial" w:hAnsi="Arial"/>
          <w:sz w:val="18"/>
          <w:szCs w:val="18"/>
          <w:color w:val="auto"/>
        </w:rPr>
        <w:t xml:space="preserve">. (a) If, after the date hereof, a Change in Control (determined after giving effect to any exceptions or exclusions to such definition, but without regard to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 clause (ii) of the definition thereof, a “</w:t>
      </w:r>
      <w:r>
        <w:rPr>
          <w:rFonts w:ascii="Arial" w:cs="Arial" w:eastAsia="Arial" w:hAnsi="Arial"/>
          <w:sz w:val="18"/>
          <w:szCs w:val="18"/>
          <w:b w:val="1"/>
          <w:bCs w:val="1"/>
          <w:color w:val="auto"/>
        </w:rPr>
        <w:t>Make-Whole Change in Control</w:t>
      </w:r>
      <w:r>
        <w:rPr>
          <w:rFonts w:ascii="Arial" w:cs="Arial" w:eastAsia="Arial" w:hAnsi="Arial"/>
          <w:sz w:val="18"/>
          <w:szCs w:val="18"/>
          <w:color w:val="auto"/>
        </w:rPr>
        <w:t>”) occurs and a Holder elects to convert its Notes in connection with such Make-Whole Change in Control, the Company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will, under certain circumstances, increase the Applicable Conversion Rate for the Notes so surrendered for conversion by a number of additional shares of Common Stock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as described in this Section 10.13.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the 35th Trading Day immediately following the Effective Date of such Make-Whole Change in Control). Upon surrender of Notes for conversion in connection with a Make-Whole Change in Control, the Company will have the right to deliver, in lieu of shares of Common Stock, including the Make-Whole Shares, Cash or a combination of Cash and shares of Common Stock as described in Section 10.02.</w:t>
      </w:r>
    </w:p>
    <w:p>
      <w:pPr>
        <w:spacing w:after="0" w:line="17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mail to the Trustee and to all Holders at their addresses shown in the Register of the Registrar, and to beneficial owners as required by applicable law, notice indicating that a Make-Whole Change in Control has occurred.</w:t>
      </w:r>
    </w:p>
    <w:p>
      <w:pPr>
        <w:spacing w:after="0" w:line="181" w:lineRule="exact"/>
        <w:rPr>
          <w:sz w:val="20"/>
          <w:szCs w:val="20"/>
          <w:color w:val="auto"/>
        </w:rPr>
      </w:pPr>
    </w:p>
    <w:p>
      <w:pPr>
        <w:jc w:val="both"/>
        <w:ind w:right="60" w:firstLine="1305"/>
        <w:spacing w:after="0" w:line="297" w:lineRule="auto"/>
        <w:tabs>
          <w:tab w:leader="none" w:pos="200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number of Make-Whole Shares will be determined by reference to the table below and is based on the date which such Make-Whole Change in Control transaction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6"/>
          <w:szCs w:val="16"/>
          <w:b w:val="1"/>
          <w:bCs w:val="1"/>
          <w:color w:val="auto"/>
        </w:rPr>
        <w:t>Stock Price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160" w:firstLine="1305"/>
        <w:spacing w:after="0" w:line="276" w:lineRule="auto"/>
        <w:tabs>
          <w:tab w:leader="none" w:pos="1991"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Stock Prices set forth in the first column of the table below will be adjusted as of any date on which the Applicable Conversion Rate is adjusted. The adjusted Stock Prices will equal the Stock Prices immediately prior to such adjustment, multiplied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10.06 through Section 10.10.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Effective Date</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460" w:type="dxa"/>
            <w:vAlign w:val="bottom"/>
            <w:gridSpan w:val="3"/>
            <w:vMerge w:val="continue"/>
          </w:tcPr>
          <w:p>
            <w:pPr>
              <w:spacing w:after="0"/>
              <w:rPr>
                <w:sz w:val="8"/>
                <w:szCs w:val="8"/>
                <w:color w:val="auto"/>
              </w:rPr>
            </w:pPr>
          </w:p>
        </w:tc>
        <w:tc>
          <w:tcPr>
            <w:tcW w:w="1260" w:type="dxa"/>
            <w:vAlign w:val="bottom"/>
            <w:gridSpan w:val="2"/>
          </w:tcPr>
          <w:p>
            <w:pPr>
              <w:ind w:left="240"/>
              <w:spacing w:after="0" w:line="102" w:lineRule="exact"/>
              <w:rPr>
                <w:sz w:val="20"/>
                <w:szCs w:val="20"/>
                <w:color w:val="auto"/>
              </w:rPr>
            </w:pPr>
            <w:r>
              <w:rPr>
                <w:rFonts w:ascii="Arial" w:cs="Arial" w:eastAsia="Arial" w:hAnsi="Arial"/>
                <w:sz w:val="11"/>
                <w:szCs w:val="11"/>
                <w:b w:val="1"/>
                <w:bCs w:val="1"/>
                <w:color w:val="auto"/>
              </w:rPr>
              <w:t>May 23,</w:t>
            </w:r>
          </w:p>
        </w:tc>
        <w:tc>
          <w:tcPr>
            <w:tcW w:w="128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June 1,</w:t>
            </w:r>
          </w:p>
        </w:tc>
        <w:tc>
          <w:tcPr>
            <w:tcW w:w="126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June 1,</w:t>
            </w:r>
          </w:p>
        </w:tc>
        <w:tc>
          <w:tcPr>
            <w:tcW w:w="128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June 1,</w:t>
            </w:r>
          </w:p>
        </w:tc>
        <w:tc>
          <w:tcPr>
            <w:tcW w:w="126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June 1,</w:t>
            </w:r>
          </w:p>
        </w:tc>
        <w:tc>
          <w:tcPr>
            <w:tcW w:w="128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June 1,</w:t>
            </w:r>
          </w:p>
        </w:tc>
        <w:tc>
          <w:tcPr>
            <w:tcW w:w="126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June 1,</w:t>
            </w:r>
          </w:p>
        </w:tc>
        <w:tc>
          <w:tcPr>
            <w:tcW w:w="980" w:type="dxa"/>
            <w:vAlign w:val="bottom"/>
          </w:tcPr>
          <w:p>
            <w:pPr>
              <w:jc w:val="right"/>
              <w:ind w:right="194"/>
              <w:spacing w:after="0" w:line="102" w:lineRule="exact"/>
              <w:rPr>
                <w:sz w:val="20"/>
                <w:szCs w:val="20"/>
                <w:color w:val="auto"/>
              </w:rPr>
            </w:pPr>
            <w:r>
              <w:rPr>
                <w:rFonts w:ascii="Arial" w:cs="Arial" w:eastAsia="Arial" w:hAnsi="Arial"/>
                <w:sz w:val="11"/>
                <w:szCs w:val="11"/>
                <w:b w:val="1"/>
                <w:bCs w:val="1"/>
                <w:color w:val="auto"/>
              </w:rPr>
              <w:t>June 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Price</w:t>
            </w: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$11.50</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$12.50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13.9425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13.5906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13.0358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12.4290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12.2737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12.3789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11.7512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$15.00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$17.50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6.5396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5.8491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4.9149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3.6430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1.2780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$22.50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3.6738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3.0560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2.2696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$25.00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0.8409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60" w:type="dxa"/>
            <w:vAlign w:val="bottom"/>
            <w:tcBorders>
              <w:bottom w:val="single" w:sz="8" w:color="010101"/>
            </w:tcBorders>
            <w:gridSpan w:val="2"/>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$27.50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0.6163</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$30.00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1.9365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1.5179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1.0273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0.4871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$32.50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0.4068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$35.00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1.3913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0.7212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0.3515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0.8096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0.5466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0.2765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-944880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-944880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$45.00</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0.8138</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0.6312</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0.4314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0.2242</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0.0000</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0.0000</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0.0000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0.0000</w:t>
            </w:r>
          </w:p>
        </w:tc>
      </w:tr>
      <w:tr>
        <w:trPr>
          <w:trHeight w:val="216"/>
        </w:trPr>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$50.00</w:t>
            </w:r>
          </w:p>
        </w:tc>
        <w:tc>
          <w:tcPr>
            <w:tcW w:w="1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0.6443</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0.5027</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0.3474</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0.1837</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0.0000</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0.0000</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0.0000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0.0000</w:t>
            </w:r>
          </w:p>
        </w:tc>
      </w:tr>
    </w:tbl>
    <w:p>
      <w:pPr>
        <w:spacing w:after="0" w:line="256" w:lineRule="exact"/>
        <w:rPr>
          <w:sz w:val="20"/>
          <w:szCs w:val="20"/>
          <w:color w:val="auto"/>
        </w:rPr>
      </w:pPr>
    </w:p>
    <w:p>
      <w:pPr>
        <w:ind w:right="20" w:firstLine="1305"/>
        <w:spacing w:after="0" w:line="293" w:lineRule="auto"/>
        <w:tabs>
          <w:tab w:leader="none" w:pos="2001"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 based on a 365-day year, (ii) if the Stock Price is in excess of $50.00 per share of Common Stock (subject to adjustment as set forth in Section 10.13(c)), no Make-Whole Shares will be issued upon conversion of the Notes; and (iii) if the Stock Price is less than $11.50 per share of Common Stock (subject to adjustment as set forth in Section 10.13(c)), no Make-Whole Shares will be issued upon conversion of the Notes.</w:t>
      </w:r>
    </w:p>
    <w:p>
      <w:pPr>
        <w:spacing w:after="0" w:line="164" w:lineRule="exact"/>
        <w:rPr>
          <w:rFonts w:ascii="Arial" w:cs="Arial" w:eastAsia="Arial" w:hAnsi="Arial"/>
          <w:sz w:val="16"/>
          <w:szCs w:val="16"/>
          <w:color w:val="auto"/>
        </w:rPr>
      </w:pPr>
    </w:p>
    <w:p>
      <w:pPr>
        <w:ind w:left="2000" w:hanging="695"/>
        <w:spacing w:after="0"/>
        <w:tabs>
          <w:tab w:leader="none" w:pos="20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may make such increases in the Conversion Rate, in addition to those required by Section 10.06, 10.07, 10.08,</w:t>
      </w:r>
    </w:p>
    <w:p>
      <w:pPr>
        <w:spacing w:after="0" w:line="46"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10.09 and 10.10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39" w:lineRule="exact"/>
        <w:rPr>
          <w:sz w:val="20"/>
          <w:szCs w:val="20"/>
          <w:color w:val="auto"/>
        </w:rPr>
      </w:pPr>
    </w:p>
    <w:p>
      <w:pPr>
        <w:ind w:right="120" w:firstLine="1305"/>
        <w:spacing w:after="0" w:line="255" w:lineRule="auto"/>
        <w:tabs>
          <w:tab w:leader="none" w:pos="201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permitted by applicable law, the Company from time to time may increase the Conversion Rate by any amount for any period of time if the period is at least twenty (20)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mail to holders of record of the Notes a notice of the increase at least fifteen (15) days prior to the date the increased Conversion Rate takes effect, and such notice shall state the increased Conversion Rate and the period during which it will be in effect.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When Adjustment May Be Deferred</w:t>
      </w:r>
      <w:r>
        <w:rPr>
          <w:rFonts w:ascii="Arial" w:cs="Arial" w:eastAsia="Arial" w:hAnsi="Arial"/>
          <w:sz w:val="18"/>
          <w:szCs w:val="18"/>
          <w:color w:val="auto"/>
        </w:rPr>
        <w:t>. No adjustment in the Conversion Rate need be made unless the adjustment would require an 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upon required repurchases of the Notes pursuant to Section 3.01, and on each day from and after the 24th Scheduled Trading Day prior to the Maturity Date.</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When No Adjustment Required</w:t>
      </w:r>
      <w:r>
        <w:rPr>
          <w:rFonts w:ascii="Arial" w:cs="Arial" w:eastAsia="Arial" w:hAnsi="Arial"/>
          <w:sz w:val="18"/>
          <w:szCs w:val="18"/>
          <w:color w:val="auto"/>
        </w:rPr>
        <w:t>. (a) No adjustment need be made for a transaction referred to in Section 10.06, 10.07, 10.08, 10.09 or 10.10 if Noteholders participate,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Noteholders, at such time, held a number of shares of Common Stock equal to the Applicable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Noteholder, without having to convert their Notes.</w:t>
      </w:r>
    </w:p>
    <w:p>
      <w:pPr>
        <w:spacing w:after="0" w:line="171" w:lineRule="exact"/>
        <w:rPr>
          <w:sz w:val="20"/>
          <w:szCs w:val="20"/>
          <w:color w:val="auto"/>
        </w:rPr>
      </w:pPr>
    </w:p>
    <w:p>
      <w:pPr>
        <w:ind w:right="180" w:firstLine="1305"/>
        <w:spacing w:after="0" w:line="277" w:lineRule="auto"/>
        <w:tabs>
          <w:tab w:leader="none" w:pos="20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adjustment need be made for rights to purchase Common Stock pursuant to a Company plan for reinvestment of dividends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120" w:firstLine="1305"/>
        <w:spacing w:after="0" w:line="277" w:lineRule="auto"/>
        <w:tabs>
          <w:tab w:leader="none" w:pos="199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into Cash, no adjustment need be made thereafter as to the Cash. Interest will not accrue on the Cash.</w:t>
      </w:r>
    </w:p>
    <w:p>
      <w:pPr>
        <w:spacing w:after="0" w:line="170" w:lineRule="exact"/>
        <w:rPr>
          <w:rFonts w:ascii="Arial" w:cs="Arial" w:eastAsia="Arial" w:hAnsi="Arial"/>
          <w:sz w:val="18"/>
          <w:szCs w:val="18"/>
          <w:color w:val="auto"/>
        </w:rPr>
      </w:pPr>
    </w:p>
    <w:p>
      <w:pPr>
        <w:ind w:right="140" w:firstLine="1305"/>
        <w:spacing w:after="0" w:line="264" w:lineRule="auto"/>
        <w:tabs>
          <w:tab w:leader="none" w:pos="20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Notwithstanding anything in this Article 10 to the contrary, the Applicable Conversion Rate shall not exceed 86.9565 per $1,000 principal amount of Notes, other than on account of adjustments to the Conversion Rate in the manner set forth in Sections 10.06, 10.07, 10.08, 10.09 and 10.10.</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Notice of Adjustment</w:t>
      </w:r>
      <w:r>
        <w:rPr>
          <w:rFonts w:ascii="Arial" w:cs="Arial" w:eastAsia="Arial" w:hAnsi="Arial"/>
          <w:sz w:val="18"/>
          <w:szCs w:val="18"/>
          <w:color w:val="auto"/>
        </w:rPr>
        <w:t>. Whenever the Conversion Rate is adjusted, the Company shall promptly mail to Noteholders a notice of 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i w:val="1"/>
          <w:iCs w:val="1"/>
          <w:color w:val="auto"/>
        </w:rPr>
        <w:t>Notice of Certain Transactions</w:t>
      </w:r>
      <w:r>
        <w:rPr>
          <w:rFonts w:ascii="Arial" w:cs="Arial" w:eastAsia="Arial" w:hAnsi="Arial"/>
          <w:sz w:val="17"/>
          <w:szCs w:val="17"/>
          <w:color w:val="auto"/>
        </w:rPr>
        <w:t xml:space="preserve">. If (a) the Company takes any action that would require an adjustment in the Conversion Rate pursuant to Section 10.06, 10.07, 10.08, 10.09 or 10.10 (unless no adjustment is to occur pursuant to Section 10.14 or Section 10.15), (b) the Company takes any action that would require a supplemental indenture pursuant to Section 10.12, or (c) there is a liquidation or dissolution of the Company, then the Company shall mail to Noteholders and file with the Trustee and the Conversion Agent a notice stating the proposed Ex-Date for a dividend or distribution or the proposed effective date of a subdivision, combination, reclassification, consolidation, merger, combination, sale or conveyance. The Company shall file and mail the notice at least 15 days before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elects to make a distribution described in Section 10.07, Section 10.08, or Section 10.09, and in the case of Section 10.08 or Section 10.09, that has a per share value equal to more than 15% of the Closing Price per share of Common Stock on the day preceding the declaration date for such distribution, the</w:t>
      </w:r>
    </w:p>
    <w:p>
      <w:pPr>
        <w:sectPr>
          <w:pgSz w:w="11900" w:h="16838" w:orient="portrait"/>
          <w:cols w:equalWidth="0" w:num="1">
            <w:col w:w="11420"/>
          </w:cols>
          <w:pgMar w:left="240" w:top="121" w:right="239" w:bottom="474"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74" w:gutter="0" w:footer="0" w:header="0"/>
          <w:type w:val="continuous"/>
        </w:sectPr>
      </w:pPr>
    </w:p>
    <w:bookmarkStart w:id="45" w:name="page46"/>
    <w:bookmarkEnd w:id="45"/>
    <w:p>
      <w:pPr>
        <w:ind w:right="80"/>
        <w:spacing w:after="0" w:line="277" w:lineRule="auto"/>
        <w:rPr>
          <w:sz w:val="20"/>
          <w:szCs w:val="20"/>
          <w:color w:val="auto"/>
        </w:rPr>
      </w:pPr>
      <w:r>
        <w:rPr>
          <w:rFonts w:ascii="Arial" w:cs="Arial" w:eastAsia="Arial" w:hAnsi="Arial"/>
          <w:sz w:val="18"/>
          <w:szCs w:val="18"/>
          <w:color w:val="auto"/>
        </w:rPr>
        <w:t>Company shall give notice to Holders at least 35 Business Days prior to the Ex-Date for such distribution. Failure to file or mail the notice or any defect in it shall not affect the validity of the transaction.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Right of Holders to Convert</w:t>
      </w:r>
      <w:r>
        <w:rPr>
          <w:rFonts w:ascii="Arial" w:cs="Arial" w:eastAsia="Arial" w:hAnsi="Arial"/>
          <w:sz w:val="18"/>
          <w:szCs w:val="18"/>
          <w:color w:val="auto"/>
        </w:rPr>
        <w:t>. Notwithstanding any other provision in this Indenture, the Holder of any Note shall have the right to convert its Note in accordance with this Article 10 and to bring an action for the enforcement of any such right to convert, and such rights shall not be impaired or affected without the consent of such Holder.</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10.19. </w:t>
      </w:r>
      <w:r>
        <w:rPr>
          <w:rFonts w:ascii="Arial" w:cs="Arial" w:eastAsia="Arial" w:hAnsi="Arial"/>
          <w:sz w:val="17"/>
          <w:szCs w:val="17"/>
          <w:i w:val="1"/>
          <w:iCs w:val="1"/>
          <w:color w:val="auto"/>
        </w:rPr>
        <w:t>Company Determination Final</w:t>
      </w:r>
      <w:r>
        <w:rPr>
          <w:rFonts w:ascii="Arial" w:cs="Arial" w:eastAsia="Arial" w:hAnsi="Arial"/>
          <w:sz w:val="17"/>
          <w:szCs w:val="17"/>
          <w:color w:val="auto"/>
        </w:rPr>
        <w:t>. The Company shall be responsible for making all calculations called for hereunder and under the Notes. These calculations include, but are not limited to, Conversion Value, the Conversion Date, the Volume Weighted Average Price, the Cash Settlement Averaging Period, the Closing Price, the Conversion Price, the Applicable Conversion Rate and the number of shares of Common Stock, if any, to be issued upon conversion of the Notes. The Company shall make all these calculations using commercially reasonable means and, absent manifest error, the Company’s calculations will be final and binding on Noteholders. The Company shall provide a schedule of the Company’s calculations to the Trustee, and the Trustee is entitled to rely upon the accuracy of the Company’s calculations without independent verification.</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i w:val="1"/>
          <w:iCs w:val="1"/>
          <w:color w:val="auto"/>
        </w:rPr>
        <w:t>Trustee’s Adjustment Disclaimer</w:t>
      </w:r>
      <w:r>
        <w:rPr>
          <w:rFonts w:ascii="Arial" w:cs="Arial" w:eastAsia="Arial" w:hAnsi="Arial"/>
          <w:sz w:val="17"/>
          <w:szCs w:val="17"/>
          <w:color w:val="auto"/>
        </w:rPr>
        <w:t>. The Trustee has no duty to determine when an adjustment under this Article 10 should be made, 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10.20 as the Trustee.</w:t>
      </w:r>
    </w:p>
    <w:p>
      <w:pPr>
        <w:spacing w:after="0" w:line="17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i w:val="1"/>
          <w:iCs w:val="1"/>
          <w:color w:val="auto"/>
        </w:rPr>
        <w:t>Simultaneous Adjustments</w:t>
      </w:r>
      <w:r>
        <w:rPr>
          <w:rFonts w:ascii="Arial" w:cs="Arial" w:eastAsia="Arial" w:hAnsi="Arial"/>
          <w:sz w:val="18"/>
          <w:szCs w:val="18"/>
          <w:color w:val="auto"/>
        </w:rPr>
        <w:t>. For purposes of Section 10.08, Section 10.06 and Section 10.07, any dividend or distribution to which Section 10.08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10.08 with respect to such dividend or distribution shall then be made) immediately followed by (2) a dividend or distribution of such shares of Common Stock or such rights (and any further Conversion Rate adjustment required by Section 10.06 and Section 10.07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10.06.</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i w:val="1"/>
          <w:iCs w:val="1"/>
          <w:color w:val="auto"/>
        </w:rPr>
        <w:t>Successive Adjustments</w:t>
      </w:r>
      <w:r>
        <w:rPr>
          <w:rFonts w:ascii="Arial" w:cs="Arial" w:eastAsia="Arial" w:hAnsi="Arial"/>
          <w:sz w:val="18"/>
          <w:szCs w:val="18"/>
          <w:color w:val="auto"/>
        </w:rPr>
        <w:t>. After an adjustment to the Conversion Rate under this Article 10, any subsequent event requiring an adjustment under this Article 10 shall cause an adjustment to the Conversion Rate as so adjusted.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10.23. </w:t>
      </w:r>
      <w:r>
        <w:rPr>
          <w:rFonts w:ascii="Arial" w:cs="Arial" w:eastAsia="Arial" w:hAnsi="Arial"/>
          <w:sz w:val="17"/>
          <w:szCs w:val="17"/>
          <w:i w:val="1"/>
          <w:iCs w:val="1"/>
          <w:color w:val="auto"/>
        </w:rPr>
        <w:t>Rights Issued in Respect of Common Stock Issued Upon Conversion</w:t>
      </w:r>
      <w:r>
        <w:rPr>
          <w:rFonts w:ascii="Arial" w:cs="Arial" w:eastAsia="Arial" w:hAnsi="Arial"/>
          <w:sz w:val="17"/>
          <w:szCs w:val="17"/>
          <w:color w:val="auto"/>
        </w:rPr>
        <w:t>. Each share of Common Stock issued upon conversion of Notes pursuant to this Article 10 shall be entitled to receive the appropriate number of rights (“</w:t>
      </w:r>
      <w:r>
        <w:rPr>
          <w:rFonts w:ascii="Arial" w:cs="Arial" w:eastAsia="Arial" w:hAnsi="Arial"/>
          <w:sz w:val="17"/>
          <w:szCs w:val="17"/>
          <w:b w:val="1"/>
          <w:bCs w:val="1"/>
          <w:color w:val="auto"/>
        </w:rPr>
        <w:t>Rights</w:t>
      </w:r>
      <w:r>
        <w:rPr>
          <w:rFonts w:ascii="Arial" w:cs="Arial" w:eastAsia="Arial" w:hAnsi="Arial"/>
          <w:sz w:val="17"/>
          <w:szCs w:val="17"/>
          <w:color w:val="auto"/>
        </w:rPr>
        <w:t>”), if any, and the certificates representing Common Stock issued upon such conversion shall bear such legends, if any, in each case as may be provided by the terms of any rights plan (i.e., a poison pill) adopted by the Company, as the same may be amended form time to time, is in effect, (in each case, a “</w:t>
      </w:r>
      <w:r>
        <w:rPr>
          <w:rFonts w:ascii="Arial" w:cs="Arial" w:eastAsia="Arial" w:hAnsi="Arial"/>
          <w:sz w:val="17"/>
          <w:szCs w:val="17"/>
          <w:b w:val="1"/>
          <w:bCs w:val="1"/>
          <w:color w:val="auto"/>
        </w:rPr>
        <w:t>Shareholders Rights Plan</w:t>
      </w:r>
      <w:r>
        <w:rPr>
          <w:rFonts w:ascii="Arial" w:cs="Arial" w:eastAsia="Arial" w:hAnsi="Arial"/>
          <w:sz w:val="17"/>
          <w:szCs w:val="17"/>
          <w:color w:val="auto"/>
        </w:rPr>
        <w:t>”).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10.08, subject to readjustment 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distribution of Rights that would entitle the Holder to an adjustment to the Conversion Rate.</w:t>
      </w:r>
    </w:p>
    <w:p>
      <w:pPr>
        <w:spacing w:after="0" w:line="18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10.24. </w:t>
      </w:r>
      <w:r>
        <w:rPr>
          <w:rFonts w:ascii="Arial" w:cs="Arial" w:eastAsia="Arial" w:hAnsi="Arial"/>
          <w:sz w:val="18"/>
          <w:szCs w:val="18"/>
          <w:i w:val="1"/>
          <w:iCs w:val="1"/>
          <w:color w:val="auto"/>
        </w:rPr>
        <w:t>Withholding Taxes for Adjustments in Conversion Rate</w:t>
      </w:r>
      <w:r>
        <w:rPr>
          <w:rFonts w:ascii="Arial" w:cs="Arial" w:eastAsia="Arial" w:hAnsi="Arial"/>
          <w:sz w:val="18"/>
          <w:szCs w:val="18"/>
          <w:color w:val="auto"/>
        </w:rPr>
        <w:t>. The Company may, at its option, set-off withholding taxes due with respect to Notes against payments of Cash and Common Stock on the Notes. In the case of any such set-off against Common Stock delivered upon conversion of the Notes, such Common Stock shall be valued based on the arithmetic average of the Volume Weighted Average Prices for each Trading Day in the relevant Cash Settlement Averaging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Right to Redeem; Notices to Trustee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9" w:lineRule="auto"/>
        <w:tabs>
          <w:tab w:leader="none" w:pos="19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Notes are not redeemable by the Company prior to June 6, 2011. On or after June 6, 2011, the Notes may be redeemed in whole or in part at the option of the Company if the Closing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w:t>
      </w:r>
    </w:p>
    <w:p>
      <w:pPr>
        <w:spacing w:after="0" w:line="182" w:lineRule="exact"/>
        <w:rPr>
          <w:rFonts w:ascii="Arial" w:cs="Arial" w:eastAsia="Arial" w:hAnsi="Arial"/>
          <w:sz w:val="18"/>
          <w:szCs w:val="18"/>
          <w:color w:val="auto"/>
        </w:rPr>
      </w:pPr>
    </w:p>
    <w:p>
      <w:pPr>
        <w:ind w:firstLine="1305"/>
        <w:spacing w:after="0" w:line="261" w:lineRule="auto"/>
        <w:tabs>
          <w:tab w:leader="none" w:pos="20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redemption price at which the Notes are redeemable (the “</w:t>
      </w:r>
      <w:r>
        <w:rPr>
          <w:rFonts w:ascii="Arial" w:cs="Arial" w:eastAsia="Arial" w:hAnsi="Arial"/>
          <w:sz w:val="18"/>
          <w:szCs w:val="18"/>
          <w:b w:val="1"/>
          <w:bCs w:val="1"/>
          <w:color w:val="auto"/>
        </w:rPr>
        <w:t>Redemption Price</w:t>
      </w:r>
      <w:r>
        <w:rPr>
          <w:rFonts w:ascii="Arial" w:cs="Arial" w:eastAsia="Arial" w:hAnsi="Arial"/>
          <w:sz w:val="18"/>
          <w:szCs w:val="18"/>
          <w:color w:val="auto"/>
        </w:rPr>
        <w:t xml:space="preserve">”) shall be payable in Cash and shall be equal to 100% of the principal of Notes to be redeemed, together with accrued and unpaid interest to, but excluding, the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Notes are redeemed on any Interest Payment Date, the interest payable in respect of such Interest Payment Date shall be payable to the Holders of record as of the corresponding Regular Record Date.</w:t>
      </w:r>
    </w:p>
    <w:p>
      <w:pPr>
        <w:sectPr>
          <w:pgSz w:w="11900" w:h="16838" w:orient="portrait"/>
          <w:cols w:equalWidth="0" w:num="1">
            <w:col w:w="11420"/>
          </w:cols>
          <w:pgMar w:left="240" w:top="125" w:right="239" w:bottom="528"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46" w:name="page47"/>
    <w:bookmarkEnd w:id="46"/>
    <w:p>
      <w:pPr>
        <w:ind w:right="80" w:firstLine="1305"/>
        <w:spacing w:after="0" w:line="312" w:lineRule="auto"/>
        <w:tabs>
          <w:tab w:leader="none" w:pos="199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may not redeem any Notes unless all accrued and unpaid Interest thereon has been or is simultaneously paid for all semi-annual periods or portions thereof terminating prior to the Redemption Date. In addition, the Company may not redeem any Notes or deliver to any Holder of Notes a notice of redemption pursuant to Section 11.03 at any time when there exists any accrued and unpaid Defaulted Interest.</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Selection of Notes to be Redeemed</w:t>
      </w:r>
      <w:r>
        <w:rPr>
          <w:rFonts w:ascii="Arial" w:cs="Arial" w:eastAsia="Arial" w:hAnsi="Arial"/>
          <w:sz w:val="16"/>
          <w:szCs w:val="16"/>
          <w:color w:val="auto"/>
        </w:rPr>
        <w:t>. If less than all the Notes are to be redeemed, the Trustee shall select the Notes to be redeemed pro rata or by lot or by any other method the Trustee considers fair and appropriate (so long as such method is not prohibited by the rules of The New York Stock Exchange or any other stock exchange on which the Notes are then listed, as applicable). The Trustee shall make the selection within 7 days from its receipt of the notice from the Company delivered pursuant to Section 11.03 from outstanding Notes not previously called for redemption.</w:t>
      </w:r>
    </w:p>
    <w:p>
      <w:pPr>
        <w:spacing w:after="0" w:line="15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Notice of Redemption</w:t>
      </w:r>
      <w:r>
        <w:rPr>
          <w:rFonts w:ascii="Arial" w:cs="Arial" w:eastAsia="Arial" w:hAnsi="Arial"/>
          <w:sz w:val="17"/>
          <w:szCs w:val="17"/>
          <w:color w:val="auto"/>
        </w:rPr>
        <w:t xml:space="preserve">. At least 30 days but not more than 60 days before a Redemption Date, the Company shall mail a notice of redemption by first-class mail, postage prepaid, to the Trustee, the Paying Agent and each Holder of Notes to be redeemed;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Company may not deliver any such notice to any Holder of Notes at any time when there exists any accrued and unpaid Defaulted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2760" w:hanging="483"/>
        <w:spacing w:after="0"/>
        <w:tabs>
          <w:tab w:leader="none" w:pos="2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760" w:hanging="483"/>
        <w:spacing w:after="0"/>
        <w:tabs>
          <w:tab w:leader="none" w:pos="2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780" w:hanging="503"/>
        <w:spacing w:after="0"/>
        <w:tabs>
          <w:tab w:leader="none" w:pos="2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2760" w:hanging="483"/>
        <w:spacing w:after="0"/>
        <w:tabs>
          <w:tab w:leader="none" w:pos="2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620" w:firstLine="2277"/>
        <w:spacing w:after="0" w:line="277" w:lineRule="auto"/>
        <w:tabs>
          <w:tab w:leader="none" w:pos="27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760" w:hanging="483"/>
        <w:spacing w:after="0"/>
        <w:tabs>
          <w:tab w:leader="none" w:pos="27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Effect of Notice of Redemption</w:t>
      </w:r>
      <w:r>
        <w:rPr>
          <w:rFonts w:ascii="Arial" w:cs="Arial" w:eastAsia="Arial" w:hAnsi="Arial"/>
          <w:sz w:val="18"/>
          <w:szCs w:val="18"/>
          <w:color w:val="auto"/>
        </w:rPr>
        <w:t>. Once notice of redemption is given, Notes called for redemption become due and payable on the 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Deposit of Redemption Price</w:t>
      </w:r>
      <w:r>
        <w:rPr>
          <w:rFonts w:ascii="Arial" w:cs="Arial" w:eastAsia="Arial" w:hAnsi="Arial"/>
          <w:sz w:val="16"/>
          <w:szCs w:val="16"/>
          <w:color w:val="auto"/>
        </w:rPr>
        <w:t>. Prior to 12:00 p.m. (New York City time) on or prior to the Redemption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Notes Redeemed in Part</w:t>
      </w:r>
      <w:r>
        <w:rPr>
          <w:rFonts w:ascii="Arial" w:cs="Arial" w:eastAsia="Arial" w:hAnsi="Arial"/>
          <w:sz w:val="16"/>
          <w:szCs w:val="16"/>
          <w:color w:val="auto"/>
        </w:rPr>
        <w:t>. Any Note which is to be redeemed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Interest Payments</w:t>
      </w:r>
      <w:r>
        <w:rPr>
          <w:rFonts w:ascii="Arial" w:cs="Arial" w:eastAsia="Arial" w:hAnsi="Arial"/>
          <w:sz w:val="18"/>
          <w:szCs w:val="18"/>
          <w:color w:val="auto"/>
        </w:rPr>
        <w:t>. Interest on any Note that is payable, and is punctually paid or duly provided for, on any applicable Interest Payment Date shall be paid to the Person in whose name that Note is registered at the Close of Business on the Regular Record Date for such interest at the office or agency of the Company maintained for such purpose. Each installment of interest</w:t>
      </w:r>
    </w:p>
    <w:p>
      <w:pPr>
        <w:sectPr>
          <w:pgSz w:w="11900" w:h="16838" w:orient="portrait"/>
          <w:cols w:equalWidth="0" w:num="1">
            <w:col w:w="11420"/>
          </w:cols>
          <w:pgMar w:left="240" w:top="125" w:right="239"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0" w:gutter="0" w:footer="0" w:header="0"/>
          <w:type w:val="continuous"/>
        </w:sectPr>
      </w:pPr>
    </w:p>
    <w:bookmarkStart w:id="47" w:name="page48"/>
    <w:bookmarkEnd w:id="47"/>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Defaulted Interest</w:t>
      </w:r>
      <w:r>
        <w:rPr>
          <w:rFonts w:ascii="Arial" w:cs="Arial" w:eastAsia="Arial" w:hAnsi="Arial"/>
          <w:sz w:val="18"/>
          <w:szCs w:val="18"/>
          <w:color w:val="auto"/>
        </w:rPr>
        <w:t>. Any interest on any Note that is payable, but is not punctually paid or duly provided for, within 30 days following any applicable payment date (herein called “</w:t>
      </w:r>
      <w:r>
        <w:rPr>
          <w:rFonts w:ascii="Arial" w:cs="Arial" w:eastAsia="Arial" w:hAnsi="Arial"/>
          <w:sz w:val="18"/>
          <w:szCs w:val="18"/>
          <w:b w:val="1"/>
          <w:bCs w:val="1"/>
          <w:color w:val="auto"/>
        </w:rPr>
        <w:t>Defaulted Interest</w:t>
      </w:r>
      <w:r>
        <w:rPr>
          <w:rFonts w:ascii="Arial" w:cs="Arial" w:eastAsia="Arial" w:hAnsi="Arial"/>
          <w:sz w:val="18"/>
          <w:szCs w:val="18"/>
          <w:color w:val="auto"/>
        </w:rPr>
        <w:t>”, which term shall include any accrued and unpaid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88" w:lineRule="exact"/>
        <w:rPr>
          <w:sz w:val="20"/>
          <w:szCs w:val="20"/>
          <w:color w:val="auto"/>
        </w:rPr>
      </w:pPr>
    </w:p>
    <w:p>
      <w:pPr>
        <w:ind w:firstLine="1305"/>
        <w:spacing w:after="0" w:line="286" w:lineRule="auto"/>
        <w:tabs>
          <w:tab w:leader="none" w:pos="199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after the receipt by the Trustee of the notice of the proposed payment (the “</w:t>
      </w:r>
      <w:r>
        <w:rPr>
          <w:rFonts w:ascii="Arial" w:cs="Arial" w:eastAsia="Arial" w:hAnsi="Arial"/>
          <w:sz w:val="16"/>
          <w:szCs w:val="16"/>
          <w:b w:val="1"/>
          <w:bCs w:val="1"/>
          <w:color w:val="auto"/>
        </w:rPr>
        <w:t>Special Record Date</w:t>
      </w:r>
      <w:r>
        <w:rPr>
          <w:rFonts w:ascii="Arial" w:cs="Arial" w:eastAsia="Arial" w:hAnsi="Arial"/>
          <w:sz w:val="16"/>
          <w:szCs w:val="16"/>
          <w:color w:val="auto"/>
        </w:rPr>
        <w: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Notes at his address as it appears on the list of Noteholders maintained pursuant to Section 2.05 not less than 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71" w:lineRule="exact"/>
        <w:rPr>
          <w:rFonts w:ascii="Arial" w:cs="Arial" w:eastAsia="Arial" w:hAnsi="Arial"/>
          <w:sz w:val="16"/>
          <w:szCs w:val="16"/>
          <w:color w:val="auto"/>
        </w:rPr>
      </w:pPr>
    </w:p>
    <w:p>
      <w:pPr>
        <w:ind w:right="60" w:firstLine="1305"/>
        <w:spacing w:after="0" w:line="312" w:lineRule="auto"/>
        <w:tabs>
          <w:tab w:leader="none" w:pos="200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Interest Rights Preserved</w:t>
      </w:r>
      <w:r>
        <w:rPr>
          <w:rFonts w:ascii="Arial" w:cs="Arial" w:eastAsia="Arial" w:hAnsi="Arial"/>
          <w:sz w:val="18"/>
          <w:szCs w:val="18"/>
          <w:color w:val="auto"/>
        </w:rPr>
        <w:t>. Subject to the foregoing provisions of this Article 12 and Section 2.06, each Note delivered under this Indenture upon registration of transfer of or in exchange for or in lieu of any other Note shall carry the rights to interest accrued and unpaid, and to accrue, which were carried by such other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Noteholder Communications; Noteholder Actions</w:t>
      </w:r>
      <w:r>
        <w:rPr>
          <w:rFonts w:ascii="Arial" w:cs="Arial" w:eastAsia="Arial" w:hAnsi="Arial"/>
          <w:sz w:val="18"/>
          <w:szCs w:val="18"/>
          <w:color w:val="auto"/>
        </w:rPr>
        <w:t>. (a) The rights of Holders to communicate with other Holders with respect to this 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87" w:lineRule="exact"/>
        <w:rPr>
          <w:sz w:val="20"/>
          <w:szCs w:val="20"/>
          <w:color w:val="auto"/>
        </w:rPr>
      </w:pPr>
    </w:p>
    <w:p>
      <w:pPr>
        <w:ind w:right="40" w:firstLine="1305"/>
        <w:spacing w:after="0" w:line="312" w:lineRule="auto"/>
        <w:tabs>
          <w:tab w:leader="none" w:pos="199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Any request, demand, authorization, direction, notice, consent to amendment, supplement or waiver or other action provided by this Indenture to be given or taken by a Holder (an “</w:t>
      </w:r>
      <w:r>
        <w:rPr>
          <w:rFonts w:ascii="Arial" w:cs="Arial" w:eastAsia="Arial" w:hAnsi="Arial"/>
          <w:sz w:val="16"/>
          <w:szCs w:val="16"/>
          <w:b w:val="1"/>
          <w:bCs w:val="1"/>
          <w:color w:val="auto"/>
        </w:rPr>
        <w:t>act</w:t>
      </w:r>
      <w:r>
        <w:rPr>
          <w:rFonts w:ascii="Arial" w:cs="Arial" w:eastAsia="Arial" w:hAnsi="Arial"/>
          <w:sz w:val="16"/>
          <w:szCs w:val="16"/>
          <w:color w:val="auto"/>
        </w:rPr>
        <w:t>”) may be evidenced by an instrument signed by the Holder delivered to the Trustee. The fact and date of the execution of the instrument, or the authority of the person executing it, may be proved in any manner that the Trustee deems sufficient.</w:t>
      </w:r>
    </w:p>
    <w:p>
      <w:pPr>
        <w:spacing w:after="0" w:line="146" w:lineRule="exact"/>
        <w:rPr>
          <w:rFonts w:ascii="Arial" w:cs="Arial" w:eastAsia="Arial" w:hAnsi="Arial"/>
          <w:sz w:val="16"/>
          <w:szCs w:val="16"/>
          <w:color w:val="auto"/>
        </w:rPr>
      </w:pPr>
    </w:p>
    <w:p>
      <w:pPr>
        <w:ind w:left="3320" w:hanging="719"/>
        <w:spacing w:after="0"/>
        <w:tabs>
          <w:tab w:leader="none" w:pos="33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Trustee may make reasonable rules for action by or at a meeting of Holders, which will be binding on 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Holders.</w:t>
      </w:r>
    </w:p>
    <w:p>
      <w:pPr>
        <w:spacing w:after="0" w:line="211" w:lineRule="exact"/>
        <w:rPr>
          <w:sz w:val="20"/>
          <w:szCs w:val="20"/>
          <w:color w:val="auto"/>
        </w:rPr>
      </w:pPr>
    </w:p>
    <w:p>
      <w:pPr>
        <w:jc w:val="both"/>
        <w:ind w:right="200" w:firstLine="1305"/>
        <w:spacing w:after="0" w:line="312" w:lineRule="auto"/>
        <w:tabs>
          <w:tab w:leader="none" w:pos="199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46" w:lineRule="exact"/>
        <w:rPr>
          <w:rFonts w:ascii="Arial" w:cs="Arial" w:eastAsia="Arial" w:hAnsi="Arial"/>
          <w:sz w:val="16"/>
          <w:szCs w:val="16"/>
          <w:color w:val="auto"/>
        </w:rPr>
      </w:pPr>
    </w:p>
    <w:p>
      <w:pPr>
        <w:ind w:firstLine="1305"/>
        <w:spacing w:after="0" w:line="255" w:lineRule="auto"/>
        <w:tabs>
          <w:tab w:leader="none" w:pos="20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ectPr>
          <w:pgSz w:w="11900" w:h="16838" w:orient="portrait"/>
          <w:cols w:equalWidth="0" w:num="1">
            <w:col w:w="11400"/>
          </w:cols>
          <w:pgMar w:left="240" w:top="517" w:right="259" w:bottom="136"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17" w:right="259" w:bottom="136" w:gutter="0" w:footer="0" w:header="0"/>
          <w:type w:val="continuous"/>
        </w:sectPr>
      </w:pPr>
    </w:p>
    <w:bookmarkStart w:id="48" w:name="page49"/>
    <w:bookmarkEnd w:id="48"/>
    <w:p>
      <w:pPr>
        <w:ind w:left="660"/>
        <w:spacing w:after="0"/>
        <w:tabs>
          <w:tab w:leader="none" w:pos="204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 Any notice or communication to the Company will be deemed given if in writing (i) when delivered in person or</w:t>
      </w:r>
    </w:p>
    <w:p>
      <w:pPr>
        <w:spacing w:after="0" w:line="23" w:lineRule="exact"/>
        <w:rPr>
          <w:sz w:val="20"/>
          <w:szCs w:val="20"/>
          <w:color w:val="auto"/>
        </w:rPr>
      </w:pPr>
    </w:p>
    <w:p>
      <w:pPr>
        <w:ind w:right="480" w:firstLine="8"/>
        <w:spacing w:after="0" w:line="261" w:lineRule="auto"/>
        <w:tabs>
          <w:tab w:leader="none" w:pos="2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five days after mailing when mailed by first class mail, or (iii) when sent by facsimile transmission, with transmission confirmed. Any notice to the Trustee will be effective only upon receipt. In each case the notice or communication should be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Sixth and Marquette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MAC N9303-120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MN 55479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Trust Services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(612) 667-2344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(612) 667-9825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120" w:firstLine="1305"/>
        <w:spacing w:after="0" w:line="257" w:lineRule="auto"/>
        <w:tabs>
          <w:tab w:leader="none" w:pos="20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otherwise expressly provided with respect to published notices, any notice or communication to a Holder will be deemed given when mailed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mailed to the Trustee at the same time. Any defect in mailing a notice or communication to any particular Holder will not affect its sufficiency with respect to other 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1305"/>
        <w:spacing w:after="0" w:line="264" w:lineRule="auto"/>
        <w:tabs>
          <w:tab w:leader="none" w:pos="19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Communication by Holders with Other Holders</w:t>
      </w:r>
      <w:r>
        <w:rPr>
          <w:rFonts w:ascii="Arial" w:cs="Arial" w:eastAsia="Arial" w:hAnsi="Arial"/>
          <w:sz w:val="18"/>
          <w:szCs w:val="18"/>
          <w:color w:val="auto"/>
        </w:rPr>
        <w:t>. Noteholders may communicate pursuant to Section 312(b) of the Trust Indenture Act with other Noteholders with respect to their rights under this Indenture or the Notes. The Company, the Trustee, the Registrar, the Paying Agent, the Conversion Agent and anyone else shall have the protection of Section 312(c) of the Trust Indenture Act.</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360" w:firstLine="1953"/>
        <w:spacing w:after="0" w:line="277" w:lineRule="auto"/>
        <w:tabs>
          <w:tab w:leader="none" w:pos="2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Initial Notes or Additional Notes.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must include:</w:t>
      </w:r>
    </w:p>
    <w:p>
      <w:pPr>
        <w:spacing w:after="0" w:line="170" w:lineRule="exact"/>
        <w:rPr>
          <w:sz w:val="20"/>
          <w:szCs w:val="20"/>
          <w:color w:val="auto"/>
        </w:rPr>
      </w:pPr>
    </w:p>
    <w:p>
      <w:pPr>
        <w:ind w:left="2660" w:hanging="707"/>
        <w:spacing w:after="0"/>
        <w:tabs>
          <w:tab w:leader="none" w:pos="2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00" w:firstLine="1953"/>
        <w:spacing w:after="0" w:line="277" w:lineRule="auto"/>
        <w:tabs>
          <w:tab w:leader="none" w:pos="26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ectPr>
          <w:pgSz w:w="11900" w:h="16838" w:orient="portrait"/>
          <w:cols w:equalWidth="0" w:num="1">
            <w:col w:w="11400"/>
          </w:cols>
          <w:pgMar w:left="240" w:top="368" w:right="259" w:bottom="0" w:gutter="0" w:footer="0" w:header="0"/>
        </w:sectPr>
      </w:pPr>
    </w:p>
    <w:bookmarkStart w:id="49" w:name="page50"/>
    <w:bookmarkEnd w:id="49"/>
    <w:p>
      <w:pPr>
        <w:ind w:right="620" w:firstLine="1953"/>
        <w:spacing w:after="0" w:line="342" w:lineRule="auto"/>
        <w:tabs>
          <w:tab w:leader="none" w:pos="265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123" w:lineRule="exact"/>
        <w:rPr>
          <w:rFonts w:ascii="Arial" w:cs="Arial" w:eastAsia="Arial" w:hAnsi="Arial"/>
          <w:sz w:val="16"/>
          <w:szCs w:val="16"/>
          <w:color w:val="auto"/>
        </w:rPr>
      </w:pPr>
    </w:p>
    <w:p>
      <w:pPr>
        <w:ind w:right="80" w:firstLine="1953"/>
        <w:spacing w:after="0" w:line="308" w:lineRule="auto"/>
        <w:tabs>
          <w:tab w:leader="none" w:pos="265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pacing w:after="0" w:line="143"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Legal Holiday</w:t>
      </w:r>
      <w:r>
        <w:rPr>
          <w:rFonts w:ascii="Arial" w:cs="Arial" w:eastAsia="Arial" w:hAnsi="Arial"/>
          <w:sz w:val="18"/>
          <w:szCs w:val="18"/>
          <w:color w:val="auto"/>
        </w:rPr>
        <w:t>. A “</w:t>
      </w:r>
      <w:r>
        <w:rPr>
          <w:rFonts w:ascii="Arial" w:cs="Arial" w:eastAsia="Arial" w:hAnsi="Arial"/>
          <w:sz w:val="18"/>
          <w:szCs w:val="18"/>
          <w:b w:val="1"/>
          <w:bCs w:val="1"/>
          <w:color w:val="auto"/>
        </w:rPr>
        <w:t>Legal Holiday</w:t>
      </w:r>
      <w:r>
        <w:rPr>
          <w:rFonts w:ascii="Arial" w:cs="Arial" w:eastAsia="Arial" w:hAnsi="Arial"/>
          <w:sz w:val="18"/>
          <w:szCs w:val="18"/>
          <w:color w:val="auto"/>
        </w:rPr>
        <w:t>” is any day other than a Business Day. If any specified date (including a date for giving notice) is a Legal Holiday, the action shall be taken 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next succeeding day that is not a Legal Holiday, and, if the action to be taken on such date is a payment in respect of the Notes, interest shall accrue for the intervening period.</w:t>
      </w:r>
    </w:p>
    <w:p>
      <w:pPr>
        <w:spacing w:after="0" w:line="170"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i w:val="1"/>
          <w:iCs w:val="1"/>
          <w:color w:val="auto"/>
        </w:rPr>
        <w:t>Rules by Trustee, Paying Agent, Conversion Agent and Registrar</w:t>
      </w:r>
      <w:r>
        <w:rPr>
          <w:rFonts w:ascii="Arial" w:cs="Arial" w:eastAsia="Arial" w:hAnsi="Arial"/>
          <w:sz w:val="17"/>
          <w:szCs w:val="17"/>
          <w:color w:val="auto"/>
        </w:rPr>
        <w:t>. The Trustee may make reasonable rules for action by or a meeting of Noteholders. The Registrar, Conversion Agent and the Paying Agent may make reasonable rules for their functions.</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Governing Law</w:t>
      </w:r>
      <w:r>
        <w:rPr>
          <w:rFonts w:ascii="Arial" w:cs="Arial" w:eastAsia="Arial" w:hAnsi="Arial"/>
          <w:sz w:val="18"/>
          <w:szCs w:val="18"/>
          <w:color w:val="auto"/>
        </w:rPr>
        <w:t>. THIS INDENTURE AND EACH NOTE SHALL BE DEEMED TO BE A CONTRACT MADE UNDER THE LAWS OF NEW YORK, AND FOR ALL PURPOSES SHALL BE CONSTRUED IN ACCORDANCE WITH THE LAWS OF NEW YORK (WITHOUT REGARD TO THE CONFLICTS OF LAWS PROVISIONS THEREOF).</w:t>
      </w:r>
    </w:p>
    <w:p>
      <w:pPr>
        <w:spacing w:after="0" w:line="18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and no such indenture or loan or debt agreement may be used to interpret this Indenture.</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Notes will bind its successors. All agreements of the Trustee in this Indenture will bind its successor.</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i w:val="1"/>
          <w:iCs w:val="1"/>
          <w:color w:val="auto"/>
        </w:rPr>
        <w:t>Table of Contents and Headings</w:t>
      </w:r>
      <w:r>
        <w:rPr>
          <w:rFonts w:ascii="Arial" w:cs="Arial" w:eastAsia="Arial" w:hAnsi="Arial"/>
          <w:sz w:val="18"/>
          <w:szCs w:val="18"/>
          <w:color w:val="auto"/>
        </w:rPr>
        <w:t>. The Table of Contents, Cross-Reference Table and headings of the Articles and Sections of this 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i w:val="1"/>
          <w:iCs w:val="1"/>
          <w:color w:val="auto"/>
        </w:rPr>
        <w:t>No Liability of Directors, Officers, Employees, Incorporators, Members and Stockholders</w:t>
      </w:r>
      <w:r>
        <w:rPr>
          <w:rFonts w:ascii="Arial" w:cs="Arial" w:eastAsia="Arial" w:hAnsi="Arial"/>
          <w:sz w:val="18"/>
          <w:szCs w:val="18"/>
          <w:color w:val="auto"/>
        </w:rPr>
        <w:t>. No director, officer, employee, incorporator, member or stockholder of the Company, as such, will have any liability for any obligations of the Company under the Notes or this Indenture or for any claim based on, in respect of, or by reason of, such obligations. Each Holder of Notes by accepting a Note waives and releases all such liability. The waiver and release are part of the consideration for issuance of the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tbl>
      <w:tblPr>
        <w:tblLayout w:type="fixed"/>
        <w:tblInd w:w="604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4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 G. Stover, Jr.</w:t>
            </w: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340" w:type="dxa"/>
            <w:vAlign w:val="bottom"/>
          </w:tcPr>
          <w:p>
            <w:pPr>
              <w:ind w:left="3400"/>
              <w:spacing w:after="0" w:line="195" w:lineRule="exact"/>
              <w:rPr>
                <w:sz w:val="20"/>
                <w:szCs w:val="20"/>
                <w:color w:val="auto"/>
              </w:rPr>
            </w:pPr>
            <w:r>
              <w:rPr>
                <w:rFonts w:ascii="Arial" w:cs="Arial" w:eastAsia="Arial" w:hAnsi="Arial"/>
                <w:sz w:val="18"/>
                <w:szCs w:val="18"/>
                <w:color w:val="auto"/>
              </w:rPr>
              <w:t>W. G.</w:t>
            </w:r>
          </w:p>
        </w:tc>
      </w:tr>
      <w:tr>
        <w:trPr>
          <w:trHeight w:val="216"/>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40" w:type="dxa"/>
            <w:vAlign w:val="bottom"/>
          </w:tcPr>
          <w:p>
            <w:pPr>
              <w:ind w:left="3400"/>
              <w:spacing w:after="0"/>
              <w:rPr>
                <w:sz w:val="20"/>
                <w:szCs w:val="20"/>
                <w:color w:val="auto"/>
              </w:rPr>
            </w:pPr>
            <w:r>
              <w:rPr>
                <w:rFonts w:ascii="Arial" w:cs="Arial" w:eastAsia="Arial" w:hAnsi="Arial"/>
                <w:sz w:val="18"/>
                <w:szCs w:val="18"/>
                <w:color w:val="auto"/>
              </w:rPr>
              <w:t>Stover, Jr.</w:t>
            </w:r>
          </w:p>
        </w:tc>
      </w:tr>
      <w:tr>
        <w:trPr>
          <w:trHeight w:val="216"/>
        </w:trPr>
        <w:tc>
          <w:tcPr>
            <w:tcW w:w="3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340" w:type="dxa"/>
            <w:vAlign w:val="bottom"/>
          </w:tcPr>
          <w:p>
            <w:pPr>
              <w:ind w:left="3400"/>
              <w:spacing w:after="0"/>
              <w:rPr>
                <w:sz w:val="20"/>
                <w:szCs w:val="20"/>
                <w:color w:val="auto"/>
              </w:rPr>
            </w:pPr>
            <w:r>
              <w:rPr>
                <w:rFonts w:ascii="Arial" w:cs="Arial" w:eastAsia="Arial" w:hAnsi="Arial"/>
                <w:sz w:val="18"/>
                <w:szCs w:val="18"/>
                <w:color w:val="auto"/>
              </w:rPr>
              <w:t>Vice</w:t>
            </w:r>
          </w:p>
        </w:tc>
      </w:tr>
      <w:tr>
        <w:trPr>
          <w:trHeight w:val="216"/>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40" w:type="dxa"/>
            <w:vAlign w:val="bottom"/>
          </w:tcPr>
          <w:p>
            <w:pPr>
              <w:ind w:left="3400"/>
              <w:spacing w:after="0"/>
              <w:rPr>
                <w:sz w:val="20"/>
                <w:szCs w:val="20"/>
                <w:color w:val="auto"/>
              </w:rPr>
            </w:pPr>
            <w:r>
              <w:rPr>
                <w:rFonts w:ascii="Arial" w:cs="Arial" w:eastAsia="Arial" w:hAnsi="Arial"/>
                <w:sz w:val="18"/>
                <w:szCs w:val="18"/>
                <w:color w:val="auto"/>
                <w:w w:val="95"/>
              </w:rPr>
              <w:t>President of</w:t>
            </w:r>
          </w:p>
        </w:tc>
      </w:tr>
      <w:tr>
        <w:trPr>
          <w:trHeight w:val="216"/>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40" w:type="dxa"/>
            <w:vAlign w:val="bottom"/>
          </w:tcPr>
          <w:p>
            <w:pPr>
              <w:ind w:left="3400"/>
              <w:spacing w:after="0"/>
              <w:rPr>
                <w:sz w:val="20"/>
                <w:szCs w:val="20"/>
                <w:color w:val="auto"/>
              </w:rPr>
            </w:pPr>
            <w:r>
              <w:rPr>
                <w:rFonts w:ascii="Arial" w:cs="Arial" w:eastAsia="Arial" w:hAnsi="Arial"/>
                <w:sz w:val="18"/>
                <w:szCs w:val="18"/>
                <w:color w:val="auto"/>
                <w:w w:val="92"/>
              </w:rPr>
              <w:t>Finance and</w:t>
            </w:r>
          </w:p>
        </w:tc>
      </w:tr>
      <w:tr>
        <w:trPr>
          <w:trHeight w:val="216"/>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40" w:type="dxa"/>
            <w:vAlign w:val="bottom"/>
          </w:tcPr>
          <w:p>
            <w:pPr>
              <w:ind w:left="3400"/>
              <w:spacing w:after="0"/>
              <w:rPr>
                <w:sz w:val="20"/>
                <w:szCs w:val="20"/>
                <w:color w:val="auto"/>
              </w:rPr>
            </w:pPr>
            <w:r>
              <w:rPr>
                <w:rFonts w:ascii="Arial" w:cs="Arial" w:eastAsia="Arial" w:hAnsi="Arial"/>
                <w:sz w:val="18"/>
                <w:szCs w:val="18"/>
                <w:color w:val="auto"/>
              </w:rPr>
              <w:t>Chief</w:t>
            </w:r>
          </w:p>
        </w:tc>
      </w:tr>
      <w:tr>
        <w:trPr>
          <w:trHeight w:val="216"/>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40" w:type="dxa"/>
            <w:vAlign w:val="bottom"/>
          </w:tcPr>
          <w:p>
            <w:pPr>
              <w:ind w:left="3400"/>
              <w:spacing w:after="0"/>
              <w:rPr>
                <w:sz w:val="20"/>
                <w:szCs w:val="20"/>
                <w:color w:val="auto"/>
              </w:rPr>
            </w:pPr>
            <w:r>
              <w:rPr>
                <w:rFonts w:ascii="Arial" w:cs="Arial" w:eastAsia="Arial" w:hAnsi="Arial"/>
                <w:sz w:val="18"/>
                <w:szCs w:val="18"/>
                <w:color w:val="auto"/>
              </w:rPr>
              <w:t>Financial</w:t>
            </w:r>
          </w:p>
        </w:tc>
      </w:tr>
      <w:tr>
        <w:trPr>
          <w:trHeight w:val="230"/>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tcPr>
          <w:p>
            <w:pPr>
              <w:ind w:left="340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ASSOCIATION, as Trustee</w:t>
      </w:r>
    </w:p>
    <w:p>
      <w:pPr>
        <w:spacing w:after="0" w:line="211" w:lineRule="exact"/>
        <w:rPr>
          <w:sz w:val="20"/>
          <w:szCs w:val="20"/>
          <w:color w:val="auto"/>
        </w:rPr>
      </w:pPr>
    </w:p>
    <w:tbl>
      <w:tblPr>
        <w:tblLayout w:type="fixed"/>
        <w:tblInd w:w="604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4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Jane Y. Schweiger</w:t>
            </w: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320" w:type="dxa"/>
            <w:vAlign w:val="bottom"/>
          </w:tcPr>
          <w:p>
            <w:pPr>
              <w:ind w:left="3400"/>
              <w:spacing w:after="0" w:line="195" w:lineRule="exact"/>
              <w:rPr>
                <w:sz w:val="20"/>
                <w:szCs w:val="20"/>
                <w:color w:val="auto"/>
              </w:rPr>
            </w:pPr>
            <w:r>
              <w:rPr>
                <w:rFonts w:ascii="Arial" w:cs="Arial" w:eastAsia="Arial" w:hAnsi="Arial"/>
                <w:sz w:val="18"/>
                <w:szCs w:val="18"/>
                <w:color w:val="auto"/>
              </w:rPr>
              <w:t>Jane Y.</w:t>
            </w:r>
          </w:p>
        </w:tc>
      </w:tr>
      <w:tr>
        <w:trPr>
          <w:trHeight w:val="216"/>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20" w:type="dxa"/>
            <w:vAlign w:val="bottom"/>
          </w:tcPr>
          <w:p>
            <w:pPr>
              <w:ind w:left="3400"/>
              <w:spacing w:after="0"/>
              <w:rPr>
                <w:sz w:val="20"/>
                <w:szCs w:val="20"/>
                <w:color w:val="auto"/>
              </w:rPr>
            </w:pPr>
            <w:r>
              <w:rPr>
                <w:rFonts w:ascii="Arial" w:cs="Arial" w:eastAsia="Arial" w:hAnsi="Arial"/>
                <w:sz w:val="18"/>
                <w:szCs w:val="18"/>
                <w:color w:val="auto"/>
              </w:rPr>
              <w:t>Schweiger</w:t>
            </w:r>
          </w:p>
        </w:tc>
      </w:tr>
      <w:tr>
        <w:trPr>
          <w:trHeight w:val="216"/>
        </w:trPr>
        <w:tc>
          <w:tcPr>
            <w:tcW w:w="38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320" w:type="dxa"/>
            <w:vAlign w:val="bottom"/>
          </w:tcPr>
          <w:p>
            <w:pPr>
              <w:ind w:left="3400"/>
              <w:spacing w:after="0"/>
              <w:rPr>
                <w:sz w:val="20"/>
                <w:szCs w:val="20"/>
                <w:color w:val="auto"/>
              </w:rPr>
            </w:pPr>
            <w:r>
              <w:rPr>
                <w:rFonts w:ascii="Arial" w:cs="Arial" w:eastAsia="Arial" w:hAnsi="Arial"/>
                <w:sz w:val="18"/>
                <w:szCs w:val="18"/>
                <w:color w:val="auto"/>
              </w:rPr>
              <w:t>Vice</w:t>
            </w:r>
          </w:p>
        </w:tc>
      </w:tr>
      <w:tr>
        <w:trPr>
          <w:trHeight w:val="230"/>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20" w:type="dxa"/>
            <w:vAlign w:val="bottom"/>
          </w:tcPr>
          <w:p>
            <w:pPr>
              <w:ind w:left="340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125" w:right="239" w:bottom="144"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1.875% Convertible Senior Note due June 1,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 ]</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CUSIP 595112AH6</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ISIN US595112AH62</w:t>
      </w:r>
    </w:p>
    <w:p>
      <w:pPr>
        <w:spacing w:after="0" w:line="221"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under the Indenture hereinafter referred to), for value received, promises to pay to Cede &amp; Co. or its registered assigns, the principal sum [of ] [set forth on Schedule I hereto]</w:t>
      </w:r>
      <w:r>
        <w:rPr>
          <w:rFonts w:ascii="Arial" w:cs="Arial" w:eastAsia="Arial" w:hAnsi="Arial"/>
          <w:sz w:val="10"/>
          <w:szCs w:val="10"/>
          <w:color w:val="auto"/>
        </w:rPr>
        <w:t>*</w:t>
      </w:r>
      <w:r>
        <w:rPr>
          <w:rFonts w:ascii="Arial" w:cs="Arial" w:eastAsia="Arial" w:hAnsi="Arial"/>
          <w:sz w:val="16"/>
          <w:szCs w:val="16"/>
          <w:color w:val="auto"/>
        </w:rPr>
        <w:t xml:space="preserve"> on June 1, 2014.</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Interest Rate: 1.875%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June 1 and December 1, commencing December 1,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May 15 and November 15.</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3893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72" w:lineRule="exact"/>
        <w:rPr>
          <w:sz w:val="20"/>
          <w:szCs w:val="20"/>
          <w:color w:val="auto"/>
        </w:rPr>
      </w:pPr>
    </w:p>
    <w:p>
      <w:pPr>
        <w:ind w:left="5580" w:right="5240" w:hanging="4924"/>
        <w:spacing w:after="0" w:line="831" w:lineRule="auto"/>
        <w:tabs>
          <w:tab w:leader="none" w:pos="1351" w:val="left"/>
        </w:tabs>
        <w:numPr>
          <w:ilvl w:val="0"/>
          <w:numId w:val="116"/>
        </w:numPr>
        <w:rPr>
          <w:rFonts w:ascii="Arial" w:cs="Arial" w:eastAsia="Arial" w:hAnsi="Arial"/>
          <w:sz w:val="21"/>
          <w:szCs w:val="21"/>
          <w:color w:val="auto"/>
          <w:vertAlign w:val="superscript"/>
        </w:rPr>
      </w:pPr>
      <w:r>
        <w:rPr>
          <w:rFonts w:ascii="Arial" w:cs="Arial" w:eastAsia="Arial" w:hAnsi="Arial"/>
          <w:sz w:val="16"/>
          <w:szCs w:val="16"/>
          <w:color w:val="auto"/>
        </w:rPr>
        <w:t>This schedule should be included only if the Note is a Global Note.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May 23, 2007</w:t>
      </w:r>
      <w:r>
        <w:rPr>
          <w:sz w:val="20"/>
          <w:szCs w:val="20"/>
          <w:color w:val="auto"/>
        </w:rPr>
        <w:tab/>
      </w:r>
      <w:r>
        <w:rPr>
          <w:rFonts w:ascii="Arial" w:cs="Arial" w:eastAsia="Arial" w:hAnsi="Arial"/>
          <w:sz w:val="17"/>
          <w:szCs w:val="17"/>
          <w:color w:val="auto"/>
        </w:rPr>
        <w:t>MICRON TECHNOLOGY, INC.</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is one of the 1.875% Convertible Senior Notes due June 1, 2014 described in the Indenture referred to in this Note.</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ASSOCIATION, as Trustee</w:t>
      </w:r>
    </w:p>
    <w:p>
      <w:pPr>
        <w:spacing w:after="0" w:line="211"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1.875% Convertible Senior Note due June 1, 2014</w:t>
      </w:r>
    </w:p>
    <w:p>
      <w:pPr>
        <w:spacing w:after="0" w:line="225" w:lineRule="exact"/>
        <w:rPr>
          <w:sz w:val="20"/>
          <w:szCs w:val="20"/>
          <w:color w:val="auto"/>
        </w:rPr>
      </w:pPr>
    </w:p>
    <w:p>
      <w:pPr>
        <w:ind w:left="1380" w:hanging="724"/>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Company promises to pay the principal of this Note on June 1, 2014.</w:t>
      </w:r>
    </w:p>
    <w:p>
      <w:pPr>
        <w:spacing w:after="0" w:line="225" w:lineRule="exact"/>
        <w:rPr>
          <w:sz w:val="20"/>
          <w:szCs w:val="20"/>
          <w:color w:val="auto"/>
        </w:rPr>
      </w:pPr>
    </w:p>
    <w:p>
      <w:pPr>
        <w:ind w:right="40" w:firstLine="1477"/>
        <w:spacing w:after="0" w:line="277"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1.875% per annum.</w:t>
      </w:r>
    </w:p>
    <w:p>
      <w:pPr>
        <w:spacing w:after="0" w:line="170" w:lineRule="exact"/>
        <w:rPr>
          <w:sz w:val="20"/>
          <w:szCs w:val="20"/>
          <w:color w:val="auto"/>
        </w:rPr>
      </w:pPr>
    </w:p>
    <w:p>
      <w:pPr>
        <w:ind w:right="640" w:firstLine="1477"/>
        <w:spacing w:after="0" w:line="277" w:lineRule="auto"/>
        <w:rPr>
          <w:sz w:val="20"/>
          <w:szCs w:val="20"/>
          <w:color w:val="auto"/>
        </w:rPr>
      </w:pPr>
      <w:r>
        <w:rPr>
          <w:rFonts w:ascii="Arial" w:cs="Arial" w:eastAsia="Arial" w:hAnsi="Arial"/>
          <w:sz w:val="18"/>
          <w:szCs w:val="18"/>
          <w:color w:val="auto"/>
        </w:rPr>
        <w:t>Interest will be payable semiannually (to the holders of record of the Notes at the Close of Business on the June 1 or December 1 immediately preceding the interest payment date) on each interest payment date, commencing December 1, 2007.</w:t>
      </w:r>
    </w:p>
    <w:p>
      <w:pPr>
        <w:sectPr>
          <w:pgSz w:w="11900" w:h="16838" w:orient="portrait"/>
          <w:cols w:equalWidth="0" w:num="1">
            <w:col w:w="11420"/>
          </w:cols>
          <w:pgMar w:left="240" w:top="513" w:right="239" w:bottom="0" w:gutter="0" w:footer="0" w:header="0"/>
        </w:sectPr>
      </w:pPr>
    </w:p>
    <w:bookmarkStart w:id="51" w:name="page52"/>
    <w:bookmarkEnd w:id="51"/>
    <w:p>
      <w:pPr>
        <w:ind w:firstLine="1477"/>
        <w:spacing w:after="0" w:line="264" w:lineRule="auto"/>
        <w:rPr>
          <w:sz w:val="20"/>
          <w:szCs w:val="20"/>
          <w:color w:val="auto"/>
        </w:rPr>
      </w:pPr>
      <w:r>
        <w:rPr>
          <w:rFonts w:ascii="Arial" w:cs="Arial" w:eastAsia="Arial" w:hAnsi="Arial"/>
          <w:sz w:val="18"/>
          <w:szCs w:val="18"/>
          <w:color w:val="auto"/>
        </w:rPr>
        <w:t>Interest on this Note will accrue from the most recent date to which interest has been paid or provided for on this Note or the Note surrendered in exchange for this Note or, if no interest has been paid, from May 23, 2007, through the day before each Interest Payment Date. Interest will be computed in the basis of a 360-day year of twelve 30-day months.</w:t>
      </w:r>
    </w:p>
    <w:p>
      <w:pPr>
        <w:spacing w:after="0" w:line="181" w:lineRule="exact"/>
        <w:rPr>
          <w:sz w:val="20"/>
          <w:szCs w:val="20"/>
          <w:color w:val="auto"/>
        </w:rPr>
      </w:pPr>
    </w:p>
    <w:p>
      <w:pPr>
        <w:ind w:right="60" w:firstLine="1477"/>
        <w:spacing w:after="0" w:line="264" w:lineRule="auto"/>
        <w:rPr>
          <w:sz w:val="20"/>
          <w:szCs w:val="20"/>
          <w:color w:val="auto"/>
        </w:rPr>
      </w:pPr>
      <w:r>
        <w:rPr>
          <w:rFonts w:ascii="Arial" w:cs="Arial" w:eastAsia="Arial" w:hAnsi="Arial"/>
          <w:sz w:val="18"/>
          <w:szCs w:val="18"/>
          <w:color w:val="auto"/>
        </w:rPr>
        <w:t>The Company will pay interest on overdue principal, premium, if any, and, to the extent lawful, interest at a rate per annum that is 1% in excess of 1.875%. Defaulted Interest shall be paid to the Persons that are Holders on a Special Record Date, which will established as set forth in the Indenture referred to below.</w:t>
      </w:r>
    </w:p>
    <w:p>
      <w:pPr>
        <w:spacing w:after="0" w:line="181" w:lineRule="exact"/>
        <w:rPr>
          <w:sz w:val="20"/>
          <w:szCs w:val="20"/>
          <w:color w:val="auto"/>
        </w:rPr>
      </w:pPr>
    </w:p>
    <w:p>
      <w:pPr>
        <w:ind w:left="1380" w:hanging="724"/>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ind w:right="120" w:firstLine="1477"/>
        <w:spacing w:after="0" w:line="264" w:lineRule="auto"/>
        <w:rPr>
          <w:sz w:val="20"/>
          <w:szCs w:val="20"/>
          <w:color w:val="auto"/>
        </w:rPr>
      </w:pPr>
      <w:r>
        <w:rPr>
          <w:rFonts w:ascii="Arial" w:cs="Arial" w:eastAsia="Arial" w:hAnsi="Arial"/>
          <w:sz w:val="18"/>
          <w:szCs w:val="18"/>
          <w:color w:val="auto"/>
        </w:rPr>
        <w:t>Subject to the terms and conditions of the Indenture, the Company shall pay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181" w:lineRule="exact"/>
        <w:rPr>
          <w:sz w:val="20"/>
          <w:szCs w:val="20"/>
          <w:color w:val="auto"/>
        </w:rPr>
      </w:pPr>
    </w:p>
    <w:p>
      <w:pPr>
        <w:ind w:left="1380" w:hanging="724"/>
        <w:spacing w:after="0"/>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ind w:right="240" w:firstLine="1477"/>
        <w:spacing w:after="0" w:line="259" w:lineRule="auto"/>
        <w:rPr>
          <w:sz w:val="20"/>
          <w:szCs w:val="20"/>
          <w:color w:val="auto"/>
        </w:rPr>
      </w:pPr>
      <w:r>
        <w:rPr>
          <w:rFonts w:ascii="Arial" w:cs="Arial" w:eastAsia="Arial" w:hAnsi="Arial"/>
          <w:sz w:val="18"/>
          <w:szCs w:val="18"/>
          <w:color w:val="auto"/>
        </w:rPr>
        <w:t>Initially, the Trustee will act as Paying Agent, Conversion Agent and Registrar. The Company may appoint and change any Paying Agent, Conversion Agent, Registrar or co-registrar without notice, other than notice to the Trustee. The Company or any of its Subsidiaries or any of their Affiliates may act as Paying Agent, Conversion Agent, Registrar or co-registrar. The Company may maintain deposit accounts and conduct other banking transactions with the Trustee in the normal course of business.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80" w:hanging="724"/>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right="40" w:firstLine="1297"/>
        <w:spacing w:after="0" w:line="274" w:lineRule="auto"/>
        <w:rPr>
          <w:sz w:val="20"/>
          <w:szCs w:val="20"/>
          <w:color w:val="auto"/>
        </w:rPr>
      </w:pPr>
      <w:r>
        <w:rPr>
          <w:rFonts w:ascii="Arial" w:cs="Arial" w:eastAsia="Arial" w:hAnsi="Arial"/>
          <w:sz w:val="17"/>
          <w:szCs w:val="17"/>
          <w:color w:val="auto"/>
        </w:rPr>
        <w:t>This is one of the Notes issued under an Indenture dated as of May 23, 2007 (as amended from time to time,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Wells Fargo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78" w:lineRule="exact"/>
        <w:rPr>
          <w:sz w:val="20"/>
          <w:szCs w:val="20"/>
          <w:color w:val="auto"/>
        </w:rPr>
      </w:pPr>
    </w:p>
    <w:p>
      <w:pPr>
        <w:ind w:left="1380" w:hanging="724"/>
        <w:spacing w:after="0"/>
        <w:tabs>
          <w:tab w:leader="none" w:pos="138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 upon Change in Control</w:t>
      </w:r>
      <w:r>
        <w:rPr>
          <w:rFonts w:ascii="Arial" w:cs="Arial" w:eastAsia="Arial" w:hAnsi="Arial"/>
          <w:sz w:val="18"/>
          <w:szCs w:val="18"/>
          <w:color w:val="auto"/>
        </w:rPr>
        <w:t>.</w:t>
      </w:r>
    </w:p>
    <w:p>
      <w:pPr>
        <w:spacing w:after="0" w:line="225" w:lineRule="exact"/>
        <w:rPr>
          <w:sz w:val="20"/>
          <w:szCs w:val="20"/>
          <w:color w:val="auto"/>
        </w:rPr>
      </w:pPr>
    </w:p>
    <w:p>
      <w:pPr>
        <w:ind w:right="60" w:firstLine="1477"/>
        <w:spacing w:after="0" w:line="264" w:lineRule="auto"/>
        <w:rPr>
          <w:sz w:val="20"/>
          <w:szCs w:val="20"/>
          <w:color w:val="auto"/>
        </w:rPr>
      </w:pPr>
      <w:r>
        <w:rPr>
          <w:rFonts w:ascii="Arial" w:cs="Arial" w:eastAsia="Arial" w:hAnsi="Arial"/>
          <w:sz w:val="18"/>
          <w:szCs w:val="18"/>
          <w:color w:val="auto"/>
        </w:rPr>
        <w:t>Upon the occurrence of a Change in Control, a Holder has the right, at such Holder’s option, to require the Company to repurchase all of such Holder’s Notes or any portion thereof (in principal amounts of $1,000 or integral multiples thereof) on the Repurchase Date at a price equal to the Repurchase Price.</w:t>
      </w:r>
    </w:p>
    <w:p>
      <w:pPr>
        <w:spacing w:after="0" w:line="181" w:lineRule="exact"/>
        <w:rPr>
          <w:sz w:val="20"/>
          <w:szCs w:val="20"/>
          <w:color w:val="auto"/>
        </w:rPr>
      </w:pPr>
    </w:p>
    <w:p>
      <w:pPr>
        <w:ind w:left="1380" w:hanging="724"/>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right="20" w:firstLine="1477"/>
        <w:spacing w:after="0" w:line="297" w:lineRule="auto"/>
        <w:rPr>
          <w:sz w:val="20"/>
          <w:szCs w:val="20"/>
          <w:color w:val="auto"/>
        </w:rPr>
      </w:pPr>
      <w:r>
        <w:rPr>
          <w:rFonts w:ascii="Arial" w:cs="Arial" w:eastAsia="Arial" w:hAnsi="Arial"/>
          <w:sz w:val="16"/>
          <w:szCs w:val="16"/>
          <w:color w:val="auto"/>
        </w:rPr>
        <w:t>No sinking fund is provided for the Notes. The Notes are redeemable as a whole, or from time to time in part, at any time commencing on June 6, 2011 at the option of the Company if the Closing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for any such redemption is equal to 100%, expressed as a percentage of the Principal Amount of Notes to be redeemed, together with accrued and unpaid interest to, but excluding, the Redemption Date.</w:t>
      </w:r>
    </w:p>
    <w:p>
      <w:pPr>
        <w:spacing w:after="0" w:line="158" w:lineRule="exact"/>
        <w:rPr>
          <w:sz w:val="20"/>
          <w:szCs w:val="20"/>
          <w:color w:val="auto"/>
        </w:rPr>
      </w:pPr>
    </w:p>
    <w:p>
      <w:pPr>
        <w:ind w:left="1380" w:hanging="724"/>
        <w:spacing w:after="0"/>
        <w:tabs>
          <w:tab w:leader="none" w:pos="13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firstLine="1477"/>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or an integral multiple thereof, into Common Stock, Cash or a combination thereof, at the Company’s election, at a Conversion Rate specified in the Indenture, as adjusted from time to time as provided in the Indenture.</w:t>
      </w:r>
    </w:p>
    <w:p>
      <w:pPr>
        <w:spacing w:after="0" w:line="187" w:lineRule="exact"/>
        <w:rPr>
          <w:sz w:val="20"/>
          <w:szCs w:val="20"/>
          <w:color w:val="auto"/>
        </w:rPr>
      </w:pPr>
    </w:p>
    <w:p>
      <w:pPr>
        <w:ind w:left="1380" w:hanging="724"/>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1477"/>
        <w:spacing w:after="0" w:line="264" w:lineRule="auto"/>
        <w:rPr>
          <w:sz w:val="20"/>
          <w:szCs w:val="20"/>
          <w:color w:val="auto"/>
        </w:rPr>
      </w:pPr>
      <w:r>
        <w:rPr>
          <w:rFonts w:ascii="Arial" w:cs="Arial" w:eastAsia="Arial" w:hAnsi="Arial"/>
          <w:sz w:val="18"/>
          <w:szCs w:val="18"/>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may, declare the principal of and accrued interest on the Notes to be immediately due and payable. Upon a declaration of acceleration, such principal and interest will become immediately due and payable. If a Bankruptcy Default occurs, the principal of and accrued interest on the Notes then outstanding will become immediately due and payable automatically without any declaration or other act on the part of the Trustee or any Holder.</w:t>
      </w:r>
    </w:p>
    <w:p>
      <w:pPr>
        <w:spacing w:after="0" w:line="147" w:lineRule="exact"/>
        <w:rPr>
          <w:sz w:val="20"/>
          <w:szCs w:val="20"/>
          <w:color w:val="auto"/>
        </w:rPr>
      </w:pPr>
    </w:p>
    <w:p>
      <w:pPr>
        <w:ind w:left="1380" w:hanging="724"/>
        <w:spacing w:after="0"/>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right="60" w:firstLine="1477"/>
        <w:spacing w:after="0" w:line="342" w:lineRule="auto"/>
        <w:rPr>
          <w:sz w:val="20"/>
          <w:szCs w:val="20"/>
          <w:color w:val="auto"/>
        </w:rPr>
      </w:pPr>
      <w:r>
        <w:rPr>
          <w:rFonts w:ascii="Arial" w:cs="Arial" w:eastAsia="Arial" w:hAnsi="Arial"/>
          <w:sz w:val="16"/>
          <w:szCs w:val="16"/>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w:t>
      </w:r>
    </w:p>
    <w:p>
      <w:pPr>
        <w:sectPr>
          <w:pgSz w:w="11900" w:h="16838" w:orient="portrait"/>
          <w:cols w:equalWidth="0" w:num="1">
            <w:col w:w="11380"/>
          </w:cols>
          <w:pgMar w:left="240" w:top="125" w:right="279" w:bottom="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Trustee may amend or supplement the Indenture or this Note to, among other things, cure any ambiguity, omission, defect or inconsistency in the Indenture or this Note that does not adversely affect the rights of any Holder of the Notes.</w:t>
      </w:r>
    </w:p>
    <w:p>
      <w:pPr>
        <w:spacing w:after="0" w:line="170" w:lineRule="exact"/>
        <w:rPr>
          <w:sz w:val="20"/>
          <w:szCs w:val="20"/>
          <w:color w:val="auto"/>
        </w:rPr>
      </w:pPr>
    </w:p>
    <w:p>
      <w:pPr>
        <w:ind w:left="1380" w:hanging="724"/>
        <w:spacing w:after="0"/>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right="200" w:firstLine="1477"/>
        <w:spacing w:after="0" w:line="279" w:lineRule="auto"/>
        <w:rPr>
          <w:sz w:val="20"/>
          <w:szCs w:val="20"/>
          <w:color w:val="auto"/>
        </w:rPr>
      </w:pPr>
      <w:r>
        <w:rPr>
          <w:rFonts w:ascii="Arial" w:cs="Arial" w:eastAsia="Arial" w:hAnsi="Arial"/>
          <w:sz w:val="17"/>
          <w:szCs w:val="17"/>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1" w:lineRule="exact"/>
        <w:rPr>
          <w:sz w:val="20"/>
          <w:szCs w:val="20"/>
          <w:color w:val="auto"/>
        </w:rPr>
      </w:pPr>
    </w:p>
    <w:p>
      <w:pPr>
        <w:ind w:left="1360" w:hanging="704"/>
        <w:spacing w:after="0"/>
        <w:tabs>
          <w:tab w:leader="none" w:pos="13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pacing w:after="0" w:line="225" w:lineRule="exact"/>
        <w:rPr>
          <w:sz w:val="20"/>
          <w:szCs w:val="20"/>
          <w:color w:val="auto"/>
        </w:rPr>
      </w:pPr>
    </w:p>
    <w:p>
      <w:pPr>
        <w:ind w:left="1380" w:hanging="724"/>
        <w:spacing w:after="0"/>
        <w:tabs>
          <w:tab w:leader="none" w:pos="13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right="260" w:firstLine="1477"/>
        <w:spacing w:after="0" w:line="259" w:lineRule="auto"/>
        <w:rPr>
          <w:sz w:val="20"/>
          <w:szCs w:val="20"/>
          <w:color w:val="auto"/>
        </w:rPr>
      </w:pPr>
      <w:r>
        <w:rPr>
          <w:rFonts w:ascii="Arial" w:cs="Arial" w:eastAsia="Arial" w:hAnsi="Arial"/>
          <w:sz w:val="18"/>
          <w:szCs w:val="18"/>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this Note that remains unclaimed for two years after a right to such money, Common Stock or other consideration has matured.</w:t>
      </w:r>
    </w:p>
    <w:p>
      <w:pPr>
        <w:spacing w:after="0" w:line="187" w:lineRule="exact"/>
        <w:rPr>
          <w:sz w:val="20"/>
          <w:szCs w:val="20"/>
          <w:color w:val="auto"/>
        </w:rPr>
      </w:pPr>
    </w:p>
    <w:p>
      <w:pPr>
        <w:ind w:left="1380" w:hanging="724"/>
        <w:spacing w:after="0"/>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40" w:firstLine="147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80" w:hanging="724"/>
        <w:spacing w:after="0"/>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20" w:firstLine="147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1380" w:hanging="724"/>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right="260" w:firstLine="1477"/>
        <w:spacing w:after="0" w:line="277" w:lineRule="auto"/>
        <w:rPr>
          <w:sz w:val="20"/>
          <w:szCs w:val="20"/>
          <w:color w:val="auto"/>
        </w:rPr>
      </w:pPr>
      <w:r>
        <w:rPr>
          <w:rFonts w:ascii="Arial" w:cs="Arial" w:eastAsia="Arial" w:hAnsi="Arial"/>
          <w:sz w:val="18"/>
          <w:szCs w:val="18"/>
          <w:color w:val="auto"/>
        </w:rPr>
        <w:t>This Note shall not be valid until an authorized officer of the Trustee signs manually the Trustee’s Certificate of Authentication on the other side of this Note.</w:t>
      </w:r>
    </w:p>
    <w:p>
      <w:pPr>
        <w:spacing w:after="0" w:line="170" w:lineRule="exact"/>
        <w:rPr>
          <w:sz w:val="20"/>
          <w:szCs w:val="20"/>
          <w:color w:val="auto"/>
        </w:rPr>
      </w:pPr>
    </w:p>
    <w:p>
      <w:pPr>
        <w:ind w:left="1380" w:hanging="724"/>
        <w:spacing w:after="0"/>
        <w:tabs>
          <w:tab w:leader="none" w:pos="138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180" w:firstLine="1477"/>
        <w:spacing w:after="0" w:line="264" w:lineRule="auto"/>
        <w:rPr>
          <w:sz w:val="20"/>
          <w:szCs w:val="20"/>
          <w:color w:val="auto"/>
        </w:rPr>
      </w:pPr>
      <w:r>
        <w:rPr>
          <w:rFonts w:ascii="Arial" w:cs="Arial" w:eastAsia="Arial" w:hAnsi="Arial"/>
          <w:sz w:val="18"/>
          <w:szCs w:val="18"/>
          <w:color w:val="auto"/>
        </w:rPr>
        <w:t>THE INDENTURE AND THE NOTE SHALL BE DEEMED TO BE A CONTRACT MADE UNDER THE LAWS OF NEW YORK, AND FOR ALL PURPOSES SHALL BE CONSTRUED IN ACCORDANCE WITH THE LAWS OF NEW YORK (WITHOUT REGARD TO THE CONFLICTS OF LAWS PROVISIONS THEREOF).</w:t>
      </w:r>
    </w:p>
    <w:p>
      <w:pPr>
        <w:spacing w:after="0" w:line="181" w:lineRule="exact"/>
        <w:rPr>
          <w:sz w:val="20"/>
          <w:szCs w:val="20"/>
          <w:color w:val="auto"/>
        </w:rPr>
      </w:pPr>
    </w:p>
    <w:p>
      <w:pPr>
        <w:ind w:left="1380" w:hanging="724"/>
        <w:spacing w:after="0"/>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pacing w:after="0" w:line="225" w:lineRule="exact"/>
        <w:rPr>
          <w:sz w:val="20"/>
          <w:szCs w:val="20"/>
          <w:color w:val="auto"/>
        </w:rPr>
      </w:pPr>
    </w:p>
    <w:p>
      <w:pPr>
        <w:jc w:val="both"/>
        <w:ind w:right="100" w:firstLine="147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53" w:name="page54"/>
    <w:bookmarkEnd w:id="5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other side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Signature guaranteed by: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893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1" w:lineRule="exact"/>
        <w:rPr>
          <w:sz w:val="20"/>
          <w:szCs w:val="20"/>
          <w:color w:val="auto"/>
        </w:rPr>
      </w:pPr>
    </w:p>
    <w:p>
      <w:pPr>
        <w:ind w:firstLine="332"/>
        <w:spacing w:after="0" w:line="234" w:lineRule="auto"/>
        <w:tabs>
          <w:tab w:leader="none" w:pos="653"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and Marquette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N9303-120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 667-9825</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convert only part of this Note, state the principal amount to be converted (must be $1,000 principal amount or an integral multiple of $1,000</w:t>
      </w:r>
    </w:p>
    <w:p>
      <w:pPr>
        <w:spacing w:after="0" w:line="46"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the Cash paid to another person or the stock certificate, if any, made out in another person’s name, fill in the form below:</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other side of this Note)</w:t>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Signature guaranteed by: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893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27" w:lineRule="exact"/>
        <w:rPr>
          <w:sz w:val="20"/>
          <w:szCs w:val="20"/>
          <w:color w:val="auto"/>
        </w:rPr>
      </w:pPr>
    </w:p>
    <w:p>
      <w:pPr>
        <w:ind w:firstLine="332"/>
        <w:spacing w:after="0" w:line="267" w:lineRule="auto"/>
        <w:tabs>
          <w:tab w:leader="none" w:pos="653" w:val="left"/>
        </w:tabs>
        <w:numPr>
          <w:ilvl w:val="0"/>
          <w:numId w:val="135"/>
        </w:numPr>
        <w:rPr>
          <w:rFonts w:ascii="Arial" w:cs="Arial" w:eastAsia="Arial" w:hAnsi="Arial"/>
          <w:sz w:val="21"/>
          <w:szCs w:val="21"/>
          <w:color w:val="auto"/>
          <w:vertAlign w:val="superscript"/>
        </w:rPr>
      </w:pPr>
      <w:r>
        <w:rPr>
          <w:rFonts w:ascii="Arial" w:cs="Arial" w:eastAsia="Arial" w:hAnsi="Arial"/>
          <w:sz w:val="16"/>
          <w:szCs w:val="16"/>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w:t>
      </w:r>
    </w:p>
    <w:p>
      <w:pPr>
        <w:sectPr>
          <w:pgSz w:w="11900" w:h="16857" w:orient="portrait"/>
          <w:cols w:equalWidth="0" w:num="1">
            <w:col w:w="11220"/>
          </w:cols>
          <w:pgMar w:left="240" w:top="355" w:right="439" w:bottom="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Program (SEMP); or (iv) such other guaranty program acceptable to the Trustee.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Pr>
          <w:p>
            <w:pPr>
              <w:ind w:left="1920"/>
              <w:spacing w:after="0"/>
              <w:rPr>
                <w:sz w:val="20"/>
                <w:szCs w:val="20"/>
                <w:color w:val="auto"/>
              </w:rPr>
            </w:pPr>
            <w:r>
              <w:rPr>
                <w:rFonts w:ascii="Arial" w:cs="Arial" w:eastAsia="Arial" w:hAnsi="Arial"/>
                <w:sz w:val="18"/>
                <w:szCs w:val="18"/>
                <w:b w:val="1"/>
                <w:bCs w:val="1"/>
                <w:color w:val="auto"/>
                <w:w w:val="87"/>
              </w:rPr>
              <w:t>Schedule I</w:t>
            </w:r>
            <w:r>
              <w:rPr>
                <w:rFonts w:ascii="Arial" w:cs="Arial" w:eastAsia="Arial" w:hAnsi="Arial"/>
                <w:sz w:val="23"/>
                <w:szCs w:val="23"/>
                <w:b w:val="1"/>
                <w:bCs w:val="1"/>
                <w:color w:val="auto"/>
                <w:w w:val="87"/>
                <w:vertAlign w:val="superscript"/>
              </w:rPr>
              <w:t>*</w:t>
            </w:r>
          </w:p>
        </w:tc>
        <w:tc>
          <w:tcPr>
            <w:tcW w:w="0" w:type="dxa"/>
            <w:vAlign w:val="bottom"/>
          </w:tcPr>
          <w:p>
            <w:pPr>
              <w:spacing w:after="0"/>
              <w:rPr>
                <w:sz w:val="1"/>
                <w:szCs w:val="1"/>
                <w:color w:val="auto"/>
              </w:rPr>
            </w:pPr>
          </w:p>
        </w:tc>
      </w:tr>
      <w:tr>
        <w:trPr>
          <w:trHeight w:val="350"/>
        </w:trPr>
        <w:tc>
          <w:tcPr>
            <w:tcW w:w="460" w:type="dxa"/>
            <w:vAlign w:val="bottom"/>
          </w:tcPr>
          <w:p>
            <w:pPr>
              <w:spacing w:after="0"/>
              <w:rPr>
                <w:sz w:val="20"/>
                <w:szCs w:val="20"/>
                <w:color w:val="auto"/>
              </w:rPr>
            </w:pPr>
            <w:r>
              <w:rPr>
                <w:rFonts w:ascii="Arial" w:cs="Arial" w:eastAsia="Arial" w:hAnsi="Arial"/>
                <w:sz w:val="18"/>
                <w:szCs w:val="18"/>
                <w:color w:val="auto"/>
              </w:rPr>
              <w:t>No. [</w:t>
            </w:r>
          </w:p>
        </w:tc>
        <w:tc>
          <w:tcPr>
            <w:tcW w:w="13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400" w:type="dxa"/>
            <w:vAlign w:val="bottom"/>
            <w:gridSpan w:val="5"/>
          </w:tcPr>
          <w:p>
            <w:pPr>
              <w:ind w:left="200"/>
              <w:spacing w:after="0"/>
              <w:rPr>
                <w:sz w:val="20"/>
                <w:szCs w:val="20"/>
                <w:color w:val="auto"/>
              </w:rPr>
            </w:pPr>
            <w:r>
              <w:rPr>
                <w:rFonts w:ascii="Arial" w:cs="Arial" w:eastAsia="Arial" w:hAnsi="Arial"/>
                <w:sz w:val="18"/>
                <w:szCs w:val="18"/>
                <w:color w:val="auto"/>
                <w:w w:val="99"/>
              </w:rPr>
              <w:t>The initial principal amount of this Global Note is $1,300,000,000.</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3"/>
            <w:vMerge w:val="restart"/>
          </w:tcPr>
          <w:p>
            <w:pPr>
              <w:jc w:val="center"/>
              <w:ind w:right="800"/>
              <w:spacing w:after="0"/>
              <w:rPr>
                <w:sz w:val="20"/>
                <w:szCs w:val="20"/>
                <w:color w:val="auto"/>
              </w:rPr>
            </w:pPr>
            <w:r>
              <w:rPr>
                <w:rFonts w:ascii="Arial" w:cs="Arial" w:eastAsia="Arial" w:hAnsi="Arial"/>
                <w:sz w:val="14"/>
                <w:szCs w:val="14"/>
                <w:b w:val="1"/>
                <w:bCs w:val="1"/>
                <w:color w:val="auto"/>
                <w:w w:val="93"/>
              </w:rPr>
              <w:t>Principal Amount of this</w:t>
            </w:r>
          </w:p>
        </w:tc>
        <w:tc>
          <w:tcPr>
            <w:tcW w:w="27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5"/>
              </w:rPr>
              <w:t>Notation Explaining</w:t>
            </w:r>
          </w:p>
        </w:tc>
        <w:tc>
          <w:tcPr>
            <w:tcW w:w="2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Authorized Signature of</w:t>
            </w:r>
          </w:p>
        </w:tc>
        <w:tc>
          <w:tcPr>
            <w:tcW w:w="0" w:type="dxa"/>
            <w:vAlign w:val="bottom"/>
          </w:tcPr>
          <w:p>
            <w:pPr>
              <w:spacing w:after="0"/>
              <w:rPr>
                <w:sz w:val="1"/>
                <w:szCs w:val="1"/>
                <w:color w:val="auto"/>
              </w:rPr>
            </w:pPr>
          </w:p>
        </w:tc>
      </w:tr>
      <w:tr>
        <w:trPr>
          <w:trHeight w:val="135"/>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80" w:type="dxa"/>
            <w:vAlign w:val="bottom"/>
            <w:gridSpan w:val="3"/>
            <w:vMerge w:val="continue"/>
          </w:tcPr>
          <w:p>
            <w:pPr>
              <w:spacing w:after="0"/>
              <w:rPr>
                <w:sz w:val="11"/>
                <w:szCs w:val="11"/>
                <w:color w:val="auto"/>
              </w:rPr>
            </w:pPr>
          </w:p>
        </w:tc>
        <w:tc>
          <w:tcPr>
            <w:tcW w:w="278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93"/>
              </w:rPr>
              <w:t>Change in Principal</w:t>
            </w: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Global Note</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13893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23"/>
          <w:szCs w:val="23"/>
          <w:color w:val="auto"/>
          <w:vertAlign w:val="superscript"/>
        </w:rPr>
      </w:pPr>
      <w:r>
        <w:rPr>
          <w:rFonts w:ascii="Arial" w:cs="Arial" w:eastAsia="Arial" w:hAnsi="Arial"/>
          <w:sz w:val="18"/>
          <w:szCs w:val="18"/>
          <w:color w:val="auto"/>
        </w:rPr>
        <w:t>This schedule should be included only if the Note is a Global Note.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Opening Transaction</w:t>
      </w:r>
    </w:p>
    <w:p>
      <w:pPr>
        <w:sectPr>
          <w:pgSz w:w="11900" w:h="16838" w:orient="portrait"/>
          <w:cols w:equalWidth="0" w:num="1">
            <w:col w:w="11420"/>
          </w:cols>
          <w:pgMar w:left="240" w:top="121" w:right="239" w:bottom="906"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Bay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Boise, Idaho 83716-9632</w:t>
      </w:r>
    </w:p>
    <w:p>
      <w:pPr>
        <w:spacing w:after="0" w:line="200" w:lineRule="exact"/>
        <w:rPr>
          <w:sz w:val="20"/>
          <w:szCs w:val="20"/>
          <w:color w:val="auto"/>
        </w:rPr>
      </w:pPr>
    </w:p>
    <w:p>
      <w:pPr>
        <w:sectPr>
          <w:pgSz w:w="11900" w:h="16838" w:orient="portrait"/>
          <w:cols w:equalWidth="0" w:num="2">
            <w:col w:w="620" w:space="720"/>
            <w:col w:w="10080"/>
          </w:cols>
          <w:pgMar w:left="240" w:top="121" w:right="239" w:bottom="906"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033MSAAL4</w:t>
      </w:r>
    </w:p>
    <w:p>
      <w:pPr>
        <w:spacing w:after="0" w:line="207" w:lineRule="exact"/>
        <w:rPr>
          <w:sz w:val="20"/>
          <w:szCs w:val="20"/>
          <w:color w:val="auto"/>
        </w:rPr>
      </w:pPr>
    </w:p>
    <w:p>
      <w:pPr>
        <w:sectPr>
          <w:pgSz w:w="11900" w:h="16838" w:orient="portrait"/>
          <w:cols w:equalWidth="0" w:num="2">
            <w:col w:w="620" w:space="720"/>
            <w:col w:w="10080"/>
          </w:cols>
          <w:pgMar w:left="240" w:top="121" w:right="239" w:bottom="906"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International plc</w:t>
      </w:r>
    </w:p>
    <w:p>
      <w:pPr>
        <w:spacing w:after="0" w:line="207" w:lineRule="exact"/>
        <w:rPr>
          <w:sz w:val="20"/>
          <w:szCs w:val="20"/>
          <w:color w:val="auto"/>
        </w:rPr>
      </w:pPr>
    </w:p>
    <w:p>
      <w:pPr>
        <w:sectPr>
          <w:pgSz w:w="11900" w:h="16838" w:orient="portrait"/>
          <w:cols w:equalWidth="0" w:num="2">
            <w:col w:w="620" w:space="720"/>
            <w:col w:w="10080"/>
          </w:cols>
          <w:pgMar w:left="240" w:top="121" w:right="239" w:bottom="906"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Issuer Capped Share Call Option Transaction</w:t>
      </w:r>
    </w:p>
    <w:p>
      <w:pPr>
        <w:spacing w:after="0" w:line="207" w:lineRule="exact"/>
        <w:rPr>
          <w:sz w:val="20"/>
          <w:szCs w:val="20"/>
          <w:color w:val="auto"/>
        </w:rPr>
      </w:pPr>
    </w:p>
    <w:p>
      <w:pPr>
        <w:sectPr>
          <w:pgSz w:w="11900" w:h="16838" w:orient="portrait"/>
          <w:cols w:equalWidth="0" w:num="2">
            <w:col w:w="620" w:space="720"/>
            <w:col w:w="10080"/>
          </w:cols>
          <w:pgMar w:left="240" w:top="121" w:right="239" w:bottom="906"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 No: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CEODL6</w:t>
      </w:r>
    </w:p>
    <w:p>
      <w:pPr>
        <w:spacing w:after="0" w:line="200" w:lineRule="exact"/>
        <w:rPr>
          <w:sz w:val="20"/>
          <w:szCs w:val="20"/>
          <w:color w:val="auto"/>
        </w:rPr>
      </w:pPr>
    </w:p>
    <w:p>
      <w:pPr>
        <w:sectPr>
          <w:pgSz w:w="11900" w:h="16838" w:orient="portrait"/>
          <w:cols w:equalWidth="0" w:num="2">
            <w:col w:w="640" w:space="700"/>
            <w:col w:w="10080"/>
          </w:cols>
          <w:pgMar w:left="240" w:top="121" w:right="239" w:bottom="906"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May 17, 2007</w:t>
      </w:r>
    </w:p>
    <w:p>
      <w:pPr>
        <w:spacing w:after="0" w:line="200" w:lineRule="exact"/>
        <w:rPr>
          <w:sz w:val="20"/>
          <w:szCs w:val="20"/>
          <w:color w:val="auto"/>
        </w:rPr>
      </w:pPr>
    </w:p>
    <w:p>
      <w:pPr>
        <w:sectPr>
          <w:pgSz w:w="11900" w:h="16838" w:orient="portrait"/>
          <w:cols w:equalWidth="0" w:num="2">
            <w:col w:w="620" w:space="720"/>
            <w:col w:w="10080"/>
          </w:cols>
          <w:pgMar w:left="240" w:top="121" w:right="239" w:bottom="906"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20"/>
          </w:cols>
          <w:pgMar w:left="240" w:top="121" w:right="239" w:bottom="906"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purpose of this communication (this “</w:t>
      </w:r>
      <w:r>
        <w:rPr>
          <w:rFonts w:ascii="Arial" w:cs="Arial" w:eastAsia="Arial" w:hAnsi="Arial"/>
          <w:sz w:val="16"/>
          <w:szCs w:val="16"/>
          <w:u w:val="single" w:color="auto"/>
          <w:color w:val="auto"/>
        </w:rPr>
        <w:t>Confirmation</w:t>
      </w:r>
      <w:r>
        <w:rPr>
          <w:rFonts w:ascii="Arial" w:cs="Arial" w:eastAsia="Arial" w:hAnsi="Arial"/>
          <w:sz w:val="16"/>
          <w:szCs w:val="16"/>
          <w:color w:val="auto"/>
        </w:rPr>
        <w:t>”) is to set forth the terms and conditions of the above-referenced transaction entered into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Trade Date specified below (the “</w:t>
      </w:r>
      <w:r>
        <w:rPr>
          <w:rFonts w:ascii="Arial" w:cs="Arial" w:eastAsia="Arial" w:hAnsi="Arial"/>
          <w:sz w:val="18"/>
          <w:szCs w:val="18"/>
          <w:u w:val="single" w:color="auto"/>
          <w:color w:val="auto"/>
        </w:rPr>
        <w:t>Transaction</w:t>
      </w:r>
      <w:r>
        <w:rPr>
          <w:rFonts w:ascii="Arial" w:cs="Arial" w:eastAsia="Arial" w:hAnsi="Arial"/>
          <w:sz w:val="18"/>
          <w:szCs w:val="18"/>
          <w:color w:val="auto"/>
        </w:rPr>
        <w:t>”) between Morgan Stanley &amp; Co. International plc (“</w:t>
      </w:r>
      <w:r>
        <w:rPr>
          <w:rFonts w:ascii="Arial" w:cs="Arial" w:eastAsia="Arial" w:hAnsi="Arial"/>
          <w:sz w:val="18"/>
          <w:szCs w:val="18"/>
          <w:u w:val="single" w:color="auto"/>
          <w:color w:val="auto"/>
        </w:rPr>
        <w:t>Dealer</w:t>
      </w:r>
      <w:r>
        <w:rPr>
          <w:rFonts w:ascii="Arial" w:cs="Arial" w:eastAsia="Arial" w:hAnsi="Arial"/>
          <w:sz w:val="18"/>
          <w:szCs w:val="18"/>
          <w:color w:val="auto"/>
        </w:rPr>
        <w:t>”) and 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Counterparty</w:t>
      </w:r>
      <w:r>
        <w:rPr>
          <w:rFonts w:ascii="Arial" w:cs="Arial" w:eastAsia="Arial" w:hAnsi="Arial"/>
          <w:sz w:val="17"/>
          <w:szCs w:val="17"/>
          <w:color w:val="auto"/>
        </w:rPr>
        <w:t>”). Dealer is acting as principal and Morgan Stanley Bank (“</w:t>
      </w:r>
      <w:r>
        <w:rPr>
          <w:rFonts w:ascii="Arial" w:cs="Arial" w:eastAsia="Arial" w:hAnsi="Arial"/>
          <w:sz w:val="17"/>
          <w:szCs w:val="17"/>
          <w:u w:val="single" w:color="auto"/>
          <w:color w:val="auto"/>
        </w:rPr>
        <w:t>Agent</w:t>
      </w:r>
      <w:r>
        <w:rPr>
          <w:rFonts w:ascii="Arial" w:cs="Arial" w:eastAsia="Arial" w:hAnsi="Arial"/>
          <w:sz w:val="17"/>
          <w:szCs w:val="17"/>
          <w:color w:val="auto"/>
        </w:rPr>
        <w:t>”), its affiliate, is acting as agent for Dealer and Counterparty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under this Confirmation. This communication constitutes a “</w:t>
      </w:r>
      <w:r>
        <w:rPr>
          <w:rFonts w:ascii="Arial" w:cs="Arial" w:eastAsia="Arial" w:hAnsi="Arial"/>
          <w:sz w:val="16"/>
          <w:szCs w:val="16"/>
          <w:u w:val="single" w:color="auto"/>
          <w:color w:val="auto"/>
        </w:rPr>
        <w:t>Confirmation</w:t>
      </w:r>
      <w:r>
        <w:rPr>
          <w:rFonts w:ascii="Arial" w:cs="Arial" w:eastAsia="Arial" w:hAnsi="Arial"/>
          <w:sz w:val="16"/>
          <w:szCs w:val="16"/>
          <w:color w:val="auto"/>
        </w:rPr>
        <w:t>” as referred to in the ISDA Master Agreement specified below.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Confirmation is a confirmation for purposes of Rule 10b-10 promulgated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 is not a member of the Securities Investor Protection Corporation.</w:t>
      </w:r>
    </w:p>
    <w:p>
      <w:pPr>
        <w:spacing w:after="0" w:line="211" w:lineRule="exact"/>
        <w:rPr>
          <w:sz w:val="20"/>
          <w:szCs w:val="20"/>
          <w:color w:val="auto"/>
        </w:rPr>
      </w:pPr>
    </w:p>
    <w:p>
      <w:pPr>
        <w:ind w:right="100" w:firstLine="656"/>
        <w:spacing w:after="0" w:line="259" w:lineRule="auto"/>
        <w:tabs>
          <w:tab w:leader="none" w:pos="97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2000 ISDA Definitions (including the Annex thereto) (the “</w:t>
      </w:r>
      <w:r>
        <w:rPr>
          <w:rFonts w:ascii="Arial" w:cs="Arial" w:eastAsia="Arial" w:hAnsi="Arial"/>
          <w:sz w:val="18"/>
          <w:szCs w:val="18"/>
          <w:u w:val="single" w:color="auto"/>
          <w:color w:val="auto"/>
        </w:rPr>
        <w:t>2000 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u w:val="single" w:color="auto"/>
          <w:color w:val="auto"/>
        </w:rPr>
        <w:t>Equity Definitions</w:t>
      </w:r>
      <w:r>
        <w:rPr>
          <w:rFonts w:ascii="Arial" w:cs="Arial" w:eastAsia="Arial" w:hAnsi="Arial"/>
          <w:sz w:val="18"/>
          <w:szCs w:val="18"/>
          <w:color w:val="auto"/>
        </w:rPr>
        <w:t>”, and together with the 2000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u w:val="single" w:color="auto"/>
          <w:color w:val="auto"/>
        </w:rPr>
        <w:t>ISDA</w:t>
      </w:r>
      <w:r>
        <w:rPr>
          <w:rFonts w:ascii="Arial" w:cs="Arial" w:eastAsia="Arial" w:hAnsi="Arial"/>
          <w:sz w:val="18"/>
          <w:szCs w:val="18"/>
          <w:color w:val="auto"/>
        </w:rPr>
        <w:t>”). In the event of any inconsistency between the 2000 Definitions and the Equity Definitions, the Equity Definitions will govern.</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in the form of the 2002 ISDA Master Agreement (Multicurrency</w:t>
      </w:r>
    </w:p>
    <w:p>
      <w:pPr>
        <w:ind w:right="400"/>
        <w:spacing w:after="0" w:line="277" w:lineRule="auto"/>
        <w:rPr>
          <w:sz w:val="20"/>
          <w:szCs w:val="20"/>
          <w:color w:val="auto"/>
        </w:rPr>
      </w:pPr>
      <w:r>
        <w:rPr>
          <w:rFonts w:ascii="Arial" w:cs="Arial" w:eastAsia="Arial" w:hAnsi="Arial"/>
          <w:sz w:val="17"/>
          <w:szCs w:val="17"/>
          <w:color w:val="auto"/>
        </w:rPr>
        <w:t>— Cross Border) as if Dealer and Counterparty had executed an agreement in such form on the date hereof (but without any Schedule except for (i) New York law (without regard to the conflicts of law principles) as the governing law and (ii) US Dollars (“</w:t>
      </w:r>
      <w:r>
        <w:rPr>
          <w:rFonts w:ascii="Arial" w:cs="Arial" w:eastAsia="Arial" w:hAnsi="Arial"/>
          <w:sz w:val="17"/>
          <w:szCs w:val="17"/>
          <w:u w:val="single" w:color="auto"/>
          <w:color w:val="auto"/>
        </w:rPr>
        <w:t>USD</w:t>
      </w:r>
      <w:r>
        <w:rPr>
          <w:rFonts w:ascii="Arial" w:cs="Arial" w:eastAsia="Arial" w:hAnsi="Arial"/>
          <w:sz w:val="17"/>
          <w:szCs w:val="17"/>
          <w:color w:val="auto"/>
        </w:rPr>
        <w:t>”) as the Termination Currency. The parties hereby agree that no Transactions other than the Transaction to which this Confirmation relates shall be governed by the Agreement.</w:t>
      </w:r>
    </w:p>
    <w:p>
      <w:pPr>
        <w:spacing w:after="0" w:line="17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All provisions contained in, or incorporated by reference to, the Agreement will govern this Confirmation except as expressly modified herein. In the event of any inconsistency between this Confirmation and the Definitions or the Agreement, as the case may be, this Confirmation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56"/>
        <w:spacing w:after="0" w:line="277" w:lineRule="auto"/>
        <w:tabs>
          <w:tab w:leader="none" w:pos="97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1" w:right="239" w:bottom="906" w:gutter="0" w:footer="0" w:header="0"/>
          <w:type w:val="continuous"/>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May 17, 2007</w:t>
      </w:r>
    </w:p>
    <w:p>
      <w:pPr>
        <w:spacing w:after="0" w:line="200" w:lineRule="exact"/>
        <w:rPr>
          <w:sz w:val="20"/>
          <w:szCs w:val="20"/>
          <w:color w:val="auto"/>
        </w:rPr>
      </w:pPr>
    </w:p>
    <w:p>
      <w:pPr>
        <w:sectPr>
          <w:pgSz w:w="11900" w:h="16838" w:orient="portrait"/>
          <w:cols w:equalWidth="0" w:num="2">
            <w:col w:w="4240" w:space="720"/>
            <w:col w:w="6460"/>
          </w:cols>
          <w:pgMar w:left="240" w:top="121" w:right="239" w:bottom="906"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173" w:lineRule="exact"/>
        <w:rPr>
          <w:sz w:val="20"/>
          <w:szCs w:val="20"/>
          <w:color w:val="auto"/>
        </w:rPr>
      </w:pPr>
    </w:p>
    <w:p>
      <w:pPr>
        <w:sectPr>
          <w:pgSz w:w="11900" w:h="16838" w:orient="portrait"/>
          <w:cols w:equalWidth="0" w:num="2">
            <w:col w:w="4240" w:space="720"/>
            <w:col w:w="6460"/>
          </w:cols>
          <w:pgMar w:left="240" w:top="121" w:right="239" w:bottom="906" w:gutter="0" w:footer="0" w:header="0"/>
          <w:type w:val="continuous"/>
        </w:sectPr>
      </w:pPr>
    </w:p>
    <w:p>
      <w:pPr>
        <w:ind w:left="660"/>
        <w:spacing w:after="0"/>
        <w:rPr>
          <w:sz w:val="20"/>
          <w:szCs w:val="20"/>
          <w:color w:val="auto"/>
        </w:rPr>
      </w:pPr>
      <w:r>
        <w:rPr>
          <w:rFonts w:ascii="Arial" w:cs="Arial" w:eastAsia="Arial" w:hAnsi="Arial"/>
          <w:sz w:val="16"/>
          <w:szCs w:val="16"/>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European</w:t>
      </w:r>
    </w:p>
    <w:p>
      <w:pPr>
        <w:spacing w:after="0" w:line="200" w:lineRule="exact"/>
        <w:rPr>
          <w:sz w:val="20"/>
          <w:szCs w:val="20"/>
          <w:color w:val="auto"/>
        </w:rPr>
      </w:pPr>
    </w:p>
    <w:p>
      <w:pPr>
        <w:sectPr>
          <w:pgSz w:w="11900" w:h="16838" w:orient="portrait"/>
          <w:cols w:equalWidth="0" w:num="2">
            <w:col w:w="4240" w:space="720"/>
            <w:col w:w="6460"/>
          </w:cols>
          <w:pgMar w:left="240" w:top="121" w:right="239" w:bottom="906"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 Type: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Call</w:t>
      </w:r>
    </w:p>
    <w:p>
      <w:pPr>
        <w:spacing w:after="0" w:line="200" w:lineRule="exact"/>
        <w:rPr>
          <w:sz w:val="20"/>
          <w:szCs w:val="20"/>
          <w:color w:val="auto"/>
        </w:rPr>
      </w:pPr>
    </w:p>
    <w:p>
      <w:pPr>
        <w:sectPr>
          <w:pgSz w:w="11900" w:h="16838" w:orient="portrait"/>
          <w:cols w:equalWidth="0" w:num="2">
            <w:col w:w="4240" w:space="720"/>
            <w:col w:w="6460"/>
          </w:cols>
          <w:pgMar w:left="240" w:top="121" w:right="239" w:bottom="906"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4240" w:space="720"/>
            <w:col w:w="6460"/>
          </w:cols>
          <w:pgMar w:left="240" w:top="121" w:right="239" w:bottom="906"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38" w:orient="portrait"/>
          <w:cols w:equalWidth="0" w:num="2">
            <w:col w:w="4240" w:space="720"/>
            <w:col w:w="6460"/>
          </w:cols>
          <w:pgMar w:left="240" w:top="121" w:right="239" w:bottom="906"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$0.10 per Share) of Counterparty (Ticker: “MU”)</w:t>
      </w:r>
    </w:p>
    <w:p>
      <w:pPr>
        <w:sectPr>
          <w:pgSz w:w="11900" w:h="16838" w:orient="portrait"/>
          <w:cols w:equalWidth="0" w:num="2">
            <w:col w:w="4240" w:space="720"/>
            <w:col w:w="6460"/>
          </w:cols>
          <w:pgMar w:left="240" w:top="121" w:right="239" w:bottom="906"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410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9"/>
              </w:rPr>
              <w:t xml:space="preserve">For each Component, as provided in Annex A to this Confirmation;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4"/>
              </w:rPr>
              <w:t>Morgan Stanley &amp; Co. Incorporated (“MS&amp;Co.”), as representative of the Underwriters</w:t>
            </w:r>
          </w:p>
        </w:tc>
      </w:tr>
      <w:tr>
        <w:trPr>
          <w:trHeight w:val="20"/>
        </w:trPr>
        <w:tc>
          <w:tcPr>
            <w:tcW w:w="4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4"/>
              </w:rPr>
              <w:t>named in the Underwriting Agreement dated May 17, 2007 between Counterparty and</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6"/>
              </w:rPr>
              <w:t>MS&amp;Co. (the “Underwriting Agreement”), exercises the option to purchase additional</w:t>
            </w:r>
          </w:p>
        </w:tc>
      </w:tr>
      <w:tr>
        <w:trPr>
          <w:trHeight w:val="20"/>
        </w:trPr>
        <w:tc>
          <w:tcPr>
            <w:tcW w:w="4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7360" w:type="dxa"/>
            <w:vAlign w:val="bottom"/>
            <w:gridSpan w:val="9"/>
          </w:tcPr>
          <w:p>
            <w:pPr>
              <w:ind w:left="860"/>
              <w:spacing w:after="0" w:line="196" w:lineRule="exact"/>
              <w:rPr>
                <w:sz w:val="20"/>
                <w:szCs w:val="20"/>
                <w:color w:val="auto"/>
              </w:rPr>
            </w:pPr>
            <w:r>
              <w:rPr>
                <w:rFonts w:ascii="Arial" w:cs="Arial" w:eastAsia="Arial" w:hAnsi="Arial"/>
                <w:sz w:val="18"/>
                <w:szCs w:val="18"/>
                <w:color w:val="auto"/>
                <w:w w:val="97"/>
              </w:rPr>
              <w:t>1.875% Convertible Senior Notes due June 1, 2014 (“Additional Convertible Notes”)</w:t>
            </w:r>
          </w:p>
        </w:tc>
      </w:tr>
      <w:tr>
        <w:trPr>
          <w:trHeight w:val="20"/>
        </w:trPr>
        <w:tc>
          <w:tcPr>
            <w:tcW w:w="41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5"/>
              </w:rPr>
              <w:t>pursuant to Section 2 of the Underwriting Agreement, the Number of Options for each</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2"/>
              </w:rPr>
              <w:t>Component shall be automatically increased, effective upon payment by Counterparty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9"/>
              </w:rPr>
              <w:t>the Additional Premium on the Additional Premium Payment Date, by a number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5"/>
              </w:rPr>
              <w:t>Options equal to the product of (x) the Number of Options for such Component as set</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6"/>
              </w:rPr>
              <w:t>forth in Annex A to this Confirmation and (y) a fraction, the numerator of which is the</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number of Additional Convertible Notes in denominations of USD1,000 principal</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2"/>
              </w:rPr>
              <w:t>amount issued pursuant to such exercise and the denominator of which is the number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3"/>
              </w:rPr>
              <w:t>Convertible Notes in denominations of USD1,000 principal amount issued prior to such</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8"/>
              </w:rPr>
              <w:t>exercise, subject to rounding as deemed appropriate by the Calculation Agent, and</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7"/>
              </w:rPr>
              <w:t>Calculation Agent will promptly provide Counterparty and Dealer a schedule setting</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forth the increased Number of Options for all Components.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One Share per Option</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USD 14.2312.</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Cap Price: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USD 17.2500.</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Premium:</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3"/>
              </w:rPr>
              <w:t>The premium for each Component shall be as provided in Annex A to this Confirmation;</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Number of Options is increased pursuant to the proviso to the</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definition of “Number of</w:t>
            </w:r>
          </w:p>
        </w:tc>
      </w:tr>
      <w:tr>
        <w:trPr>
          <w:trHeight w:val="702"/>
        </w:trPr>
        <w:tc>
          <w:tcPr>
            <w:tcW w:w="4100" w:type="dxa"/>
            <w:vAlign w:val="bottom"/>
          </w:tcPr>
          <w:p>
            <w:pPr>
              <w:spacing w:after="0"/>
              <w:rPr>
                <w:sz w:val="24"/>
                <w:szCs w:val="24"/>
                <w:color w:val="auto"/>
              </w:rPr>
            </w:pPr>
          </w:p>
        </w:tc>
        <w:tc>
          <w:tcPr>
            <w:tcW w:w="1960" w:type="dxa"/>
            <w:vAlign w:val="bottom"/>
          </w:tcPr>
          <w:p>
            <w:pPr>
              <w:ind w:left="156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5"/>
        </w:trPr>
        <w:tc>
          <w:tcPr>
            <w:tcW w:w="410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r>
        <w:trPr>
          <w:trHeight w:val="563"/>
        </w:trPr>
        <w:tc>
          <w:tcPr>
            <w:tcW w:w="4100" w:type="dxa"/>
            <w:vAlign w:val="bottom"/>
          </w:tcPr>
          <w:p>
            <w:pPr>
              <w:spacing w:after="0"/>
              <w:rPr>
                <w:sz w:val="24"/>
                <w:szCs w:val="24"/>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6"/>
              </w:rPr>
              <w:t>Options” above, Counterparty shall pay on the Additional Premium Payment Date an</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80"/>
              <w:spacing w:after="0" w:line="190" w:lineRule="exact"/>
              <w:rPr>
                <w:sz w:val="20"/>
                <w:szCs w:val="20"/>
                <w:color w:val="auto"/>
              </w:rPr>
            </w:pPr>
            <w:r>
              <w:rPr>
                <w:rFonts w:ascii="Arial" w:cs="Arial" w:eastAsia="Arial" w:hAnsi="Arial"/>
                <w:sz w:val="18"/>
                <w:szCs w:val="18"/>
                <w:color w:val="auto"/>
                <w:w w:val="96"/>
              </w:rPr>
              <w:t>additional Premium (the “Additional Premium”) equal to the product of the number of</w:t>
            </w:r>
          </w:p>
        </w:tc>
      </w:tr>
      <w:tr>
        <w:trPr>
          <w:trHeight w:val="20"/>
        </w:trPr>
        <w:tc>
          <w:tcPr>
            <w:tcW w:w="41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0"/>
              </w:rPr>
              <w:t>Options by which the aggregate Number of Options for such Components is so increased</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9"/>
              </w:rPr>
              <w:t>and USD 1.0573818. Dealer and Counterparty hereby agree that, notwithstanding</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anything to the contrary herein or in the Agreement, following the payment of the</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Premium (including the Additional Premium, if any), in the event that (a) an Early</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6"/>
              </w:rPr>
              <w:t>Termination Date (whether as a result of an Event of Default or a Termination Event)</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4"/>
              </w:rPr>
              <w:t>occurs or is designated with respect to any Transaction and, as a result, Counterparty</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0"/>
              </w:rPr>
              <w:t>owes to Dealer the amount calculated under Section 6(e) of the Agreement (calculated as</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9"/>
              </w:rPr>
              <w:t>if the Transactions were terminated on such Early Termination Date were the sole</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7"/>
              </w:rPr>
              <w:t>Transactions under the Agreement) or (b) Counterparty owes to Dealer, pursuant to</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8"/>
              </w:rPr>
              <w:t>Section 12.7 or Section 12.9 or the Equity Definitions, an amount calculated under</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Section 12.8 of the Equity Definitions, such amount shall be deemed to be zero.</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Premium Payment Date:</w:t>
            </w: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The Effective Date</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May 23, 2007 or such other date as agreed by the parties.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Additional Premium Payment Date:</w:t>
            </w: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The closing date for the purchase and sale of the Additional Convertible Notes.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Exchange:</w:t>
            </w: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New York Stock Exchange</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Related Exchange:</w:t>
            </w: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w w:val="97"/>
              </w:rPr>
              <w:t>All Exchanges located in the United States on which the equity securities or equity-</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linked securities of Counterparty are traded.</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Expiration Time:</w:t>
            </w:r>
          </w:p>
        </w:tc>
        <w:tc>
          <w:tcPr>
            <w:tcW w:w="7360" w:type="dxa"/>
            <w:vAlign w:val="bottom"/>
            <w:gridSpan w:val="9"/>
          </w:tcPr>
          <w:p>
            <w:pPr>
              <w:ind w:left="880"/>
              <w:spacing w:after="0"/>
              <w:rPr>
                <w:sz w:val="20"/>
                <w:szCs w:val="20"/>
                <w:color w:val="auto"/>
              </w:rPr>
            </w:pPr>
            <w:r>
              <w:rPr>
                <w:rFonts w:ascii="Arial" w:cs="Arial" w:eastAsia="Arial" w:hAnsi="Arial"/>
                <w:sz w:val="18"/>
                <w:szCs w:val="18"/>
                <w:color w:val="auto"/>
              </w:rPr>
              <w:t>Valuation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-4100830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-4100830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4280" w:type="dxa"/>
            <w:vAlign w:val="bottom"/>
          </w:tcPr>
          <w:p>
            <w:pPr>
              <w:ind w:left="660"/>
              <w:spacing w:after="0"/>
              <w:rPr>
                <w:sz w:val="20"/>
                <w:szCs w:val="20"/>
                <w:color w:val="auto"/>
              </w:rPr>
            </w:pPr>
            <w:r>
              <w:rPr>
                <w:rFonts w:ascii="Arial" w:cs="Arial" w:eastAsia="Arial" w:hAnsi="Arial"/>
                <w:sz w:val="18"/>
                <w:szCs w:val="18"/>
                <w:color w:val="auto"/>
              </w:rPr>
              <w:t>Expiration Date:</w:t>
            </w:r>
          </w:p>
        </w:tc>
        <w:tc>
          <w:tcPr>
            <w:tcW w:w="7180" w:type="dxa"/>
            <w:vAlign w:val="bottom"/>
          </w:tcPr>
          <w:p>
            <w:pPr>
              <w:ind w:left="700"/>
              <w:spacing w:after="0"/>
              <w:rPr>
                <w:sz w:val="20"/>
                <w:szCs w:val="20"/>
                <w:color w:val="auto"/>
              </w:rPr>
            </w:pPr>
            <w:r>
              <w:rPr>
                <w:rFonts w:ascii="Arial" w:cs="Arial" w:eastAsia="Arial" w:hAnsi="Arial"/>
                <w:sz w:val="18"/>
                <w:szCs w:val="18"/>
                <w:color w:val="auto"/>
                <w:w w:val="92"/>
              </w:rPr>
              <w:t>As provided in Annex A to this Confirmation (or, if such date is not a Scheduled Trading</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5"/>
              </w:rPr>
              <w:t>Day, the next following Scheduled Trading Day that is not already an Expiration Date</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4"/>
              </w:rPr>
              <w:t xml:space="preserve">for another Component);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notwithstanding anything to the contrary in the</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3"/>
              </w:rPr>
              <w:t>Equity Definitions, if that date is a Disrupted Day, the Calculation Agent may determine</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5"/>
              </w:rPr>
              <w:t>that the Expiration Date for such Component is a Disrupted Day in whole or in part, in</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9"/>
              </w:rPr>
              <w:t>which case the Calculation Agent shall, in its reasonable discretion, determine the</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4"/>
              </w:rPr>
              <w:t>number of Options for which such day shall be the Expiration Date and (i) allocate the</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4"/>
              </w:rPr>
              <w:t>remaining Options for such Expiration Date to one or more of the remaining Expiration</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3"/>
              </w:rPr>
              <w:t>Dates, (ii) designate the first succeeding Scheduled Trading Day that is not a Disrupted</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Day and is not or is not deemed to be an Expiration Date in respect of any other</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7"/>
              </w:rPr>
              <w:t>Component of the Transaction hereunder as the Expiration Date for such remaining</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5"/>
              </w:rPr>
              <w:t xml:space="preserve">Options, or (iii) a combination thereof; </w:t>
            </w:r>
            <w:r>
              <w:rPr>
                <w:rFonts w:ascii="Arial" w:cs="Arial" w:eastAsia="Arial" w:hAnsi="Arial"/>
                <w:sz w:val="18"/>
                <w:szCs w:val="18"/>
                <w:i w:val="1"/>
                <w:iCs w:val="1"/>
                <w:color w:val="auto"/>
                <w:w w:val="95"/>
              </w:rPr>
              <w:t>provided further</w:t>
            </w:r>
            <w:r>
              <w:rPr>
                <w:rFonts w:ascii="Arial" w:cs="Arial" w:eastAsia="Arial" w:hAnsi="Arial"/>
                <w:sz w:val="18"/>
                <w:szCs w:val="18"/>
                <w:color w:val="auto"/>
                <w:w w:val="95"/>
              </w:rPr>
              <w:t xml:space="preserve"> that if the Expiration Date for a</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Component (including any portion of a Component whose Expiration Date was</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postponed as a result of clause (ii) or (iii) above) has not occurred as of the Final</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6"/>
              </w:rPr>
              <w:t>Disruption Date, (a) such Final Disruption Date shall be deemed to be the Expiration</w:t>
            </w:r>
          </w:p>
        </w:tc>
      </w:tr>
      <w:tr>
        <w:trPr>
          <w:trHeight w:val="216"/>
        </w:trPr>
        <w:tc>
          <w:tcPr>
            <w:tcW w:w="428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w w:val="99"/>
              </w:rPr>
              <w:t>Date and Valuation Date for such Component, and (b) the Calculation Agent shall</w:t>
            </w:r>
          </w:p>
        </w:tc>
      </w:tr>
      <w:tr>
        <w:trPr>
          <w:trHeight w:val="230"/>
        </w:trPr>
        <w:tc>
          <w:tcPr>
            <w:tcW w:w="4280" w:type="dxa"/>
            <w:vAlign w:val="bottom"/>
          </w:tcPr>
          <w:p>
            <w:pPr>
              <w:spacing w:after="0"/>
              <w:rPr>
                <w:sz w:val="20"/>
                <w:szCs w:val="20"/>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determine the VWAP Price for</w:t>
            </w:r>
          </w:p>
        </w:tc>
      </w:tr>
      <w:tr>
        <w:trPr>
          <w:trHeight w:val="702"/>
        </w:trPr>
        <w:tc>
          <w:tcPr>
            <w:tcW w:w="428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Arial" w:cs="Arial" w:eastAsia="Arial" w:hAnsi="Arial"/>
                <w:sz w:val="18"/>
                <w:szCs w:val="18"/>
                <w:color w:val="auto"/>
              </w:rPr>
              <w:t>3</w:t>
            </w:r>
          </w:p>
        </w:tc>
      </w:tr>
      <w:tr>
        <w:trPr>
          <w:trHeight w:val="375"/>
        </w:trPr>
        <w:tc>
          <w:tcPr>
            <w:tcW w:w="4280" w:type="dxa"/>
            <w:vAlign w:val="bottom"/>
            <w:tcBorders>
              <w:bottom w:val="single" w:sz="8" w:color="010101"/>
            </w:tcBorders>
          </w:tcPr>
          <w:p>
            <w:pPr>
              <w:spacing w:after="0"/>
              <w:rPr>
                <w:sz w:val="24"/>
                <w:szCs w:val="24"/>
                <w:color w:val="auto"/>
              </w:rPr>
            </w:pPr>
          </w:p>
        </w:tc>
        <w:tc>
          <w:tcPr>
            <w:tcW w:w="7180" w:type="dxa"/>
            <w:vAlign w:val="bottom"/>
            <w:tcBorders>
              <w:bottom w:val="single" w:sz="8" w:color="010101"/>
            </w:tcBorders>
          </w:tcPr>
          <w:p>
            <w:pPr>
              <w:spacing w:after="0"/>
              <w:rPr>
                <w:sz w:val="24"/>
                <w:szCs w:val="24"/>
                <w:color w:val="auto"/>
              </w:rPr>
            </w:pPr>
          </w:p>
        </w:tc>
      </w:tr>
      <w:tr>
        <w:trPr>
          <w:trHeight w:val="563"/>
        </w:trPr>
        <w:tc>
          <w:tcPr>
            <w:tcW w:w="4280" w:type="dxa"/>
            <w:vAlign w:val="bottom"/>
          </w:tcPr>
          <w:p>
            <w:pPr>
              <w:spacing w:after="0"/>
              <w:rPr>
                <w:sz w:val="24"/>
                <w:szCs w:val="24"/>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9"/>
              </w:rPr>
              <w:t>such Component on the basis of its good faith estimate of the trading value for the</w:t>
            </w:r>
          </w:p>
        </w:tc>
      </w:tr>
      <w:tr>
        <w:trPr>
          <w:trHeight w:val="222"/>
        </w:trPr>
        <w:tc>
          <w:tcPr>
            <w:tcW w:w="4280" w:type="dxa"/>
            <w:vAlign w:val="bottom"/>
          </w:tcPr>
          <w:p>
            <w:pPr>
              <w:spacing w:after="0"/>
              <w:rPr>
                <w:sz w:val="19"/>
                <w:szCs w:val="19"/>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4"/>
              </w:rPr>
              <w:t xml:space="preserve">relevant Shares. </w:t>
            </w:r>
            <w:r>
              <w:rPr>
                <w:rFonts w:ascii="Arial" w:cs="Arial" w:eastAsia="Arial" w:hAnsi="Arial"/>
                <w:sz w:val="17"/>
                <w:szCs w:val="17"/>
                <w:color w:val="auto"/>
                <w:w w:val="94"/>
              </w:rPr>
              <w:t>Section 6.6 of the Equity Definitions shall not apply to any Valuation Date</w:t>
            </w:r>
          </w:p>
        </w:tc>
      </w:tr>
      <w:tr>
        <w:trPr>
          <w:trHeight w:val="222"/>
        </w:trPr>
        <w:tc>
          <w:tcPr>
            <w:tcW w:w="4280" w:type="dxa"/>
            <w:vAlign w:val="bottom"/>
          </w:tcPr>
          <w:p>
            <w:pPr>
              <w:spacing w:after="0"/>
              <w:rPr>
                <w:sz w:val="19"/>
                <w:szCs w:val="19"/>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occurring on an Expiration Date.</w:t>
            </w:r>
          </w:p>
        </w:tc>
      </w:tr>
      <w:tr>
        <w:trPr>
          <w:trHeight w:val="434"/>
        </w:trPr>
        <w:tc>
          <w:tcPr>
            <w:tcW w:w="4280" w:type="dxa"/>
            <w:vAlign w:val="bottom"/>
          </w:tcPr>
          <w:p>
            <w:pPr>
              <w:ind w:left="660"/>
              <w:spacing w:after="0"/>
              <w:rPr>
                <w:sz w:val="20"/>
                <w:szCs w:val="20"/>
                <w:color w:val="auto"/>
              </w:rPr>
            </w:pPr>
            <w:r>
              <w:rPr>
                <w:rFonts w:ascii="Arial" w:cs="Arial" w:eastAsia="Arial" w:hAnsi="Arial"/>
                <w:sz w:val="18"/>
                <w:szCs w:val="18"/>
                <w:color w:val="auto"/>
              </w:rPr>
              <w:t>Final Disruption Date:</w:t>
            </w:r>
          </w:p>
        </w:tc>
        <w:tc>
          <w:tcPr>
            <w:tcW w:w="7180" w:type="dxa"/>
            <w:vAlign w:val="bottom"/>
          </w:tcPr>
          <w:p>
            <w:pPr>
              <w:ind w:left="680"/>
              <w:spacing w:after="0"/>
              <w:rPr>
                <w:sz w:val="20"/>
                <w:szCs w:val="20"/>
                <w:color w:val="auto"/>
              </w:rPr>
            </w:pPr>
            <w:r>
              <w:rPr>
                <w:rFonts w:ascii="Arial" w:cs="Arial" w:eastAsia="Arial" w:hAnsi="Arial"/>
                <w:sz w:val="18"/>
                <w:szCs w:val="18"/>
                <w:color w:val="auto"/>
              </w:rPr>
              <w:t>February 1, 2012.</w:t>
            </w:r>
          </w:p>
        </w:tc>
      </w:tr>
      <w:tr>
        <w:trPr>
          <w:trHeight w:val="418"/>
        </w:trPr>
        <w:tc>
          <w:tcPr>
            <w:tcW w:w="4280" w:type="dxa"/>
            <w:vAlign w:val="bottom"/>
          </w:tcPr>
          <w:p>
            <w:pPr>
              <w:ind w:left="660"/>
              <w:spacing w:after="0"/>
              <w:rPr>
                <w:sz w:val="20"/>
                <w:szCs w:val="20"/>
                <w:color w:val="auto"/>
              </w:rPr>
            </w:pPr>
            <w:r>
              <w:rPr>
                <w:rFonts w:ascii="Arial" w:cs="Arial" w:eastAsia="Arial" w:hAnsi="Arial"/>
                <w:sz w:val="18"/>
                <w:szCs w:val="18"/>
                <w:color w:val="auto"/>
              </w:rPr>
              <w:t>Market Disruption Event:</w:t>
            </w:r>
          </w:p>
        </w:tc>
        <w:tc>
          <w:tcPr>
            <w:tcW w:w="7180" w:type="dxa"/>
            <w:vAlign w:val="bottom"/>
          </w:tcPr>
          <w:p>
            <w:pPr>
              <w:ind w:left="680"/>
              <w:spacing w:after="0"/>
              <w:rPr>
                <w:sz w:val="20"/>
                <w:szCs w:val="20"/>
                <w:color w:val="auto"/>
              </w:rPr>
            </w:pPr>
            <w:r>
              <w:rPr>
                <w:rFonts w:ascii="Arial" w:cs="Arial" w:eastAsia="Arial" w:hAnsi="Arial"/>
                <w:sz w:val="18"/>
                <w:szCs w:val="18"/>
                <w:color w:val="auto"/>
              </w:rPr>
              <w:t>Section 6.3(a) of the Equity Definitions is hereby amended by replacing clause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(ii) thereof in its entirety with the following: “(ii) an Exchange Disruption, or” and</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4"/>
              </w:rPr>
              <w:t>inserting immediately following clause (iii) thereof the following: “; in each case that the</w:t>
            </w:r>
          </w:p>
        </w:tc>
      </w:tr>
      <w:tr>
        <w:trPr>
          <w:trHeight w:val="230"/>
        </w:trPr>
        <w:tc>
          <w:tcPr>
            <w:tcW w:w="4280" w:type="dxa"/>
            <w:vAlign w:val="bottom"/>
          </w:tcPr>
          <w:p>
            <w:pPr>
              <w:spacing w:after="0"/>
              <w:rPr>
                <w:sz w:val="20"/>
                <w:szCs w:val="20"/>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Calculation Agent determines is material.”</w:t>
            </w:r>
          </w:p>
        </w:tc>
      </w:tr>
      <w:tr>
        <w:trPr>
          <w:trHeight w:val="418"/>
        </w:trPr>
        <w:tc>
          <w:tcPr>
            <w:tcW w:w="4280" w:type="dxa"/>
            <w:vAlign w:val="bottom"/>
          </w:tcPr>
          <w:p>
            <w:pPr>
              <w:ind w:left="660"/>
              <w:spacing w:after="0"/>
              <w:rPr>
                <w:sz w:val="20"/>
                <w:szCs w:val="20"/>
                <w:color w:val="auto"/>
              </w:rPr>
            </w:pPr>
            <w:r>
              <w:rPr>
                <w:rFonts w:ascii="Arial" w:cs="Arial" w:eastAsia="Arial" w:hAnsi="Arial"/>
                <w:sz w:val="18"/>
                <w:szCs w:val="18"/>
                <w:color w:val="auto"/>
              </w:rPr>
              <w:t>Exchange Business Day; Disrupted Day:</w:t>
            </w:r>
          </w:p>
        </w:tc>
        <w:tc>
          <w:tcPr>
            <w:tcW w:w="7180" w:type="dxa"/>
            <w:vAlign w:val="bottom"/>
          </w:tcPr>
          <w:p>
            <w:pPr>
              <w:ind w:left="680"/>
              <w:spacing w:after="0"/>
              <w:rPr>
                <w:sz w:val="20"/>
                <w:szCs w:val="20"/>
                <w:color w:val="auto"/>
              </w:rPr>
            </w:pPr>
            <w:r>
              <w:rPr>
                <w:rFonts w:ascii="Arial" w:cs="Arial" w:eastAsia="Arial" w:hAnsi="Arial"/>
                <w:sz w:val="18"/>
                <w:szCs w:val="18"/>
                <w:color w:val="auto"/>
                <w:w w:val="93"/>
              </w:rPr>
              <w:t>Sections 1.29 and 6.4 of the Equity Definitions are hereby amended by adding “, unless</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9"/>
              </w:rPr>
              <w:t>the Calculation Agent reasonably determines that any failure of such Exchange or</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3"/>
              </w:rPr>
              <w:t>Related Exchange to open does not have a material effect on the trading market for the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5"/>
              </w:rPr>
              <w:t>Shares” following the words “regular trading sessions” in the third line thereof and the</w:t>
            </w:r>
          </w:p>
        </w:tc>
      </w:tr>
      <w:tr>
        <w:trPr>
          <w:trHeight w:val="230"/>
        </w:trPr>
        <w:tc>
          <w:tcPr>
            <w:tcW w:w="4280" w:type="dxa"/>
            <w:vAlign w:val="bottom"/>
          </w:tcPr>
          <w:p>
            <w:pPr>
              <w:spacing w:after="0"/>
              <w:rPr>
                <w:sz w:val="20"/>
                <w:szCs w:val="20"/>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words “regular trading session” in the second line thereof, respectively.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-2454275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-2454275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79" w:gutter="0" w:footer="0" w:header="0"/>
        </w:sect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Seller’s Telephone Number and Telex and/or Facsimile Number and Contact Details for purpose of Giving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Applicable; and means that the Number of Options for the relevant Component will be deemed to be automatically exercised at the Expiration Time on the Expiration Date for such Component if at such time such Component is In-the-Money, as determined by the Calculation Agent, unless Buyer notifies Seller (by telephone or in writing) prior to the Expiration Time on such Expiration Date that it does not wish Automatic Exercise to occur with respect to such Component, in which case Automatic Exercise will not apply with respect to such Component. “</w:t>
      </w:r>
      <w:r>
        <w:rPr>
          <w:rFonts w:ascii="Arial" w:cs="Arial" w:eastAsia="Arial" w:hAnsi="Arial"/>
          <w:sz w:val="17"/>
          <w:szCs w:val="17"/>
          <w:u w:val="single" w:color="auto"/>
          <w:color w:val="auto"/>
        </w:rPr>
        <w:t>In-the-Money</w:t>
      </w:r>
      <w:r>
        <w:rPr>
          <w:rFonts w:ascii="Arial" w:cs="Arial" w:eastAsia="Arial" w:hAnsi="Arial"/>
          <w:sz w:val="17"/>
          <w:szCs w:val="17"/>
          <w:color w:val="auto"/>
        </w:rPr>
        <w:t>” means, in respect of any Component, that the VWAP Price on the Expiration Date for such Component is greater than the Strike Price for such Component.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be provided by Dealer.</w:t>
      </w:r>
    </w:p>
    <w:p>
      <w:pPr>
        <w:spacing w:after="0" w:line="632" w:lineRule="exact"/>
        <w:rPr>
          <w:sz w:val="20"/>
          <w:szCs w:val="20"/>
          <w:color w:val="auto"/>
        </w:rPr>
      </w:pPr>
    </w:p>
    <w:p>
      <w:pPr>
        <w:sectPr>
          <w:pgSz w:w="11900" w:h="16838" w:orient="portrait"/>
          <w:cols w:equalWidth="0" w:num="2">
            <w:col w:w="4520" w:space="440"/>
            <w:col w:w="6500"/>
          </w:cols>
          <w:pgMar w:left="240" w:top="125" w:right="199" w:bottom="179" w:gutter="0" w:footer="0" w:header="0"/>
          <w:type w:val="continuous"/>
        </w:sectPr>
      </w:pPr>
    </w:p>
    <w:p>
      <w:pPr>
        <w:spacing w:after="0" w:line="25" w:lineRule="exact"/>
        <w:rPr>
          <w:sz w:val="20"/>
          <w:szCs w:val="20"/>
          <w:color w:val="auto"/>
        </w:rPr>
      </w:pPr>
    </w:p>
    <w:p>
      <w:pPr>
        <w:ind w:left="660"/>
        <w:spacing w:after="0"/>
        <w:tabs>
          <w:tab w:leader="none" w:pos="4940" w:val="left"/>
        </w:tabs>
        <w:rPr>
          <w:sz w:val="20"/>
          <w:szCs w:val="20"/>
          <w:color w:val="auto"/>
        </w:rPr>
      </w:pPr>
      <w:r>
        <w:rPr>
          <w:rFonts w:ascii="Arial" w:cs="Arial" w:eastAsia="Arial" w:hAnsi="Arial"/>
          <w:sz w:val="18"/>
          <w:szCs w:val="18"/>
          <w:color w:val="auto"/>
        </w:rPr>
        <w:t>Settlement Method Election:</w:t>
      </w:r>
      <w:r>
        <w:rPr>
          <w:sz w:val="20"/>
          <w:szCs w:val="20"/>
          <w:color w:val="auto"/>
        </w:rPr>
        <w:tab/>
      </w: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Section 7.1 of the Equity Definitions is hereby amended by</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replacing the term “Physical Settlement” with the term “Net Share Settlement”,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 Counterparty must make a single irrevocable election for all Components and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 such Settlement Method Election would be effective only if Counterparty represents</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and warrants to Dealer in writing on the date of such Settlement Method Election that</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none of Counterparty and its officers and directors is aware of any material nonpublic</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information regarding Counterparty or the Shares as of such date.</w:t>
      </w:r>
    </w:p>
    <w:p>
      <w:pPr>
        <w:spacing w:after="0" w:line="211" w:lineRule="exact"/>
        <w:rPr>
          <w:sz w:val="20"/>
          <w:szCs w:val="20"/>
          <w:color w:val="auto"/>
        </w:rPr>
      </w:pPr>
    </w:p>
    <w:p>
      <w:pPr>
        <w:ind w:left="660"/>
        <w:spacing w:after="0"/>
        <w:tabs>
          <w:tab w:leader="none" w:pos="4940" w:val="left"/>
        </w:tabs>
        <w:rPr>
          <w:sz w:val="20"/>
          <w:szCs w:val="20"/>
          <w:color w:val="auto"/>
        </w:rPr>
      </w:pPr>
      <w:r>
        <w:rPr>
          <w:rFonts w:ascii="Arial" w:cs="Arial" w:eastAsia="Arial" w:hAnsi="Arial"/>
          <w:sz w:val="18"/>
          <w:szCs w:val="18"/>
          <w:color w:val="auto"/>
        </w:rPr>
        <w:t>Electing Party:</w:t>
      </w:r>
      <w:r>
        <w:rPr>
          <w:sz w:val="20"/>
          <w:szCs w:val="20"/>
          <w:color w:val="auto"/>
        </w:rPr>
        <w:tab/>
      </w:r>
      <w:r>
        <w:rPr>
          <w:rFonts w:ascii="Arial" w:cs="Arial" w:eastAsia="Arial" w:hAnsi="Arial"/>
          <w:sz w:val="16"/>
          <w:szCs w:val="16"/>
          <w:color w:val="auto"/>
        </w:rPr>
        <w:t>Counterparty</w:t>
      </w:r>
    </w:p>
    <w:p>
      <w:pPr>
        <w:spacing w:after="0" w:line="225" w:lineRule="exact"/>
        <w:rPr>
          <w:sz w:val="20"/>
          <w:szCs w:val="20"/>
          <w:color w:val="auto"/>
        </w:rPr>
      </w:pPr>
    </w:p>
    <w:p>
      <w:pPr>
        <w:ind w:left="660"/>
        <w:spacing w:after="0"/>
        <w:tabs>
          <w:tab w:leader="none" w:pos="4940" w:val="left"/>
        </w:tabs>
        <w:rPr>
          <w:sz w:val="20"/>
          <w:szCs w:val="20"/>
          <w:color w:val="auto"/>
        </w:rPr>
      </w:pPr>
      <w:r>
        <w:rPr>
          <w:rFonts w:ascii="Arial" w:cs="Arial" w:eastAsia="Arial" w:hAnsi="Arial"/>
          <w:sz w:val="18"/>
          <w:szCs w:val="18"/>
          <w:color w:val="auto"/>
        </w:rPr>
        <w:t>Settlement Method Election Date:</w:t>
      </w:r>
      <w:r>
        <w:rPr>
          <w:sz w:val="20"/>
          <w:szCs w:val="20"/>
          <w:color w:val="auto"/>
        </w:rPr>
        <w:tab/>
      </w:r>
      <w:r>
        <w:rPr>
          <w:rFonts w:ascii="Arial" w:cs="Arial" w:eastAsia="Arial" w:hAnsi="Arial"/>
          <w:sz w:val="16"/>
          <w:szCs w:val="16"/>
          <w:color w:val="auto"/>
        </w:rPr>
        <w:t>The fifth Scheduled Trading Day prior to the scheduled Expiration Date for the first</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Component.</w:t>
      </w:r>
    </w:p>
    <w:p>
      <w:pPr>
        <w:spacing w:after="0" w:line="211" w:lineRule="exact"/>
        <w:rPr>
          <w:sz w:val="20"/>
          <w:szCs w:val="20"/>
          <w:color w:val="auto"/>
        </w:rPr>
      </w:pPr>
    </w:p>
    <w:p>
      <w:pPr>
        <w:ind w:left="660"/>
        <w:spacing w:after="0"/>
        <w:tabs>
          <w:tab w:leader="none" w:pos="4940" w:val="left"/>
        </w:tabs>
        <w:rPr>
          <w:sz w:val="20"/>
          <w:szCs w:val="20"/>
          <w:color w:val="auto"/>
        </w:rPr>
      </w:pPr>
      <w:r>
        <w:rPr>
          <w:rFonts w:ascii="Arial" w:cs="Arial" w:eastAsia="Arial" w:hAnsi="Arial"/>
          <w:sz w:val="18"/>
          <w:szCs w:val="18"/>
          <w:color w:val="auto"/>
        </w:rPr>
        <w:t>Default Settlement Method:</w:t>
      </w:r>
      <w:r>
        <w:rPr>
          <w:sz w:val="20"/>
          <w:szCs w:val="20"/>
          <w:color w:val="auto"/>
        </w:rPr>
        <w:tab/>
      </w:r>
      <w:r>
        <w:rPr>
          <w:rFonts w:ascii="Arial" w:cs="Arial" w:eastAsia="Arial" w:hAnsi="Arial"/>
          <w:sz w:val="16"/>
          <w:szCs w:val="16"/>
          <w:color w:val="auto"/>
        </w:rPr>
        <w:t>Net Share Settlement</w:t>
      </w:r>
    </w:p>
    <w:p>
      <w:pPr>
        <w:sectPr>
          <w:pgSz w:w="11900" w:h="16838" w:orient="portrait"/>
          <w:cols w:equalWidth="0" w:num="1">
            <w:col w:w="11460"/>
          </w:cols>
          <w:pgMar w:left="240" w:top="125" w:right="199" w:bottom="179"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79" w:gutter="0" w:footer="0" w:header="0"/>
          <w:type w:val="continuous"/>
        </w:sectPr>
      </w:pPr>
    </w:p>
    <w:bookmarkStart w:id="58" w:name="page59"/>
    <w:bookmarkEnd w:id="58"/>
    <w:p>
      <w:pPr>
        <w:ind w:left="320"/>
        <w:spacing w:after="0"/>
        <w:rPr>
          <w:sz w:val="20"/>
          <w:szCs w:val="20"/>
          <w:color w:val="auto"/>
        </w:rPr>
      </w:pPr>
      <w:r>
        <w:rPr>
          <w:rFonts w:ascii="Arial" w:cs="Arial" w:eastAsia="Arial" w:hAnsi="Arial"/>
          <w:sz w:val="18"/>
          <w:szCs w:val="18"/>
          <w:color w:val="auto"/>
        </w:rPr>
        <w:t>Settlement Currency: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Share Settlement: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Applicable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USD</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any Expiration Date or other Exchange Business Day, as displayed on Bloomberg Page “MU.N &lt;Equity&gt; AQR” (or any successor thereto) for the Counterparty with respect to the period between 9:30 a.m. to 4:00 p.m. (New York City time) on such day, as determined by Calculation Agent. If no price is available, or there is a Market Disruption Event on such Expiration Date or other Exchange Business Day, the Calculation Agent shall determine the VWAP Price in a commercially reasonable manner.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Settlement Date shall be the third Scheduled Trading Day after the Expiration Date for the Component (or, in respect of all or part of its obligation to deliver the Number of Shares to be Delivered, such other earlier date or dates Dealer shall determine in its sole discretion).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Net Share Settlement applies, on the Settlement Date for each Component, Dealer shall deliver to Counterparty a number of Shares equal to the sum of the Number of Shares to be Delivered for each Component to the account specified by Counterparty and cash in lieu of any fractional shares for each Component valued at the VWAP Price on the Expiration Date for such Component.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any Component, subject to the last sentence of Section 9.5 of the Equity Definitions:</w:t>
      </w:r>
    </w:p>
    <w:p>
      <w:pPr>
        <w:spacing w:after="0" w:line="248" w:lineRule="exact"/>
        <w:rPr>
          <w:sz w:val="20"/>
          <w:szCs w:val="20"/>
          <w:color w:val="auto"/>
        </w:rPr>
      </w:pPr>
    </w:p>
    <w:p>
      <w:pPr>
        <w:ind w:right="40" w:firstLine="4"/>
        <w:spacing w:after="0" w:line="257" w:lineRule="auto"/>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exceeds the Strike Price for such Component but is less than the Cap Price for such Component, a number of Shares equal to (i) the product of (A) the excess of such VWAP Price over such Strike Price, (B) the Number of Options for such Component and (C) the Option Entitlement,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(ii) such VWAP Price;</w:t>
      </w:r>
    </w:p>
    <w:p>
      <w:pPr>
        <w:spacing w:after="0" w:line="188" w:lineRule="exact"/>
        <w:rPr>
          <w:rFonts w:ascii="Arial" w:cs="Arial" w:eastAsia="Arial" w:hAnsi="Arial"/>
          <w:sz w:val="18"/>
          <w:szCs w:val="18"/>
          <w:color w:val="auto"/>
        </w:rPr>
      </w:pPr>
    </w:p>
    <w:p>
      <w:pPr>
        <w:ind w:firstLine="4"/>
        <w:spacing w:after="0" w:line="257" w:lineRule="auto"/>
        <w:tabs>
          <w:tab w:leader="none" w:pos="31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equals or exceeds the Cap Price for such Component, a number of Shares equal to (i) the product of (A) the excess of such Cap Price over the Strike Price for such Component, (B) the Number of Options for such Component and (C) the Option Entitlement,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such VWAP Price; or</w:t>
      </w:r>
    </w:p>
    <w:p>
      <w:pPr>
        <w:spacing w:after="0" w:line="188" w:lineRule="exact"/>
        <w:rPr>
          <w:rFonts w:ascii="Arial" w:cs="Arial" w:eastAsia="Arial" w:hAnsi="Arial"/>
          <w:sz w:val="18"/>
          <w:szCs w:val="18"/>
          <w:color w:val="auto"/>
        </w:rPr>
      </w:pPr>
    </w:p>
    <w:p>
      <w:pPr>
        <w:ind w:right="80" w:firstLine="4"/>
        <w:spacing w:after="0" w:line="308" w:lineRule="auto"/>
        <w:tabs>
          <w:tab w:leader="none" w:pos="3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the VWAP Price on the Expiration Date for such Component is less than or equal to the Strike Price for such Component, a number of Shares equal to zero.</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provisions of Sections 9.1(c), 9.8, 9.9, 9.10, 9.11 and 9.12 of the Equity Definitions will be applicable, as if Physical Settlement applied to the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Shares.</w:t>
      </w: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235585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440"/>
          </w:cols>
          <w:pgMar w:left="580" w:top="382" w:right="259" w:bottom="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Settlement:</w:t>
      </w:r>
    </w:p>
    <w:p>
      <w:pPr>
        <w:spacing w:after="0" w:line="225"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Cash Settlement Payment Date:</w:t>
      </w:r>
      <w:r>
        <w:rPr>
          <w:sz w:val="20"/>
          <w:szCs w:val="20"/>
          <w:color w:val="auto"/>
        </w:rPr>
        <w:tab/>
      </w:r>
      <w:r>
        <w:rPr>
          <w:rFonts w:ascii="Arial" w:cs="Arial" w:eastAsia="Arial" w:hAnsi="Arial"/>
          <w:sz w:val="16"/>
          <w:szCs w:val="16"/>
          <w:color w:val="auto"/>
        </w:rPr>
        <w:t>The Cash Settlement Payment Date shall be the third Scheduled Trading Day after the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Expiration Date for each Component.</w:t>
      </w:r>
    </w:p>
    <w:p>
      <w:pPr>
        <w:spacing w:after="0" w:line="211"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Cash Settlement:</w:t>
      </w:r>
      <w:r>
        <w:rPr>
          <w:sz w:val="20"/>
          <w:szCs w:val="20"/>
          <w:color w:val="auto"/>
        </w:rPr>
        <w:tab/>
      </w:r>
      <w:r>
        <w:rPr>
          <w:rFonts w:ascii="Arial" w:cs="Arial" w:eastAsia="Arial" w:hAnsi="Arial"/>
          <w:sz w:val="16"/>
          <w:szCs w:val="16"/>
          <w:color w:val="auto"/>
        </w:rPr>
        <w:t>If Cash Settlement applies, on the relevant Cash Settlement Payment Date for such</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Component, Dealer shall pay to Counterparty an amount equal to the sum of the Option</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Cash Settlement Amount for each Component to the account specified by Counterparty.</w:t>
      </w:r>
    </w:p>
    <w:p>
      <w:pPr>
        <w:spacing w:after="0" w:line="234"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Strike Price Differential:</w:t>
      </w:r>
      <w:r>
        <w:rPr>
          <w:sz w:val="20"/>
          <w:szCs w:val="20"/>
          <w:color w:val="auto"/>
        </w:rPr>
        <w:tab/>
      </w:r>
      <w:r>
        <w:rPr>
          <w:rFonts w:ascii="Arial" w:cs="Arial" w:eastAsia="Arial" w:hAnsi="Arial"/>
          <w:sz w:val="16"/>
          <w:szCs w:val="16"/>
          <w:color w:val="auto"/>
        </w:rPr>
        <w:t>For any Component:</w:t>
      </w:r>
    </w:p>
    <w:p>
      <w:pPr>
        <w:spacing w:after="0" w:line="225" w:lineRule="exact"/>
        <w:rPr>
          <w:sz w:val="20"/>
          <w:szCs w:val="20"/>
          <w:color w:val="auto"/>
        </w:rPr>
      </w:pPr>
    </w:p>
    <w:p>
      <w:pPr>
        <w:ind w:left="4620" w:right="60"/>
        <w:spacing w:after="0" w:line="286" w:lineRule="auto"/>
        <w:rPr>
          <w:sz w:val="20"/>
          <w:szCs w:val="20"/>
          <w:color w:val="auto"/>
        </w:rPr>
      </w:pPr>
      <w:r>
        <w:rPr>
          <w:rFonts w:ascii="Arial" w:cs="Arial" w:eastAsia="Arial" w:hAnsi="Arial"/>
          <w:sz w:val="17"/>
          <w:szCs w:val="17"/>
          <w:color w:val="auto"/>
        </w:rPr>
        <w:t>(i) if the VWAP Price on the Expiration Date for such Component exceeds the Strike Price for such Component but is less than the Cap Price for such Component, an amount equal to the excess of such VWAP Price over such Strike Price.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 if the VWAP Price on the Expiration Date for such Component equals or exceeds the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Cap Price for such Component, an amount equal to the excess of such Cap Price over the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Strike Price for such Component; or</w:t>
      </w:r>
    </w:p>
    <w:p>
      <w:pPr>
        <w:spacing w:after="0" w:line="211" w:lineRule="exact"/>
        <w:rPr>
          <w:sz w:val="20"/>
          <w:szCs w:val="20"/>
          <w:color w:val="auto"/>
        </w:rPr>
      </w:pPr>
    </w:p>
    <w:p>
      <w:pPr>
        <w:ind w:left="4620" w:right="80"/>
        <w:spacing w:after="0" w:line="277" w:lineRule="auto"/>
        <w:rPr>
          <w:sz w:val="20"/>
          <w:szCs w:val="20"/>
          <w:color w:val="auto"/>
        </w:rPr>
      </w:pPr>
      <w:r>
        <w:rPr>
          <w:rFonts w:ascii="Arial" w:cs="Arial" w:eastAsia="Arial" w:hAnsi="Arial"/>
          <w:sz w:val="18"/>
          <w:szCs w:val="18"/>
          <w:color w:val="auto"/>
        </w:rPr>
        <w:t>(iii) if the VWAP Price on the Expiration Date for such Component is less than or equal to the Strike Price for such Component, zero.</w:t>
      </w:r>
    </w:p>
    <w:p>
      <w:pPr>
        <w:sectPr>
          <w:pgSz w:w="11900" w:h="16838" w:orient="portrait"/>
          <w:cols w:equalWidth="0" w:num="1">
            <w:col w:w="11060"/>
          </w:cols>
          <w:pgMar w:left="580" w:top="382" w:right="25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Share Adjustments:</w:t>
            </w:r>
          </w:p>
        </w:tc>
        <w:tc>
          <w:tcPr>
            <w:tcW w:w="4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8"/>
        </w:trPr>
        <w:tc>
          <w:tcPr>
            <w:tcW w:w="3960" w:type="dxa"/>
            <w:vAlign w:val="bottom"/>
            <w:gridSpan w:val="2"/>
          </w:tcPr>
          <w:p>
            <w:pPr>
              <w:ind w:left="660"/>
              <w:spacing w:after="0"/>
              <w:rPr>
                <w:sz w:val="20"/>
                <w:szCs w:val="20"/>
                <w:color w:val="auto"/>
              </w:rPr>
            </w:pPr>
            <w:r>
              <w:rPr>
                <w:rFonts w:ascii="Arial" w:cs="Arial" w:eastAsia="Arial" w:hAnsi="Arial"/>
                <w:sz w:val="18"/>
                <w:szCs w:val="18"/>
                <w:color w:val="auto"/>
              </w:rPr>
              <w:t>Method of Adjustment:</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Calculation Agent Adjustment; provided that under Section 11.2(e)(v) of the definition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of Potential Adjustment Event the word “repurchase” shall be replaced with the word</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“tender offer”.</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New Shares:</w:t>
            </w: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In the definition of “New Shares” in Section 12.1(i) of the Equity Definitions, the text in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subsection (i) shall be deleted in its entirety and replaced with: “publicly quoted, traded</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or listed on any of the New York Stock Exchange, the NASDAQ Global Select Market</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or the NASDAQ Global Market (or their respective successors)”.</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Consequences of Merger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Share-for-Share:</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Modified Calculation Agent Adjustment and, for the avoidance of doubt, if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9"/>
              </w:rPr>
              <w:t>consideration for the Shares includes (or, at the option of a holder of Shares, may</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2"/>
              </w:rPr>
              <w:t>include) shares of an entity or person not organized under the laws of the United States,</w:t>
            </w:r>
          </w:p>
        </w:tc>
      </w:tr>
      <w:tr>
        <w:trPr>
          <w:trHeight w:val="190"/>
        </w:trPr>
        <w:tc>
          <w:tcPr>
            <w:tcW w:w="1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500" w:type="dxa"/>
            <w:vAlign w:val="bottom"/>
            <w:gridSpan w:val="3"/>
          </w:tcPr>
          <w:p>
            <w:pPr>
              <w:ind w:left="1000"/>
              <w:spacing w:after="0" w:line="190" w:lineRule="exact"/>
              <w:rPr>
                <w:sz w:val="20"/>
                <w:szCs w:val="20"/>
                <w:color w:val="auto"/>
              </w:rPr>
            </w:pPr>
            <w:r>
              <w:rPr>
                <w:rFonts w:ascii="Arial" w:cs="Arial" w:eastAsia="Arial" w:hAnsi="Arial"/>
                <w:sz w:val="18"/>
                <w:szCs w:val="18"/>
                <w:color w:val="auto"/>
              </w:rPr>
              <w:t>any State thereof or the District of Columbia (“Foreign Issuer Shares”), then the</w:t>
            </w: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Calculation Agent may choose to apply Cancellation and Payment to that portion of the</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consideration comprising Foreign Issuer Shares.</w:t>
            </w: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Share-for-Other: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8"/>
              </w:rPr>
              <w:t>Cancellation and Payment (Calculation Agent Determination) on that portion of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Other Consideration that consists of cash; Modified Calculation Agent Adjustment 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remainder of the Other Consideration and, for the avoidance of doubt, if the Other</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Consideration includes (or, at the option of a holder of Shares, may include) Foreign</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Issuer Shares, then the Calculation Agent may</w:t>
            </w:r>
          </w:p>
        </w:tc>
      </w:tr>
      <w:tr>
        <w:trPr>
          <w:trHeight w:val="702"/>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6</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5"/>
        </w:trPr>
        <w:tc>
          <w:tcPr>
            <w:tcW w:w="114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4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r>
      <w:tr>
        <w:trPr>
          <w:trHeight w:val="563"/>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choose to apply Cancellation and Payment to that portion of the Other Consideration</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comprising Foreign Issuer Shares.</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Share-for-Combined:</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Component Adjustment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Tender Offer:</w:t>
            </w: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Applicable; provided that (a) Section 12.1(d) of the Equity Definitions is hereby</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amended by replacing the words “10%” in the third line with “50%”.</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Consequences of Tender Offers: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Share-for-Share:</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Share-for-Other: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8"/>
              </w:rPr>
              <w:t>Cancellation and Payment (Calculation Agent Determination) on that portion of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Other Consideration that consists of cash; Modified Calculation Agent Adjustment 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remainder of the Other Consideration and, for the avoidance of doubt, if the Other</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Consideration includes (or, at the option of a holder of Shares, may include) Foreign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0"/>
              </w:rPr>
              <w:t>Issuer Shares, then the Calculation Agent may choose to apply Cancellation and Payment</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to that portion of the Other Consideration comprising Foreign Issuer Shares.</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Share-for-Combined:</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Component Adjustment</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Nationalization, Insolvency or Delisting:</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Cancellation and Payment (Calculation Agent Determination); provided that in addition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to the provisions of Section 12.6(a)(iii) of the Equity Definitions, it shall also constitute a</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Delisting if the Exchange is located in the United States and the Shares are not</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immediately re-listed, re-traded or re-quoted on any of the New York Stock Exchange,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NASDAQ Global Select Market or the NASDAQ Global Market (or their respective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successors); if the Shares are immediately re-listed, re-traded or re-quoted on any such</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0"/>
              </w:rPr>
              <w:t>exchange or quotation system, such exchange or quotation system shall be deemed to be</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the Exchange.</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Additional Disruption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Change in Law:</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Section 12.9(a)(ii) of the Equity Definitions is hereby amended</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by (i) replacing the phrase “the interpretation” in the third line thereof with the phrase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“or announcement or statement of the formal or informal interpretation”, (ii)</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immediately following the word “that” in the sixth line thereof, adding the phrase “as a</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result of one or more of the circumstances listed in (A) and (B) above” and (iii) deleting</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clause (Y) thereof in its entirety.</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Failure to Deliver: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Not Applicable</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Insolvency Filing:</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-6021705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-6021705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1180" w:type="dxa"/>
            <w:vAlign w:val="bottom"/>
          </w:tcPr>
          <w:p>
            <w:pPr>
              <w:ind w:left="660"/>
              <w:spacing w:after="0"/>
              <w:rPr>
                <w:sz w:val="20"/>
                <w:szCs w:val="20"/>
                <w:color w:val="auto"/>
              </w:rPr>
            </w:pPr>
            <w:r>
              <w:rPr>
                <w:rFonts w:ascii="Arial" w:cs="Arial" w:eastAsia="Arial" w:hAnsi="Arial"/>
                <w:sz w:val="18"/>
                <w:szCs w:val="18"/>
                <w:color w:val="auto"/>
              </w:rPr>
              <w:t>(d)</w:t>
            </w:r>
          </w:p>
        </w:tc>
        <w:tc>
          <w:tcPr>
            <w:tcW w:w="2920" w:type="dxa"/>
            <w:vAlign w:val="bottom"/>
          </w:tcPr>
          <w:p>
            <w:pPr>
              <w:ind w:left="100"/>
              <w:spacing w:after="0"/>
              <w:rPr>
                <w:sz w:val="20"/>
                <w:szCs w:val="20"/>
                <w:color w:val="auto"/>
              </w:rPr>
            </w:pPr>
            <w:r>
              <w:rPr>
                <w:rFonts w:ascii="Arial" w:cs="Arial" w:eastAsia="Arial" w:hAnsi="Arial"/>
                <w:sz w:val="18"/>
                <w:szCs w:val="18"/>
                <w:color w:val="auto"/>
              </w:rPr>
              <w:t>Hedging Disruption:</w:t>
            </w:r>
          </w:p>
        </w:tc>
        <w:tc>
          <w:tcPr>
            <w:tcW w:w="7360" w:type="dxa"/>
            <w:vAlign w:val="bottom"/>
          </w:tcPr>
          <w:p>
            <w:pPr>
              <w:ind w:left="860"/>
              <w:spacing w:after="0"/>
              <w:rPr>
                <w:sz w:val="20"/>
                <w:szCs w:val="20"/>
                <w:color w:val="auto"/>
              </w:rPr>
            </w:pPr>
            <w:r>
              <w:rPr>
                <w:rFonts w:ascii="Arial" w:cs="Arial" w:eastAsia="Arial" w:hAnsi="Arial"/>
                <w:sz w:val="18"/>
                <w:szCs w:val="18"/>
                <w:color w:val="auto"/>
              </w:rPr>
              <w:t>Applicable</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(e)</w:t>
            </w:r>
          </w:p>
        </w:tc>
        <w:tc>
          <w:tcPr>
            <w:tcW w:w="2920" w:type="dxa"/>
            <w:vAlign w:val="bottom"/>
          </w:tcPr>
          <w:p>
            <w:pPr>
              <w:ind w:left="100"/>
              <w:spacing w:after="0"/>
              <w:rPr>
                <w:sz w:val="20"/>
                <w:szCs w:val="20"/>
                <w:color w:val="auto"/>
              </w:rPr>
            </w:pPr>
            <w:r>
              <w:rPr>
                <w:rFonts w:ascii="Arial" w:cs="Arial" w:eastAsia="Arial" w:hAnsi="Arial"/>
                <w:sz w:val="18"/>
                <w:szCs w:val="18"/>
                <w:color w:val="auto"/>
              </w:rPr>
              <w:t>Increased Cost of Hedging:</w:t>
            </w:r>
          </w:p>
        </w:tc>
        <w:tc>
          <w:tcPr>
            <w:tcW w:w="7360" w:type="dxa"/>
            <w:vAlign w:val="bottom"/>
          </w:tcPr>
          <w:p>
            <w:pPr>
              <w:ind w:left="860"/>
              <w:spacing w:after="0"/>
              <w:rPr>
                <w:sz w:val="20"/>
                <w:szCs w:val="20"/>
                <w:color w:val="auto"/>
              </w:rPr>
            </w:pPr>
            <w:r>
              <w:rPr>
                <w:rFonts w:ascii="Arial" w:cs="Arial" w:eastAsia="Arial" w:hAnsi="Arial"/>
                <w:sz w:val="18"/>
                <w:szCs w:val="18"/>
                <w:color w:val="auto"/>
              </w:rPr>
              <w:t>Not Applicable</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w w:val="97"/>
              </w:rPr>
              <w:t>Hedging Party:</w:t>
            </w:r>
          </w:p>
        </w:tc>
        <w:tc>
          <w:tcPr>
            <w:tcW w:w="2920" w:type="dxa"/>
            <w:vAlign w:val="bottom"/>
          </w:tcPr>
          <w:p>
            <w:pPr>
              <w:spacing w:after="0"/>
              <w:rPr>
                <w:sz w:val="24"/>
                <w:szCs w:val="24"/>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Dealer</w:t>
            </w: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rPr>
              <w:t>Determining Party:</w:t>
            </w:r>
          </w:p>
        </w:tc>
        <w:tc>
          <w:tcPr>
            <w:tcW w:w="7360" w:type="dxa"/>
            <w:vAlign w:val="bottom"/>
          </w:tcPr>
          <w:p>
            <w:pPr>
              <w:ind w:left="860"/>
              <w:spacing w:after="0"/>
              <w:rPr>
                <w:sz w:val="20"/>
                <w:szCs w:val="20"/>
                <w:color w:val="auto"/>
              </w:rPr>
            </w:pPr>
            <w:r>
              <w:rPr>
                <w:rFonts w:ascii="Arial" w:cs="Arial" w:eastAsia="Arial" w:hAnsi="Arial"/>
                <w:sz w:val="18"/>
                <w:szCs w:val="18"/>
                <w:color w:val="auto"/>
              </w:rPr>
              <w:t>Dealer</w:t>
            </w:r>
          </w:p>
        </w:tc>
      </w:tr>
      <w:tr>
        <w:trPr>
          <w:trHeight w:val="702"/>
        </w:trPr>
        <w:tc>
          <w:tcPr>
            <w:tcW w:w="1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60" w:type="dxa"/>
            <w:vAlign w:val="bottom"/>
          </w:tcPr>
          <w:p>
            <w:pPr>
              <w:ind w:left="1560"/>
              <w:spacing w:after="0"/>
              <w:rPr>
                <w:sz w:val="20"/>
                <w:szCs w:val="20"/>
                <w:color w:val="auto"/>
              </w:rPr>
            </w:pPr>
            <w:r>
              <w:rPr>
                <w:rFonts w:ascii="Arial" w:cs="Arial" w:eastAsia="Arial" w:hAnsi="Arial"/>
                <w:sz w:val="18"/>
                <w:szCs w:val="18"/>
                <w:color w:val="auto"/>
              </w:rPr>
              <w:t>7</w:t>
            </w:r>
          </w:p>
        </w:tc>
      </w:tr>
      <w:tr>
        <w:trPr>
          <w:trHeight w:val="375"/>
        </w:trPr>
        <w:tc>
          <w:tcPr>
            <w:tcW w:w="118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73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25"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4240" w:space="720"/>
            <w:col w:w="6500"/>
          </w:cols>
          <w:pgMar w:left="240" w:top="341" w:right="199" w:bottom="125" w:gutter="0" w:footer="0" w:header="0"/>
          <w:type w:val="continuous"/>
        </w:sectPr>
      </w:pPr>
    </w:p>
    <w:p>
      <w:pPr>
        <w:spacing w:after="0" w:line="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Agreements and Acknowledgements Regarding Hedging Activities: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452" w:lineRule="exact"/>
        <w:rPr>
          <w:sz w:val="20"/>
          <w:szCs w:val="20"/>
          <w:color w:val="auto"/>
        </w:rPr>
      </w:pPr>
    </w:p>
    <w:p>
      <w:pPr>
        <w:sectPr>
          <w:pgSz w:w="11900" w:h="16838" w:orient="portrait"/>
          <w:cols w:equalWidth="0" w:num="2">
            <w:col w:w="4240" w:space="720"/>
            <w:col w:w="6500"/>
          </w:cols>
          <w:pgMar w:left="240" w:top="341" w:right="199" w:bottom="125" w:gutter="0" w:footer="0" w:header="0"/>
          <w:type w:val="continuous"/>
        </w:sectPr>
      </w:pPr>
    </w:p>
    <w:p>
      <w:pPr>
        <w:spacing w:after="0"/>
        <w:rPr>
          <w:sz w:val="20"/>
          <w:szCs w:val="20"/>
          <w:color w:val="auto"/>
        </w:rPr>
      </w:pPr>
      <w:r>
        <w:rPr>
          <w:rFonts w:ascii="Arial" w:cs="Arial" w:eastAsia="Arial" w:hAnsi="Arial"/>
          <w:sz w:val="16"/>
          <w:szCs w:val="16"/>
          <w:color w:val="auto"/>
        </w:rPr>
        <w:t>Additional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4240" w:space="720"/>
            <w:col w:w="6500"/>
          </w:cols>
          <w:pgMar w:left="240" w:top="341" w:right="199" w:bottom="125"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Dealer Payment Instructions: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Dealer.</w:t>
      </w:r>
    </w:p>
    <w:p>
      <w:pPr>
        <w:spacing w:after="0" w:line="200" w:lineRule="exact"/>
        <w:rPr>
          <w:sz w:val="20"/>
          <w:szCs w:val="20"/>
          <w:color w:val="auto"/>
        </w:rPr>
      </w:pPr>
    </w:p>
    <w:p>
      <w:pPr>
        <w:sectPr>
          <w:pgSz w:w="11900" w:h="16838" w:orient="portrait"/>
          <w:cols w:equalWidth="0" w:num="2">
            <w:col w:w="4240" w:space="720"/>
            <w:col w:w="6500"/>
          </w:cols>
          <w:pgMar w:left="240" w:top="341" w:right="199" w:bottom="125"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Counterparty Payment and Delivery Instructions: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Counterparty.</w:t>
      </w:r>
    </w:p>
    <w:p>
      <w:pPr>
        <w:spacing w:after="0" w:line="200" w:lineRule="exact"/>
        <w:rPr>
          <w:sz w:val="20"/>
          <w:szCs w:val="20"/>
          <w:color w:val="auto"/>
        </w:rPr>
      </w:pPr>
    </w:p>
    <w:p>
      <w:pPr>
        <w:sectPr>
          <w:pgSz w:w="11900" w:h="16838" w:orient="portrait"/>
          <w:cols w:equalWidth="0" w:num="2">
            <w:col w:w="4240" w:space="720"/>
            <w:col w:w="6500"/>
          </w:cols>
          <w:pgMar w:left="240" w:top="341" w:right="199" w:bottom="125" w:gutter="0" w:footer="0" w:header="0"/>
          <w:type w:val="continuous"/>
        </w:sectPr>
      </w:pPr>
    </w:p>
    <w:p>
      <w:pPr>
        <w:spacing w:after="0" w:line="102" w:lineRule="exact"/>
        <w:rPr>
          <w:sz w:val="20"/>
          <w:szCs w:val="20"/>
          <w:color w:val="auto"/>
        </w:rPr>
      </w:pPr>
    </w:p>
    <w:p>
      <w:pPr>
        <w:ind w:right="160" w:firstLine="656"/>
        <w:spacing w:after="0" w:line="273" w:lineRule="auto"/>
        <w:tabs>
          <w:tab w:leader="none" w:pos="97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Calculation Agent</w:t>
      </w:r>
      <w:r>
        <w:rPr>
          <w:rFonts w:ascii="Arial" w:cs="Arial" w:eastAsia="Arial" w:hAnsi="Arial"/>
          <w:sz w:val="17"/>
          <w:szCs w:val="17"/>
          <w:color w:val="auto"/>
        </w:rPr>
        <w:t xml:space="preserve">: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determinations made by the Calculation Agent shall be made in good faith and in a commercially reasonable manner. Following any calculation by the Calculation Agent hereunder, upon a prior written request by Issuer, the Calculation Agent will provide to Counterparty by e-mail to the e-mail address provided by Counterparty in such a prior written request a report (in a commonly used file format for the storage and manipulation of financial data) displaying in reasonable detail the basis for such calculation;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transferee of the Transaction in accordance with the terms of this Confirmation shall act as Calculation Agent with respect to such transferred Transaction without the prior consent of Counterparty, such consent not to be unreasonably withheld.</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sz w:val="20"/>
          <w:szCs w:val="20"/>
          <w:color w:val="auto"/>
        </w:rPr>
      </w:pPr>
    </w:p>
    <w:p>
      <w:pPr>
        <w:ind w:left="1280" w:hanging="624"/>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Office of Dealer for this Transaction is: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Office of Counterparty for this Transaction is: 8000 S. Federal Bay, Boise, Idaho 83716-9632.</w:t>
      </w:r>
    </w:p>
    <w:p>
      <w:pPr>
        <w:spacing w:after="0" w:line="225" w:lineRule="exact"/>
        <w:rPr>
          <w:sz w:val="20"/>
          <w:szCs w:val="20"/>
          <w:color w:val="auto"/>
        </w:rPr>
      </w:pPr>
    </w:p>
    <w:p>
      <w:pPr>
        <w:ind w:left="980" w:hanging="32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1280" w:hanging="624"/>
        <w:spacing w:after="0"/>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460"/>
          </w:cols>
          <w:pgMar w:left="240" w:top="341" w:right="199" w:bottom="125" w:gutter="0" w:footer="0" w:header="0"/>
          <w:type w:val="continuous"/>
        </w:sectPr>
      </w:pP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2080" w:space="540"/>
            <w:col w:w="8840"/>
          </w:cols>
          <w:pgMar w:left="240" w:top="341" w:right="199" w:bottom="125" w:gutter="0" w:footer="0" w:header="0"/>
          <w:type w:val="continuous"/>
        </w:sectPr>
      </w:pPr>
    </w:p>
    <w:p>
      <w:pPr>
        <w:spacing w:after="0" w:line="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Wilson Sonsini Goodrich &amp; Rosati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 Fore,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493-9300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493-6811</w:t>
      </w:r>
    </w:p>
    <w:p>
      <w:pPr>
        <w:spacing w:after="0" w:line="200" w:lineRule="exact"/>
        <w:rPr>
          <w:sz w:val="20"/>
          <w:szCs w:val="20"/>
          <w:color w:val="auto"/>
        </w:rPr>
      </w:pPr>
    </w:p>
    <w:p>
      <w:pPr>
        <w:sectPr>
          <w:pgSz w:w="11900" w:h="16838" w:orient="portrait"/>
          <w:cols w:equalWidth="0" w:num="2">
            <w:col w:w="2380" w:space="240"/>
            <w:col w:w="8840"/>
          </w:cols>
          <w:pgMar w:left="240" w:top="341" w:right="199" w:bottom="125" w:gutter="0" w:footer="0" w:header="0"/>
          <w:type w:val="continuous"/>
        </w:sectPr>
      </w:pPr>
    </w:p>
    <w:p>
      <w:pPr>
        <w:spacing w:after="0" w:line="11" w:lineRule="exact"/>
        <w:rPr>
          <w:sz w:val="20"/>
          <w:szCs w:val="20"/>
          <w:color w:val="auto"/>
        </w:rPr>
      </w:pPr>
    </w:p>
    <w:p>
      <w:pPr>
        <w:ind w:left="1280" w:hanging="624"/>
        <w:spacing w:after="0"/>
        <w:tabs>
          <w:tab w:leader="none" w:pos="12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Address for notices or communications to Dealer:</w:t>
      </w:r>
    </w:p>
    <w:p>
      <w:pPr>
        <w:sectPr>
          <w:pgSz w:w="11900" w:h="16838" w:orient="portrait"/>
          <w:cols w:equalWidth="0" w:num="1">
            <w:col w:w="11460"/>
          </w:cols>
          <w:pgMar w:left="240" w:top="341" w:right="199" w:bottom="125" w:gutter="0" w:footer="0" w:header="0"/>
          <w:type w:val="continuous"/>
        </w:sect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International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Seventh Avenue, 29th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Poselle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276-2427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507-0724</w:t>
      </w:r>
    </w:p>
    <w:p>
      <w:pPr>
        <w:spacing w:after="0" w:line="200" w:lineRule="exact"/>
        <w:rPr>
          <w:sz w:val="20"/>
          <w:szCs w:val="20"/>
          <w:color w:val="auto"/>
        </w:rPr>
      </w:pPr>
    </w:p>
    <w:p>
      <w:pPr>
        <w:sectPr>
          <w:pgSz w:w="11900" w:h="16838" w:orient="portrait"/>
          <w:cols w:equalWidth="0" w:num="2">
            <w:col w:w="2080" w:space="540"/>
            <w:col w:w="8840"/>
          </w:cols>
          <w:pgMar w:left="240" w:top="341" w:right="199" w:bottom="125" w:gutter="0" w:footer="0" w:header="0"/>
          <w:type w:val="continuous"/>
        </w:sectPr>
      </w:pPr>
    </w:p>
    <w:p>
      <w:pPr>
        <w:spacing w:after="0" w:line="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Law Division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Morgan Stanley</w:t>
      </w:r>
    </w:p>
    <w:p>
      <w:pPr>
        <w:spacing w:after="0" w:line="200" w:lineRule="exact"/>
        <w:rPr>
          <w:sz w:val="20"/>
          <w:szCs w:val="20"/>
          <w:color w:val="auto"/>
        </w:rPr>
      </w:pPr>
    </w:p>
    <w:p>
      <w:pPr>
        <w:sectPr>
          <w:pgSz w:w="11900" w:h="16838" w:orient="portrait"/>
          <w:cols w:equalWidth="0" w:num="2">
            <w:col w:w="2380" w:space="240"/>
            <w:col w:w="8840"/>
          </w:cols>
          <w:pgMar w:left="240" w:top="341" w:right="199" w:bottom="125" w:gutter="0" w:footer="0" w:header="0"/>
          <w:type w:val="continuous"/>
        </w:sect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25" w:gutter="0" w:footer="0" w:header="0"/>
          <w:type w:val="continuous"/>
        </w:sectPr>
      </w:pPr>
    </w:p>
    <w:bookmarkStart w:id="61" w:name="page62"/>
    <w:bookmarkEnd w:id="61"/>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1221 Avenue of the Americans, 40</w:t>
      </w:r>
      <w:r>
        <w:rPr>
          <w:rFonts w:ascii="Arial" w:cs="Arial" w:eastAsia="Arial" w:hAnsi="Arial"/>
          <w:sz w:val="11"/>
          <w:szCs w:val="11"/>
          <w:color w:val="auto"/>
        </w:rPr>
        <w:t>th</w:t>
      </w:r>
      <w:r>
        <w:rPr>
          <w:rFonts w:ascii="Arial" w:cs="Arial" w:eastAsia="Arial" w:hAnsi="Arial"/>
          <w:sz w:val="16"/>
          <w:szCs w:val="16"/>
          <w:color w:val="auto"/>
        </w:rPr>
        <w:t xml:space="preserve">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Anthony Cicia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762-4828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507-4338</w:t>
      </w:r>
    </w:p>
    <w:p>
      <w:pPr>
        <w:spacing w:after="0" w:line="200" w:lineRule="exact"/>
        <w:rPr>
          <w:sz w:val="20"/>
          <w:szCs w:val="20"/>
          <w:color w:val="auto"/>
        </w:rPr>
      </w:pPr>
    </w:p>
    <w:p>
      <w:pPr>
        <w:sectPr>
          <w:pgSz w:w="11900" w:h="16838" w:orient="portrait"/>
          <w:cols w:equalWidth="0" w:num="2">
            <w:col w:w="2100" w:space="560"/>
            <w:col w:w="8760"/>
          </w:cols>
          <w:pgMar w:left="240" w:top="395" w:right="239" w:bottom="0" w:gutter="0" w:footer="0" w:header="0"/>
        </w:sectPr>
      </w:pPr>
    </w:p>
    <w:p>
      <w:pPr>
        <w:spacing w:after="0" w:line="65"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right="700" w:firstLine="656"/>
        <w:spacing w:after="0" w:line="277" w:lineRule="auto"/>
        <w:tabs>
          <w:tab w:leader="none" w:pos="12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60" w:firstLine="645"/>
        <w:spacing w:after="0" w:line="255" w:lineRule="auto"/>
        <w:tabs>
          <w:tab w:leader="none" w:pos="193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93" w:lineRule="exact"/>
        <w:rPr>
          <w:rFonts w:ascii="Arial" w:cs="Arial" w:eastAsia="Arial" w:hAnsi="Arial"/>
          <w:sz w:val="18"/>
          <w:szCs w:val="18"/>
          <w:color w:val="auto"/>
        </w:rPr>
      </w:pPr>
    </w:p>
    <w:p>
      <w:pPr>
        <w:ind w:left="660" w:firstLine="645"/>
        <w:spacing w:after="0" w:line="279" w:lineRule="auto"/>
        <w:tabs>
          <w:tab w:leader="none" w:pos="194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Counterparty intends the Transaction to qualify as an equity instrument for purposes of EITF Issue No. 00-19. Without limiting the generality of Section 13.1 of the Equity Definitions, Counterparty acknowledges that Dealer is not making any representations or warranties with respect to the treatment of the Transaction under any accounting standards including FASB Statements 128, 133 ( as amended), 149 or 150, EITF Issue No. 00-19, 01-6 or 03-6 (or any successor issue statements) or under FASB’s Liabilities &amp; Equity Project.</w:t>
      </w:r>
    </w:p>
    <w:p>
      <w:pPr>
        <w:spacing w:after="0" w:line="171" w:lineRule="exact"/>
        <w:rPr>
          <w:rFonts w:ascii="Arial" w:cs="Arial" w:eastAsia="Arial" w:hAnsi="Arial"/>
          <w:sz w:val="17"/>
          <w:szCs w:val="17"/>
          <w:color w:val="auto"/>
        </w:rPr>
      </w:pPr>
    </w:p>
    <w:p>
      <w:pPr>
        <w:ind w:left="660" w:right="480" w:firstLine="645"/>
        <w:spacing w:after="0" w:line="277" w:lineRule="auto"/>
        <w:tabs>
          <w:tab w:leader="none" w:pos="196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Prior to the Trade Date, Counterparty shall deliver to Dealer a resolution of Counterparty’s board of directors authorizing the Transaction and such other certificate or certificates as Dealer shall reasonably request.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5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3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195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60" w:right="140" w:firstLine="645"/>
        <w:spacing w:after="0" w:line="291" w:lineRule="auto"/>
        <w:tabs>
          <w:tab w:leader="none" w:pos="196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On the Trade Date and on any Additional Premium Payment Date (A) the assets of Counterparty at their fair valuation exceed the liabilities of Counterparty, including contingent liabilities, (B) the capital of Counterparty is adequate to conduct the business of Counterparty and</w:t>
      </w:r>
    </w:p>
    <w:p>
      <w:pPr>
        <w:ind w:left="660" w:right="320"/>
        <w:spacing w:after="0" w:line="261" w:lineRule="auto"/>
        <w:rPr>
          <w:rFonts w:ascii="Arial" w:cs="Arial" w:eastAsia="Arial" w:hAnsi="Arial"/>
          <w:sz w:val="16"/>
          <w:szCs w:val="16"/>
          <w:color w:val="auto"/>
        </w:rPr>
      </w:pPr>
      <w:r>
        <w:rPr>
          <w:rFonts w:ascii="Arial" w:cs="Arial" w:eastAsia="Arial" w:hAnsi="Arial"/>
          <w:sz w:val="18"/>
          <w:szCs w:val="18"/>
          <w:color w:val="auto"/>
        </w:rPr>
        <w:t>(C) 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6"/>
          <w:szCs w:val="16"/>
          <w:color w:val="auto"/>
        </w:rPr>
      </w:pPr>
    </w:p>
    <w:p>
      <w:pPr>
        <w:ind w:left="660" w:right="20" w:firstLine="645"/>
        <w:spacing w:after="0" w:line="255" w:lineRule="auto"/>
        <w:tabs>
          <w:tab w:leader="none" w:pos="197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During each period starting on the first Expiration Date and ending on the last Expiration Date, in each case sharing a common Final Disruption Date (each a “</w:t>
      </w:r>
      <w:r>
        <w:rPr>
          <w:rFonts w:ascii="Arial" w:cs="Arial" w:eastAsia="Arial" w:hAnsi="Arial"/>
          <w:sz w:val="18"/>
          <w:szCs w:val="18"/>
          <w:u w:val="single" w:color="auto"/>
          <w:color w:val="auto"/>
        </w:rPr>
        <w:t>Settlement Period</w:t>
      </w:r>
      <w:r>
        <w:rPr>
          <w:rFonts w:ascii="Arial" w:cs="Arial" w:eastAsia="Arial" w:hAnsi="Arial"/>
          <w:sz w:val="18"/>
          <w:szCs w:val="18"/>
          <w:color w:val="auto"/>
        </w:rPr>
        <w:t>”), the Shares or securities that are convertible into, or exchangeable or exercisable for Shares shall not be, subject to a “restricted period,” as such term is defined in Regulation M under the Exchange Act (“</w:t>
      </w:r>
      <w:r>
        <w:rPr>
          <w:rFonts w:ascii="Arial" w:cs="Arial" w:eastAsia="Arial" w:hAnsi="Arial"/>
          <w:sz w:val="18"/>
          <w:szCs w:val="18"/>
          <w:u w:val="single" w:color="auto"/>
          <w:color w:val="auto"/>
        </w:rPr>
        <w:t>Regulation M</w:t>
      </w:r>
      <w:r>
        <w:rPr>
          <w:rFonts w:ascii="Arial" w:cs="Arial" w:eastAsia="Arial" w:hAnsi="Arial"/>
          <w:sz w:val="18"/>
          <w:szCs w:val="18"/>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relevant Settlement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120" w:firstLine="645"/>
        <w:spacing w:after="0" w:line="257" w:lineRule="auto"/>
        <w:tabs>
          <w:tab w:leader="none" w:pos="198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During each Settlement Period, neither Counterparty nor any “affiliate” or “affiliated purchaser” (each as defined in Rule 10b-18 under the Exchange Act (“</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8" w:lineRule="exact"/>
        <w:rPr>
          <w:rFonts w:ascii="Arial" w:cs="Arial" w:eastAsia="Arial" w:hAnsi="Arial"/>
          <w:sz w:val="18"/>
          <w:szCs w:val="18"/>
          <w:color w:val="auto"/>
        </w:rPr>
      </w:pPr>
    </w:p>
    <w:p>
      <w:pPr>
        <w:ind w:right="260" w:firstLine="656"/>
        <w:spacing w:after="0" w:line="277" w:lineRule="auto"/>
        <w:tabs>
          <w:tab w:leader="none" w:pos="127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right="20" w:firstLine="656"/>
        <w:spacing w:after="0" w:line="287" w:lineRule="auto"/>
        <w:tabs>
          <w:tab w:leader="none" w:pos="126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by virtue of Section 4(2) thereof. Accordingly, Counterparty represents and warrants to Dealer and Dealer represents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without a view to the distribution or resale thereof, (iv) the assignment, transfer or other disposition of the Transaction has not been and will not be registered under the Securities Act and is restricted under this Confirmation, the Securities Act and state securities laws,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ectPr>
          <w:pgSz w:w="11900" w:h="16838" w:orient="portrait"/>
          <w:cols w:equalWidth="0" w:num="1">
            <w:col w:w="11420"/>
          </w:cols>
          <w:pgMar w:left="240" w:top="395" w:right="239" w:bottom="0" w:gutter="0" w:footer="0" w:header="0"/>
          <w:type w:val="continuous"/>
        </w:sectPr>
      </w:pPr>
    </w:p>
    <w:bookmarkStart w:id="62" w:name="page63"/>
    <w:bookmarkEnd w:id="62"/>
    <w:p>
      <w:pPr>
        <w:spacing w:after="0" w:line="49" w:lineRule="exact"/>
        <w:rPr>
          <w:sz w:val="20"/>
          <w:szCs w:val="20"/>
          <w:color w:val="auto"/>
        </w:rPr>
      </w:pPr>
    </w:p>
    <w:p>
      <w:pPr>
        <w:ind w:right="240" w:firstLine="656"/>
        <w:spacing w:after="0" w:line="291" w:lineRule="auto"/>
        <w:tabs>
          <w:tab w:leader="none" w:pos="127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and/or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is a “settlement payment,” as such term is defined in Section 741(8) of the Bankruptcy Code, and (ii) a “swap agreement,” as such term is defined in Section 101(53B) of the Bankruptcy Code, with respect to which each payment and delivery hereunder is a “transfer,” as such term is defined in Section 101(54) of the Bankruptcy Code, and (B) that Dealer is entitled to the protections afforded by, among other sections, Sections 362(b)(6), 362(b)(17), 546(e), 546(g), 555 and 560 of the Bankruptcy Code.</w:t>
      </w:r>
    </w:p>
    <w:p>
      <w:pPr>
        <w:spacing w:after="0" w:line="167" w:lineRule="exact"/>
        <w:rPr>
          <w:rFonts w:ascii="Arial" w:cs="Arial" w:eastAsia="Arial" w:hAnsi="Arial"/>
          <w:sz w:val="16"/>
          <w:szCs w:val="16"/>
          <w:color w:val="auto"/>
        </w:rPr>
      </w:pPr>
    </w:p>
    <w:p>
      <w:pPr>
        <w:ind w:firstLine="656"/>
        <w:spacing w:after="0" w:line="273" w:lineRule="auto"/>
        <w:tabs>
          <w:tab w:leader="none" w:pos="126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Counterparty hereby agrees and acknowledges that the Transaction has not been registered with the Securities and Exchange Commission or any state securities commission and that the Options are being written by Dealer to Counterparty in reliance upon exemptions from any such registration requirements. Counterparty acknowledges that all Options acquired from Dealer will be acquired for investment purposes only and not for the purpose of resale or other transfer except in compliance with the requirements of the Securities Act. Counterparty will not sell or otherwise transfer any Option or any interest therein except in compliance with the requirements of the Securities Act and any subsequent offer or sale of the Options will be solely for Counterparty’s account and not as part of a distribution that would be in violation of the Securities Act.</w:t>
      </w:r>
    </w:p>
    <w:p>
      <w:pPr>
        <w:spacing w:after="0" w:line="178" w:lineRule="exact"/>
        <w:rPr>
          <w:sz w:val="20"/>
          <w:szCs w:val="20"/>
          <w:color w:val="auto"/>
        </w:rPr>
      </w:pPr>
    </w:p>
    <w:p>
      <w:pPr>
        <w:ind w:right="60" w:firstLine="656"/>
        <w:spacing w:after="0" w:line="270" w:lineRule="auto"/>
        <w:tabs>
          <w:tab w:leader="none" w:pos="974"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Repurchase Notices</w:t>
      </w:r>
      <w:r>
        <w:rPr>
          <w:rFonts w:ascii="Arial" w:cs="Arial" w:eastAsia="Arial" w:hAnsi="Arial"/>
          <w:sz w:val="17"/>
          <w:szCs w:val="17"/>
          <w:color w:val="auto"/>
        </w:rPr>
        <w:t>. Counterparty shall, on any day on which Counterparty effects any repurchase of Shares, promptly give Dealer a written notice of such repurchase (a “</w:t>
      </w:r>
      <w:r>
        <w:rPr>
          <w:rFonts w:ascii="Arial" w:cs="Arial" w:eastAsia="Arial" w:hAnsi="Arial"/>
          <w:sz w:val="17"/>
          <w:szCs w:val="17"/>
          <w:u w:val="single" w:color="auto"/>
          <w:color w:val="auto"/>
        </w:rPr>
        <w:t>Repurchase Notice</w:t>
      </w:r>
      <w:r>
        <w:rPr>
          <w:rFonts w:ascii="Arial" w:cs="Arial" w:eastAsia="Arial" w:hAnsi="Arial"/>
          <w:sz w:val="17"/>
          <w:szCs w:val="17"/>
          <w:color w:val="auto"/>
        </w:rPr>
        <w:t>”) on such day if following such repurchase, the Notice Percentage as determined on such day is greater by 0.5% than the Notice Percentage included in the immediately preceding Repurchase Notice (or, in the case of the first such Repurchase Notice or the first such Repurchase Notice after the initial Final Disruption Date, greater than 4.5%. The “</w:t>
      </w:r>
      <w:r>
        <w:rPr>
          <w:rFonts w:ascii="Arial" w:cs="Arial" w:eastAsia="Arial" w:hAnsi="Arial"/>
          <w:sz w:val="17"/>
          <w:szCs w:val="17"/>
          <w:u w:val="single" w:color="auto"/>
          <w:color w:val="auto"/>
        </w:rPr>
        <w:t>Notice Percentage</w:t>
      </w:r>
      <w:r>
        <w:rPr>
          <w:rFonts w:ascii="Arial" w:cs="Arial" w:eastAsia="Arial" w:hAnsi="Arial"/>
          <w:sz w:val="17"/>
          <w:szCs w:val="17"/>
          <w:color w:val="auto"/>
        </w:rPr>
        <w:t>” as of any day is the fraction (A) the numerator of which is the aggregate of the Number of Shares for all Components under this Transaction and all other Transactions and (B) the denominator of which is the number of Shares outstanding on such day. In the event that Counterparty fails to provide Dealer with a Repurchase Notice on the day and in the manner specified in this Section 7, then Counterparty to the extent permitted by law agrees to indemnify and hold harmless Dealer, its affiliates and their respective directors, officers, employees, agents and controlling persons (Dealer and each such person being an “Indemnified Person”) from and against any and all losses (including losses relating to Dealer’s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Person is subject, including without limitation, Section 16 of the Exchange Act), relating to or arising out of such failure.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In addition, Counterparty will reimburse any Indemnified Person for all reasonable expenses (including reasonable counsel fees and expenses) as they are incurred (after notice to Counterparty) in connection with the investigation of, preparation for or defense or settlement of any pending or threatened claim or any action, suit or proceeding (including any governmental or regulatory investigation) arising therefrom, whether or not such Indemnified Person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Issuer will not be liable under this indemnity provision to the extent any loss, claim, damage, liability or expense is found in a final judgment by a court to have resulted from Dealer’s gross negligence or willful misconduct.</w:t>
      </w:r>
    </w:p>
    <w:p>
      <w:pPr>
        <w:spacing w:after="0" w:line="188" w:lineRule="exact"/>
        <w:rPr>
          <w:sz w:val="20"/>
          <w:szCs w:val="20"/>
          <w:color w:val="auto"/>
        </w:rPr>
      </w:pPr>
    </w:p>
    <w:p>
      <w:pPr>
        <w:ind w:right="40" w:firstLine="656"/>
        <w:spacing w:after="0" w:line="267" w:lineRule="auto"/>
        <w:tabs>
          <w:tab w:leader="none" w:pos="974"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Transfer or Assignment</w:t>
      </w:r>
      <w:r>
        <w:rPr>
          <w:rFonts w:ascii="Arial" w:cs="Arial" w:eastAsia="Arial" w:hAnsi="Arial"/>
          <w:sz w:val="17"/>
          <w:szCs w:val="17"/>
          <w:color w:val="auto"/>
        </w:rPr>
        <w:t xml:space="preserve">. Neither party may transfer any of its rights or obligations under this Transaction without the prior written consent of the non-transferring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Equity Percentage exceeds 9%, Dealer may immediately, in its sole discretion, transfer or assign a number of Options sufficient to reduce the Equity Percentage to 8.5% to any third party with (or with a guarantor that has) a rating for its long-term, unsecured and unsubordinated indebtedness of AA or better by Standard &amp; Poor’s Ratings Services or its successor (“</w:t>
      </w:r>
      <w:r>
        <w:rPr>
          <w:rFonts w:ascii="Arial" w:cs="Arial" w:eastAsia="Arial" w:hAnsi="Arial"/>
          <w:sz w:val="17"/>
          <w:szCs w:val="17"/>
          <w:u w:val="single" w:color="auto"/>
          <w:color w:val="auto"/>
        </w:rPr>
        <w:t>S&amp;P</w:t>
      </w:r>
      <w:r>
        <w:rPr>
          <w:rFonts w:ascii="Arial" w:cs="Arial" w:eastAsia="Arial" w:hAnsi="Arial"/>
          <w:sz w:val="17"/>
          <w:szCs w:val="17"/>
          <w:color w:val="auto"/>
        </w:rPr>
        <w:t>”), or Aa2 or better by Moody’s Investors Service, Inc. (“</w:t>
      </w:r>
      <w:r>
        <w:rPr>
          <w:rFonts w:ascii="Arial" w:cs="Arial" w:eastAsia="Arial" w:hAnsi="Arial"/>
          <w:sz w:val="17"/>
          <w:szCs w:val="17"/>
          <w:u w:val="single" w:color="auto"/>
          <w:color w:val="auto"/>
        </w:rPr>
        <w:t>Moody’s</w:t>
      </w:r>
      <w:r>
        <w:rPr>
          <w:rFonts w:ascii="Arial" w:cs="Arial" w:eastAsia="Arial" w:hAnsi="Arial"/>
          <w:sz w:val="17"/>
          <w:szCs w:val="17"/>
          <w:color w:val="auto"/>
        </w:rPr>
        <w:t>”) or, if either S&amp;P or Moody’s ceases to rate such debt, at least an equivalent rating or better by a substitute agency rating mutually agreed by Counterparty and Dealer. If, in the discretion of Dealer, Dealer is unable to effect such transfer or assignment after its commercially reasonable efforts on pricing terms reasonably acceptable to Dealer, Dealer may designate any Scheduled Trading Day as an Early Termination Date and an Additional Termination Date shall be deemed to occur with respect to a portion (the “</w:t>
      </w:r>
      <w:r>
        <w:rPr>
          <w:rFonts w:ascii="Arial" w:cs="Arial" w:eastAsia="Arial" w:hAnsi="Arial"/>
          <w:sz w:val="17"/>
          <w:szCs w:val="17"/>
          <w:u w:val="single" w:color="auto"/>
          <w:color w:val="auto"/>
        </w:rPr>
        <w:t>Terminated Portion</w:t>
      </w:r>
      <w:r>
        <w:rPr>
          <w:rFonts w:ascii="Arial" w:cs="Arial" w:eastAsia="Arial" w:hAnsi="Arial"/>
          <w:sz w:val="17"/>
          <w:szCs w:val="17"/>
          <w:color w:val="auto"/>
        </w:rPr>
        <w:t>”) of this Transaction, allocated to Components as Dealer determines in its discretion, such that the Equity Percentage following such partial termination will be equal to or less than 8.5%. In the event that Dealer so designates an Early Termination Date with respect to a portion of this Transaction, a payment shall be made pursuant to Section 6 of the Agreement as if (i) an Early Termination Date had been designated in respect of a Transaction having terms identical to this Transaction and a Number of Options equal to the Terminated Portion, (ii) Counterparty shall be the Affected Party with respect to such partial termination and (iii) such portion of this Transaction shall be the only Affected Transaction. The “</w:t>
      </w:r>
      <w:r>
        <w:rPr>
          <w:rFonts w:ascii="Arial" w:cs="Arial" w:eastAsia="Arial" w:hAnsi="Arial"/>
          <w:sz w:val="17"/>
          <w:szCs w:val="17"/>
          <w:u w:val="single" w:color="auto"/>
          <w:color w:val="auto"/>
        </w:rPr>
        <w:t>Equity Percentage</w:t>
      </w:r>
      <w:r>
        <w:rPr>
          <w:rFonts w:ascii="Arial" w:cs="Arial" w:eastAsia="Arial" w:hAnsi="Arial"/>
          <w:sz w:val="17"/>
          <w:szCs w:val="17"/>
          <w:color w:val="auto"/>
        </w:rPr>
        <w:t>” as of any day is the fraction (A) the numerator of which is the number of Shares that Dealer or any of its affiliates that are subject to aggregation with Dealer beneficially own (within the meaning of Section 13 of the Exchange Act) on such day and (B) the denominator of which is the number of Shares outstanding on such day. Notwithstanding Section 7 of the Agreement, Counterparty may assign its rights and obligations under this Transaction, in whole or in part, on terms reasonably acceptable to both parties, without any payment being owed from Counterparty to Dealer.</w:t>
      </w:r>
    </w:p>
    <w:p>
      <w:pPr>
        <w:spacing w:after="0" w:line="192" w:lineRule="exact"/>
        <w:rPr>
          <w:rFonts w:ascii="Arial" w:cs="Arial" w:eastAsia="Arial" w:hAnsi="Arial"/>
          <w:sz w:val="17"/>
          <w:szCs w:val="17"/>
          <w:color w:val="auto"/>
        </w:rPr>
      </w:pPr>
    </w:p>
    <w:p>
      <w:pPr>
        <w:ind w:firstLine="656"/>
        <w:spacing w:after="0" w:line="257" w:lineRule="auto"/>
        <w:tabs>
          <w:tab w:leader="none" w:pos="97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Extension of Settlement</w:t>
      </w:r>
      <w:r>
        <w:rPr>
          <w:rFonts w:ascii="Arial" w:cs="Arial" w:eastAsia="Arial" w:hAnsi="Arial"/>
          <w:sz w:val="18"/>
          <w:szCs w:val="18"/>
          <w:color w:val="auto"/>
        </w:rPr>
        <w:t>. Dealer may divide any Component into additional Components and designate the Expiration Date, the Final Disruption Date and the Number of Options for each such Component if Dealer determines, in its reasonable discretion, that such further division is necessary or advisable to preserve Dealer’s hedging activity hereunder in light of existing liquidity conditions or to enable Dealer to effect purchases of Shares in connection with its hedging activity hereunder in a manner that would, if Dealer were Counterparty or an affiliated purchaser of Counterparty, be compliant with applicable legal and regulatory requirements.</w:t>
      </w:r>
    </w:p>
    <w:p>
      <w:pPr>
        <w:spacing w:after="0" w:line="188" w:lineRule="exact"/>
        <w:rPr>
          <w:rFonts w:ascii="Arial" w:cs="Arial" w:eastAsia="Arial" w:hAnsi="Arial"/>
          <w:sz w:val="18"/>
          <w:szCs w:val="18"/>
          <w:color w:val="auto"/>
        </w:rPr>
      </w:pPr>
    </w:p>
    <w:p>
      <w:pPr>
        <w:ind w:right="240" w:firstLine="656"/>
        <w:spacing w:after="0" w:line="264" w:lineRule="auto"/>
        <w:tabs>
          <w:tab w:leader="none" w:pos="107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Counterparty may elect to terminate this Transaction, in whole or in part, prior to the relevant Expiration Date, on terms acceptable to both parties, and, if such termination occurs following the payment of the premiums for all Components, without any payment being owed from Counterparty to Dealer.</w:t>
      </w:r>
    </w:p>
    <w:p>
      <w:pPr>
        <w:spacing w:after="0" w:line="181" w:lineRule="exact"/>
        <w:rPr>
          <w:rFonts w:ascii="Arial" w:cs="Arial" w:eastAsia="Arial" w:hAnsi="Arial"/>
          <w:sz w:val="18"/>
          <w:szCs w:val="18"/>
          <w:color w:val="auto"/>
        </w:rPr>
      </w:pPr>
    </w:p>
    <w:p>
      <w:pPr>
        <w:ind w:right="80" w:firstLine="656"/>
        <w:spacing w:after="0" w:line="279" w:lineRule="auto"/>
        <w:tabs>
          <w:tab w:leader="none" w:pos="981"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Equity Rights</w:t>
      </w:r>
      <w:r>
        <w:rPr>
          <w:rFonts w:ascii="Arial" w:cs="Arial" w:eastAsia="Arial" w:hAnsi="Arial"/>
          <w:sz w:val="17"/>
          <w:szCs w:val="17"/>
          <w:color w:val="auto"/>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this</w:t>
      </w:r>
    </w:p>
    <w:p>
      <w:pPr>
        <w:sectPr>
          <w:pgSz w:w="11900" w:h="16887" w:orient="portrait"/>
          <w:cols w:equalWidth="0" w:num="1">
            <w:col w:w="11400"/>
          </w:cols>
          <w:pgMar w:left="240" w:top="125" w:right="259" w:bottom="0" w:gutter="0" w:footer="0" w:header="0"/>
        </w:sectPr>
      </w:pPr>
    </w:p>
    <w:bookmarkStart w:id="63" w:name="page64"/>
    <w:bookmarkEnd w:id="63"/>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Confirmation is not secured by any collateral that would otherwise secure the obligations of Counterparty herein under or pursuant to any other agreement.</w:t>
      </w:r>
    </w:p>
    <w:p>
      <w:pPr>
        <w:spacing w:after="0" w:line="248" w:lineRule="exact"/>
        <w:rPr>
          <w:sz w:val="20"/>
          <w:szCs w:val="20"/>
          <w:color w:val="auto"/>
        </w:rPr>
      </w:pPr>
    </w:p>
    <w:p>
      <w:pPr>
        <w:ind w:firstLine="656"/>
        <w:spacing w:after="0" w:line="268" w:lineRule="auto"/>
        <w:tabs>
          <w:tab w:leader="none" w:pos="98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Alternative Calculations and Payment on Early Termination and on Certain Extraordinary Events</w:t>
      </w:r>
      <w:r>
        <w:rPr>
          <w:rFonts w:ascii="Arial" w:cs="Arial" w:eastAsia="Arial" w:hAnsi="Arial"/>
          <w:sz w:val="17"/>
          <w:szCs w:val="17"/>
          <w:color w:val="auto"/>
        </w:rPr>
        <w:t>. If Dealer shall owe Counterparty any amount pursuant to Section 12.2 of the Equity Definitions and “Consequences of Merger Events” above, or Sections 12.3, 12.6, 12.7 or 12.9 of the Equity Definitions (except in the event of a Tender Offer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7"/>
          <w:szCs w:val="17"/>
          <w:u w:val="single" w:color="auto"/>
          <w:color w:val="auto"/>
        </w:rPr>
        <w:t>Payment Obligation</w:t>
      </w:r>
      <w:r>
        <w:rPr>
          <w:rFonts w:ascii="Arial" w:cs="Arial" w:eastAsia="Arial" w:hAnsi="Arial"/>
          <w:sz w:val="17"/>
          <w:szCs w:val="17"/>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between the hours of 9:00 A.M. and 4:00 P.M. New York City time on the Merger Date, Tender Offer Date, Announcement Date, Early Termination Date or other date of termination, as applicable (“</w:t>
      </w:r>
      <w:r>
        <w:rPr>
          <w:rFonts w:ascii="Arial" w:cs="Arial" w:eastAsia="Arial" w:hAnsi="Arial"/>
          <w:sz w:val="17"/>
          <w:szCs w:val="17"/>
          <w:u w:val="single" w:color="auto"/>
          <w:color w:val="auto"/>
        </w:rPr>
        <w:t>Notice of Share Termination</w:t>
      </w:r>
      <w:r>
        <w:rPr>
          <w:rFonts w:ascii="Arial" w:cs="Arial" w:eastAsia="Arial" w:hAnsi="Arial"/>
          <w:sz w:val="17"/>
          <w:szCs w:val="17"/>
          <w:color w:val="auto"/>
        </w:rPr>
        <w:t>”). Within a commercially reasonable period of time following receipt of a Notice of Share Termination, Dealer shall deliver to Counterparty a number of Share Termination Delivery Units having a cash value equal to the amount of such Payment Obligation (such number of Share Termination Delivery Units to be delivered to be determined by the Calculation Agent as the number of whole Share Termination Delivery Units that could be purchased over a commercially reasonable period of time with the cash equivalent of such payment obligation) (the “</w:t>
      </w:r>
      <w:r>
        <w:rPr>
          <w:rFonts w:ascii="Arial" w:cs="Arial" w:eastAsia="Arial" w:hAnsi="Arial"/>
          <w:sz w:val="17"/>
          <w:szCs w:val="17"/>
          <w:u w:val="single" w:color="auto"/>
          <w:color w:val="auto"/>
        </w:rPr>
        <w:t>Share 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Alternative</w:t>
      </w:r>
      <w:r>
        <w:rPr>
          <w:rFonts w:ascii="Arial" w:cs="Arial" w:eastAsia="Arial" w:hAnsi="Arial"/>
          <w:sz w:val="17"/>
          <w:szCs w:val="17"/>
          <w:color w:val="auto"/>
        </w:rPr>
        <w:t>”).</w:t>
      </w:r>
    </w:p>
    <w:p>
      <w:pPr>
        <w:spacing w:after="0" w:line="188" w:lineRule="exact"/>
        <w:rPr>
          <w:sz w:val="20"/>
          <w:szCs w:val="20"/>
          <w:color w:val="auto"/>
        </w:rPr>
      </w:pPr>
    </w:p>
    <w:p>
      <w:pPr>
        <w:ind w:left="2560" w:right="2300" w:hanging="2552"/>
        <w:spacing w:after="0" w:line="270" w:lineRule="auto"/>
        <w:rPr>
          <w:sz w:val="20"/>
          <w:szCs w:val="20"/>
          <w:color w:val="auto"/>
        </w:rPr>
      </w:pPr>
      <w:r>
        <w:rPr>
          <w:rFonts w:ascii="Arial" w:cs="Arial" w:eastAsia="Arial" w:hAnsi="Arial"/>
          <w:sz w:val="17"/>
          <w:szCs w:val="17"/>
          <w:color w:val="auto"/>
        </w:rPr>
        <w:t>Share Termination Delivery Unit: In the case of a Termination Event, Event of Default, Delisting or Additional Disruption Event, one Share or, in the case 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ectPr>
          <w:pgSz w:w="11900" w:h="16867" w:orient="portrait"/>
          <w:cols w:equalWidth="0" w:num="1">
            <w:col w:w="11420"/>
          </w:cols>
          <w:pgMar w:left="240" w:top="125" w:right="239" w:bottom="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67" w:orient="portrait"/>
          <w:cols w:equalWidth="0" w:num="2">
            <w:col w:w="1840" w:space="720"/>
            <w:col w:w="886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If Share Termination Alternative is applicable, the provisions of Sections 9.8, 9.9, 9.10,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9.11 and 9.12 of the Equity Definitions will be applicable as if Physical Settlement applied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termination of the Transaction, except that all references to “Shares” shall be read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references to “Share Termination Delivery Units”;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Agreement contained in Section 9.11 of the Equity Definitions shall be modified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excluding any representations therein relating to restrictions, obligations, limitations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under applicable securities laws as a result of the fact that Buyer is the issuer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any Share Termination Delivery Units (or any part thereof).</w:t>
      </w:r>
    </w:p>
    <w:p>
      <w:pPr>
        <w:spacing w:after="0" w:line="200" w:lineRule="exact"/>
        <w:rPr>
          <w:sz w:val="20"/>
          <w:szCs w:val="20"/>
          <w:color w:val="auto"/>
        </w:rPr>
      </w:pPr>
    </w:p>
    <w:p>
      <w:pPr>
        <w:sectPr>
          <w:pgSz w:w="11900" w:h="16867" w:orient="portrait"/>
          <w:cols w:equalWidth="0" w:num="2">
            <w:col w:w="2040" w:space="520"/>
            <w:col w:w="8860"/>
          </w:cols>
          <w:pgMar w:left="240" w:top="125" w:right="239" w:bottom="0" w:gutter="0" w:footer="0" w:header="0"/>
          <w:type w:val="continuous"/>
        </w:sectPr>
      </w:pP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Set-Off</w:t>
      </w:r>
      <w:r>
        <w:rPr>
          <w:rFonts w:ascii="Arial" w:cs="Arial" w:eastAsia="Arial" w:hAnsi="Arial"/>
          <w:sz w:val="18"/>
          <w:szCs w:val="18"/>
          <w:color w:val="auto"/>
        </w:rPr>
        <w:t>. The parties agree to amend Section 6 of the Agreement by replacing Section 6(f) in its entirety with the following:</w:t>
      </w:r>
    </w:p>
    <w:p>
      <w:pPr>
        <w:spacing w:after="0" w:line="225" w:lineRule="exact"/>
        <w:rPr>
          <w:sz w:val="20"/>
          <w:szCs w:val="20"/>
          <w:color w:val="auto"/>
        </w:rPr>
      </w:pPr>
    </w:p>
    <w:p>
      <w:pPr>
        <w:ind w:left="1300" w:right="420"/>
        <w:spacing w:after="0" w:line="272" w:lineRule="auto"/>
        <w:rPr>
          <w:sz w:val="20"/>
          <w:szCs w:val="20"/>
          <w:color w:val="auto"/>
        </w:rPr>
      </w:pPr>
      <w:r>
        <w:rPr>
          <w:rFonts w:ascii="Arial" w:cs="Arial" w:eastAsia="Arial" w:hAnsi="Arial"/>
          <w:sz w:val="17"/>
          <w:szCs w:val="17"/>
          <w:color w:val="auto"/>
        </w:rPr>
        <w:t>“(f) Upon the occurrence of an Event of Default or Termination Event with respect to a party who is the Defaulting Party or the Affected Party (“</w:t>
      </w:r>
      <w:r>
        <w:rPr>
          <w:rFonts w:ascii="Arial" w:cs="Arial" w:eastAsia="Arial" w:hAnsi="Arial"/>
          <w:sz w:val="17"/>
          <w:szCs w:val="17"/>
          <w:u w:val="single" w:color="auto"/>
          <w:color w:val="auto"/>
        </w:rPr>
        <w:t>X</w:t>
      </w:r>
      <w:r>
        <w:rPr>
          <w:rFonts w:ascii="Arial" w:cs="Arial" w:eastAsia="Arial" w:hAnsi="Arial"/>
          <w:sz w:val="17"/>
          <w:szCs w:val="17"/>
          <w:color w:val="auto"/>
        </w:rPr>
        <w:t>”), the other party (“</w:t>
      </w:r>
      <w:r>
        <w:rPr>
          <w:rFonts w:ascii="Arial" w:cs="Arial" w:eastAsia="Arial" w:hAnsi="Arial"/>
          <w:sz w:val="17"/>
          <w:szCs w:val="17"/>
          <w:u w:val="single" w:color="auto"/>
          <w:color w:val="auto"/>
        </w:rPr>
        <w:t>Y</w:t>
      </w:r>
      <w:r>
        <w:rPr>
          <w:rFonts w:ascii="Arial" w:cs="Arial" w:eastAsia="Arial" w:hAnsi="Arial"/>
          <w:sz w:val="17"/>
          <w:szCs w:val="17"/>
          <w:color w:val="auto"/>
        </w:rPr>
        <w:t>”) will have the right (but not be obliged) without prior notice to X or any other person to set-off or apply any obligation of X under an Equity Contract owed to Y (or any Affiliate of Y) (whether or not matured or contingent and whether or not arising under the Agreement, and regardless of the currency, place of payment or booking office of the obligation) against any obligation of Y (or any Affiliate of Y) under an Equity Contract owed to X (whether or not matured or contingent and whether or not arising under the Agreement, and regardless of the currency, place of payment or booking office of the obligation). Y will give notice to the other party of any set-off effected under this Section 6(f).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Contract</w:t>
      </w:r>
      <w:r>
        <w:rPr>
          <w:rFonts w:ascii="Arial" w:cs="Arial" w:eastAsia="Arial" w:hAnsi="Arial"/>
          <w:sz w:val="18"/>
          <w:szCs w:val="18"/>
          <w:color w:val="auto"/>
        </w:rPr>
        <w:t>” shall mean for purposes of this Section 6(f) any transaction relating to Shares between X and Y (or any Affiliate of Y) that qualifies as ‘equity’ under applicable accounting rules.</w:t>
      </w:r>
    </w:p>
    <w:p>
      <w:pPr>
        <w:spacing w:after="0" w:line="170" w:lineRule="exact"/>
        <w:rPr>
          <w:sz w:val="20"/>
          <w:szCs w:val="20"/>
          <w:color w:val="auto"/>
        </w:rPr>
      </w:pPr>
    </w:p>
    <w:p>
      <w:pPr>
        <w:ind w:left="1300" w:right="500"/>
        <w:spacing w:after="0" w:line="264" w:lineRule="auto"/>
        <w:rPr>
          <w:sz w:val="20"/>
          <w:szCs w:val="20"/>
          <w:color w:val="auto"/>
        </w:rPr>
      </w:pPr>
      <w:r>
        <w:rPr>
          <w:rFonts w:ascii="Arial" w:cs="Arial" w:eastAsia="Arial" w:hAnsi="Arial"/>
          <w:sz w:val="18"/>
          <w:szCs w:val="18"/>
          <w:color w:val="auto"/>
        </w:rPr>
        <w:t>Amounts (or the relevant portion of such amounts) subject to set-off may be converted by Y into the Termination Currency at the rate of exchange at which such party would be able, acting in a reasonable manner and in good faith, to purchase the relevant amount of such currency.</w:t>
      </w:r>
    </w:p>
    <w:p>
      <w:pPr>
        <w:spacing w:after="0" w:line="181" w:lineRule="exact"/>
        <w:rPr>
          <w:sz w:val="20"/>
          <w:szCs w:val="20"/>
          <w:color w:val="auto"/>
        </w:rPr>
      </w:pPr>
    </w:p>
    <w:p>
      <w:pPr>
        <w:ind w:left="1300" w:right="740"/>
        <w:spacing w:after="0" w:line="277" w:lineRule="auto"/>
        <w:rPr>
          <w:sz w:val="20"/>
          <w:szCs w:val="20"/>
          <w:color w:val="auto"/>
        </w:rPr>
      </w:pPr>
      <w:r>
        <w:rPr>
          <w:rFonts w:ascii="Arial" w:cs="Arial" w:eastAsia="Arial" w:hAnsi="Arial"/>
          <w:sz w:val="18"/>
          <w:szCs w:val="18"/>
          <w:color w:val="auto"/>
        </w:rPr>
        <w:t>If any obligation is unascertained, Y may in good faith estimate that obligation and set-off in respect of the estimate, subject to the relevant party accounting to the other when the obligation is ascertained.</w:t>
      </w:r>
    </w:p>
    <w:p>
      <w:pPr>
        <w:spacing w:after="0" w:line="170" w:lineRule="exact"/>
        <w:rPr>
          <w:sz w:val="20"/>
          <w:szCs w:val="20"/>
          <w:color w:val="auto"/>
        </w:rPr>
      </w:pPr>
    </w:p>
    <w:p>
      <w:pPr>
        <w:jc w:val="both"/>
        <w:ind w:left="1300" w:right="500"/>
        <w:spacing w:after="0" w:line="264" w:lineRule="auto"/>
        <w:rPr>
          <w:sz w:val="20"/>
          <w:szCs w:val="20"/>
          <w:color w:val="auto"/>
        </w:rPr>
      </w:pPr>
      <w:r>
        <w:rPr>
          <w:rFonts w:ascii="Arial" w:cs="Arial" w:eastAsia="Arial" w:hAnsi="Arial"/>
          <w:sz w:val="18"/>
          <w:szCs w:val="18"/>
          <w:color w:val="auto"/>
        </w:rPr>
        <w:t>Nothing in this Section 6(f) shall be effective to create a charge or other security interest. This Section 6(f) shall be without prejudice and in addition to any right of set-off, combination of accounts, lien or other right to which any party is at any time otherwise entitled (whether by operation of law, contract or otherwise).”</w:t>
      </w:r>
    </w:p>
    <w:p>
      <w:pPr>
        <w:spacing w:after="0" w:line="181" w:lineRule="exact"/>
        <w:rPr>
          <w:sz w:val="20"/>
          <w:szCs w:val="20"/>
          <w:color w:val="auto"/>
        </w:rPr>
      </w:pPr>
    </w:p>
    <w:p>
      <w:pPr>
        <w:ind w:right="100" w:firstLine="656"/>
        <w:spacing w:after="0" w:line="342" w:lineRule="auto"/>
        <w:tabs>
          <w:tab w:leader="none" w:pos="98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Amendment to Equity Definitions.</w:t>
      </w:r>
      <w:r>
        <w:rPr>
          <w:rFonts w:ascii="Arial" w:cs="Arial" w:eastAsia="Arial" w:hAnsi="Arial"/>
          <w:sz w:val="16"/>
          <w:szCs w:val="16"/>
          <w:color w:val="auto"/>
        </w:rPr>
        <w:t xml:space="preserve"> 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123" w:lineRule="exact"/>
        <w:rPr>
          <w:rFonts w:ascii="Arial" w:cs="Arial" w:eastAsia="Arial" w:hAnsi="Arial"/>
          <w:sz w:val="16"/>
          <w:szCs w:val="16"/>
          <w:color w:val="auto"/>
        </w:rPr>
      </w:pPr>
    </w:p>
    <w:p>
      <w:pPr>
        <w:ind w:right="140" w:firstLine="656"/>
        <w:spacing w:after="0" w:line="342" w:lineRule="auto"/>
        <w:tabs>
          <w:tab w:leader="none" w:pos="98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w:t>
      </w:r>
    </w:p>
    <w:p>
      <w:pPr>
        <w:sectPr>
          <w:pgSz w:w="11900" w:h="16867" w:orient="portrait"/>
          <w:cols w:equalWidth="0" w:num="1">
            <w:col w:w="11420"/>
          </w:cols>
          <w:pgMar w:left="240" w:top="125" w:right="239" w:bottom="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color w:val="auto"/>
        </w:rPr>
        <w:t>all materials of any kind (including opinions or other tax analyses) that are provided to Counterparty relating to such tax treatment and tax structure.</w:t>
      </w:r>
    </w:p>
    <w:p>
      <w:pPr>
        <w:spacing w:after="0" w:line="237" w:lineRule="exact"/>
        <w:rPr>
          <w:sz w:val="20"/>
          <w:szCs w:val="20"/>
          <w:color w:val="auto"/>
        </w:rPr>
      </w:pPr>
    </w:p>
    <w:p>
      <w:pPr>
        <w:ind w:firstLine="656"/>
        <w:spacing w:after="0" w:line="268" w:lineRule="auto"/>
        <w:tabs>
          <w:tab w:leader="none" w:pos="98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Unwind</w:t>
      </w:r>
      <w:r>
        <w:rPr>
          <w:rFonts w:ascii="Arial" w:cs="Arial" w:eastAsia="Arial" w:hAnsi="Arial"/>
          <w:sz w:val="17"/>
          <w:szCs w:val="17"/>
          <w:color w:val="auto"/>
        </w:rPr>
        <w:t>. In the event the sale of the Convertible Notes is not consummated with the initial purchasers pursuant to the Underwriting Agreement, for any reason by the close of business in New York on May 23, 2007 (or such later date as agreed upon by the parties which in no event shall be later than the third Scheduled Trading Day following May 17, 2007) (such date or such later date as agreed upon being the “</w:t>
      </w:r>
      <w:r>
        <w:rPr>
          <w:rFonts w:ascii="Arial" w:cs="Arial" w:eastAsia="Arial" w:hAnsi="Arial"/>
          <w:sz w:val="17"/>
          <w:szCs w:val="17"/>
          <w:u w:val="single" w:color="auto"/>
          <w:color w:val="auto"/>
        </w:rPr>
        <w:t>Accelerated Unwind Date</w:t>
      </w:r>
      <w:r>
        <w:rPr>
          <w:rFonts w:ascii="Arial" w:cs="Arial" w:eastAsia="Arial" w:hAnsi="Arial"/>
          <w:sz w:val="17"/>
          <w:szCs w:val="17"/>
          <w:color w:val="auto"/>
        </w:rPr>
        <w:t>”), this Transaction shall automatically terminate (the “</w:t>
      </w:r>
      <w:r>
        <w:rPr>
          <w:rFonts w:ascii="Arial" w:cs="Arial" w:eastAsia="Arial" w:hAnsi="Arial"/>
          <w:sz w:val="17"/>
          <w:szCs w:val="17"/>
          <w:u w:val="single" w:color="auto"/>
          <w:color w:val="auto"/>
        </w:rPr>
        <w:t>Accelerated Unwind</w:t>
      </w:r>
      <w:r>
        <w:rPr>
          <w:rFonts w:ascii="Arial" w:cs="Arial" w:eastAsia="Arial" w:hAnsi="Arial"/>
          <w:sz w:val="17"/>
          <w:szCs w:val="17"/>
          <w:color w:val="auto"/>
        </w:rPr>
        <w:t xml:space="preserve">”) on the Accelerated Unwind Date and (i) this Transaction and all of the respective rights and obligations of Dealer and Counterparty under this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this Transaction either prior to or after the Accelerated Unwind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 shall reimburse Dealer for any costs or expenses (including market losses) relating to the unwinding of its hedging activities in connection with the Transaction (including any loss or cost incurred as a result of its terminating, liquidating, obtaining or reestablishing any hedge or related trading position). The amount of any such reimbursement shall be determined by Dealer in its sole good faith discretion. Dealer shall notify Counterparty of such amount and Counterparty shall pay such amount in immediately available funds on the Early Unwind Date. Dealer and Counterparty represent and acknowledge to the other that upon an Accelerated Unwind and the satisfaction of counterparty’s payment obligation, if any, as specified in this Section 16, all obligations with respect to this Transaction shall be deemed fully and finally discharged.</w:t>
      </w:r>
    </w:p>
    <w:p>
      <w:pPr>
        <w:spacing w:after="0" w:line="187" w:lineRule="exact"/>
        <w:rPr>
          <w:rFonts w:ascii="Arial" w:cs="Arial" w:eastAsia="Arial" w:hAnsi="Arial"/>
          <w:sz w:val="17"/>
          <w:szCs w:val="17"/>
          <w:color w:val="auto"/>
        </w:rPr>
      </w:pPr>
    </w:p>
    <w:p>
      <w:pPr>
        <w:ind w:right="80" w:firstLine="656"/>
        <w:spacing w:after="0" w:line="257" w:lineRule="auto"/>
        <w:tabs>
          <w:tab w:leader="none" w:pos="98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Counterparty understands and agrees that Agent will act as agent for both parties with respect to the Transaction. Agent is so acting solely in its capacity as agent for Counterparty and Dealer pursuant to instructions from Counterparty and Dealer. Agent shall have no responsibility or personal liability to either party arising from any failure by either party to pay or perform any obligation under the Transaction. Each party agrees to proceed solely against the other to collect or recover any amount owing to it or enforce any of its rights in connection with or as a result of the Transaction.</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Notwithstanding any provisions of the Agreement, all communications relating to the Transaction or the Agreement shall be transmitted exclusively through Agent at Morgan Stanley Bank, One New York Plaza, 4th Floor, New York, New York 10004.</w:t>
      </w:r>
    </w:p>
    <w:p>
      <w:pPr>
        <w:spacing w:after="0" w:line="166" w:lineRule="exact"/>
        <w:rPr>
          <w:sz w:val="20"/>
          <w:szCs w:val="20"/>
          <w:color w:val="auto"/>
        </w:rPr>
      </w:pPr>
    </w:p>
    <w:p>
      <w:pPr>
        <w:ind w:left="5620" w:right="1620" w:hanging="4964"/>
        <w:spacing w:after="0" w:line="783" w:lineRule="auto"/>
        <w:tabs>
          <w:tab w:leader="none" w:pos="99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Collateral by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No collateral is required to be posted by Counterparty in respect of this Transaction.</w:t>
      </w:r>
      <w:r>
        <w:rPr>
          <w:rFonts w:ascii="Arial" w:cs="Arial" w:eastAsia="Arial" w:hAnsi="Arial"/>
          <w:sz w:val="18"/>
          <w:szCs w:val="18"/>
          <w:color w:val="auto"/>
        </w:rPr>
        <w:t xml:space="preserve"> 13</w:t>
      </w:r>
    </w:p>
    <w:p>
      <w:pPr>
        <w:spacing w:after="0" w:line="260" w:lineRule="exact"/>
        <w:rPr>
          <w:rFonts w:ascii="Arial" w:cs="Arial" w:eastAsia="Arial" w:hAnsi="Arial"/>
          <w:sz w:val="18"/>
          <w:szCs w:val="18"/>
          <w:color w:val="auto"/>
        </w:rPr>
      </w:pPr>
    </w:p>
    <w:p>
      <w:pPr>
        <w:ind w:right="40" w:firstLine="656"/>
        <w:spacing w:after="0" w:line="285" w:lineRule="auto"/>
        <w:tabs>
          <w:tab w:leader="none" w:pos="98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Disposition of Hedge Shares</w:t>
      </w:r>
      <w:r>
        <w:rPr>
          <w:rFonts w:ascii="Arial" w:cs="Arial" w:eastAsia="Arial" w:hAnsi="Arial"/>
          <w:sz w:val="16"/>
          <w:szCs w:val="16"/>
          <w:color w:val="auto"/>
        </w:rPr>
        <w:t xml:space="preserve">. Counterparty hereby agrees that if, in the reasonable judgment of counsel for the Dealer, the Shares (the “Hedge Shares”) acquired by Dealer for the purpose of hedging its obligations pursuant to the Transaction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customary in form for registered offerings of equity securities,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18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such Exchange Business Days, and in the amounts, as requested by Dealer.</w:t>
      </w:r>
    </w:p>
    <w:p>
      <w:pPr>
        <w:spacing w:after="0" w:line="388" w:lineRule="exact"/>
        <w:rPr>
          <w:rFonts w:ascii="Arial" w:cs="Arial" w:eastAsia="Arial" w:hAnsi="Arial"/>
          <w:sz w:val="16"/>
          <w:szCs w:val="16"/>
          <w:color w:val="auto"/>
        </w:rPr>
      </w:pPr>
    </w:p>
    <w:p>
      <w:pPr>
        <w:ind w:left="1000" w:hanging="344"/>
        <w:spacing w:after="0"/>
        <w:tabs>
          <w:tab w:leader="none" w:pos="100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Counterparty shall deliver an opinion of counsel, dated as of the Trade Date, in substantially the form attached hereto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Annex B.</w:t>
      </w:r>
    </w:p>
    <w:p>
      <w:pPr>
        <w:spacing w:after="0" w:line="206" w:lineRule="exact"/>
        <w:rPr>
          <w:rFonts w:ascii="Arial" w:cs="Arial" w:eastAsia="Arial" w:hAnsi="Arial"/>
          <w:sz w:val="16"/>
          <w:szCs w:val="16"/>
          <w:color w:val="auto"/>
        </w:rPr>
      </w:pPr>
    </w:p>
    <w:p>
      <w:pPr>
        <w:ind w:left="1000" w:hanging="344"/>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COUNTERPARTY AND DEALER HEREBY IRREVOCABLY WAIVES (ON ITS OWN BEHALF</w:t>
      </w:r>
    </w:p>
    <w:p>
      <w:pPr>
        <w:spacing w:after="0" w:line="27"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 OR RELATING TO THE TRANSACTION OR THE ACTIONS OF DEALER OR ITS AFFILIATES OR COUNTERPARTY OR ITS AFFILIATES IN THE NEGOTIATION, PERFORMANCE OR ENFORCEMENT HEREOF.</w:t>
      </w:r>
    </w:p>
    <w:p>
      <w:pPr>
        <w:spacing w:after="0" w:line="185" w:lineRule="exact"/>
        <w:rPr>
          <w:rFonts w:ascii="Arial" w:cs="Arial" w:eastAsia="Arial" w:hAnsi="Arial"/>
          <w:sz w:val="18"/>
          <w:szCs w:val="18"/>
          <w:color w:val="auto"/>
        </w:rPr>
      </w:pPr>
    </w:p>
    <w:p>
      <w:pPr>
        <w:ind w:left="1000" w:hanging="344"/>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AGREEMENT AND THIS CONFIRMATION SHALL BE GOVERNED BY THE LAWS OF THE STATE OF</w:t>
      </w:r>
    </w:p>
    <w:p>
      <w:pPr>
        <w:spacing w:after="0" w:line="27"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9" w:lineRule="exact"/>
        <w:rPr>
          <w:rFonts w:ascii="Arial" w:cs="Arial" w:eastAsia="Arial" w:hAnsi="Arial"/>
          <w:sz w:val="18"/>
          <w:szCs w:val="18"/>
          <w:color w:val="auto"/>
        </w:rPr>
      </w:pPr>
    </w:p>
    <w:p>
      <w:pPr>
        <w:ind w:right="120" w:firstLine="656"/>
        <w:spacing w:after="0" w:line="264" w:lineRule="auto"/>
        <w:tabs>
          <w:tab w:leader="none" w:pos="98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Regulatory Provisions</w:t>
      </w:r>
      <w:r>
        <w:rPr>
          <w:rFonts w:ascii="Arial" w:cs="Arial" w:eastAsia="Arial" w:hAnsi="Arial"/>
          <w:sz w:val="18"/>
          <w:szCs w:val="18"/>
          <w:color w:val="auto"/>
        </w:rPr>
        <w:t>. Counterparty represents and warrants that it has received and read and understands the Notice of Regulatory Treatment and the OTC Option Risk Disclosure Statement. Agent will furnish Counterparty upon written request a statement as to the source and amount of any remuneration received or to be received by Agent in connection with the Transaction evidenced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-5477510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2"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2" w:gutter="0" w:footer="0" w:header="0"/>
          <w:type w:val="continuous"/>
        </w:sectPr>
      </w:pPr>
    </w:p>
    <w:bookmarkStart w:id="65" w:name="page66"/>
    <w:bookmarkEnd w:id="65"/>
    <w:p>
      <w:pPr>
        <w:ind w:firstLine="656"/>
        <w:spacing w:after="0" w:line="255" w:lineRule="auto"/>
        <w:tabs>
          <w:tab w:leader="none" w:pos="98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Role of Agent</w:t>
      </w:r>
      <w:r>
        <w:rPr>
          <w:rFonts w:ascii="Arial" w:cs="Arial" w:eastAsia="Arial" w:hAnsi="Arial"/>
          <w:sz w:val="18"/>
          <w:szCs w:val="18"/>
          <w:color w:val="auto"/>
        </w:rPr>
        <w:t>. (i) Agent is acting as agent for Dealer but does not guarantee the performance of Dealer or Counterparty; (ii) Dealer is not a member of the Securities Investor Protection Corporation; (iii) Agent, Dealer and Counterparty each hereby acknowledges that any transactions by Dealer or Agent in the Shares will be undertaken by Dealer as principal for its own account; and (iv) all of the actions to be taken by Dealer and Agent in connection with the Transaction shall be taken by Dealer or Agent independently and without any advance or subsequent consultation with Counterparty; and (v) Agent is hereby authorized to act as agent for Counterparty only to the extent required to satisfy the requirements of Rule 15a-6 under the Exchange Act in respect of the Transaction described hereby..</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this Transaction, by manually signing this Confirmation or this page hereof as evidence of agreement to such terms and providing the other information requested herein and immediately returning an executed copy to Agent at Morgan Stanley Bank, One New York Plaza, 4th Floor, New York, New York 10004.</w:t>
      </w:r>
    </w:p>
    <w:p>
      <w:pPr>
        <w:spacing w:after="0" w:line="18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Morgan Stanley &amp; Co. International plc</w:t>
      </w:r>
    </w:p>
    <w:p>
      <w:pPr>
        <w:spacing w:after="0" w:line="200" w:lineRule="exact"/>
        <w:rPr>
          <w:sz w:val="20"/>
          <w:szCs w:val="20"/>
          <w:color w:val="auto"/>
        </w:rPr>
      </w:pPr>
    </w:p>
    <w:p>
      <w:pPr>
        <w:spacing w:after="0" w:line="24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Steven Nash</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Steven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-130810</wp:posOffset>
            </wp:positionV>
            <wp:extent cx="29241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Director</w:t>
      </w:r>
    </w:p>
    <w:p>
      <w:pPr>
        <w:spacing w:after="0" w:line="20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 xml:space="preserve">Morgan Stanley Bank, </w:t>
      </w:r>
      <w:r>
        <w:rPr>
          <w:rFonts w:ascii="Arial" w:cs="Arial" w:eastAsia="Arial" w:hAnsi="Arial"/>
          <w:sz w:val="18"/>
          <w:szCs w:val="18"/>
          <w:color w:val="auto"/>
        </w:rPr>
        <w:t>as agent</w:t>
      </w:r>
    </w:p>
    <w:p>
      <w:pPr>
        <w:spacing w:after="0" w:line="200" w:lineRule="exact"/>
        <w:rPr>
          <w:sz w:val="20"/>
          <w:szCs w:val="20"/>
          <w:color w:val="auto"/>
        </w:rPr>
      </w:pPr>
    </w:p>
    <w:p>
      <w:pPr>
        <w:spacing w:after="0" w:line="24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Robert Poselle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Robert Poselle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-130810</wp:posOffset>
            </wp:positionV>
            <wp:extent cx="29241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 G. Stover, Jr.</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 G. Stover, Jr.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100"/>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600" w:type="dxa"/>
            <w:vAlign w:val="bottom"/>
          </w:tcPr>
          <w:p>
            <w:pPr>
              <w:spacing w:after="0"/>
              <w:rPr>
                <w:sz w:val="20"/>
                <w:szCs w:val="20"/>
                <w:color w:val="auto"/>
              </w:rPr>
            </w:pPr>
          </w:p>
        </w:tc>
        <w:tc>
          <w:tcPr>
            <w:tcW w:w="40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[Confirmation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CS-1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Opening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480" w:type="dxa"/>
            <w:vAlign w:val="bottom"/>
          </w:tcPr>
          <w:p>
            <w:pPr>
              <w:ind w:left="240"/>
              <w:spacing w:after="0"/>
              <w:rPr>
                <w:sz w:val="20"/>
                <w:szCs w:val="20"/>
                <w:color w:val="auto"/>
              </w:rPr>
            </w:pPr>
            <w:r>
              <w:rPr>
                <w:rFonts w:ascii="Arial" w:cs="Arial" w:eastAsia="Arial" w:hAnsi="Arial"/>
                <w:sz w:val="18"/>
                <w:szCs w:val="18"/>
                <w:color w:val="auto"/>
              </w:rPr>
              <w:t>Micron Technology, Inc.</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8000 S. Federal Bay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Boise, Idaho 83716-9632</w:t>
            </w: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b w:val="1"/>
                <w:bCs w:val="1"/>
                <w:color w:val="auto"/>
              </w:rPr>
              <w:t>A/C:</w:t>
            </w:r>
          </w:p>
        </w:tc>
        <w:tc>
          <w:tcPr>
            <w:tcW w:w="3480" w:type="dxa"/>
            <w:vAlign w:val="bottom"/>
          </w:tcPr>
          <w:p>
            <w:pPr>
              <w:ind w:left="240"/>
              <w:spacing w:after="0"/>
              <w:rPr>
                <w:sz w:val="20"/>
                <w:szCs w:val="20"/>
                <w:color w:val="auto"/>
              </w:rPr>
            </w:pPr>
            <w:r>
              <w:rPr>
                <w:rFonts w:ascii="Arial" w:cs="Arial" w:eastAsia="Arial" w:hAnsi="Arial"/>
                <w:sz w:val="18"/>
                <w:szCs w:val="18"/>
                <w:color w:val="auto"/>
              </w:rPr>
              <w:t>NTPA: YHNMP0</w:t>
            </w: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From:</w:t>
            </w:r>
          </w:p>
        </w:tc>
        <w:tc>
          <w:tcPr>
            <w:tcW w:w="3480" w:type="dxa"/>
            <w:vAlign w:val="bottom"/>
          </w:tcPr>
          <w:p>
            <w:pPr>
              <w:ind w:left="240"/>
              <w:spacing w:after="0"/>
              <w:rPr>
                <w:sz w:val="20"/>
                <w:szCs w:val="20"/>
                <w:color w:val="auto"/>
              </w:rPr>
            </w:pPr>
            <w:r>
              <w:rPr>
                <w:rFonts w:ascii="Arial" w:cs="Arial" w:eastAsia="Arial" w:hAnsi="Arial"/>
                <w:sz w:val="18"/>
                <w:szCs w:val="18"/>
                <w:color w:val="auto"/>
              </w:rPr>
              <w:t>Credit Suisse International</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One Cabot Sqaure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London E14 4QJ</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480" w:type="dxa"/>
            <w:vAlign w:val="bottom"/>
          </w:tcPr>
          <w:p>
            <w:pPr>
              <w:ind w:left="240"/>
              <w:spacing w:after="0"/>
              <w:rPr>
                <w:sz w:val="20"/>
                <w:szCs w:val="20"/>
                <w:color w:val="auto"/>
              </w:rPr>
            </w:pPr>
            <w:r>
              <w:rPr>
                <w:rFonts w:ascii="Arial" w:cs="Arial" w:eastAsia="Arial" w:hAnsi="Arial"/>
                <w:sz w:val="18"/>
                <w:szCs w:val="18"/>
                <w:color w:val="auto"/>
                <w:w w:val="88"/>
              </w:rPr>
              <w:t>Issuer Capped Share Call Option Transaction</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Ref. No:</w:t>
            </w:r>
          </w:p>
        </w:tc>
        <w:tc>
          <w:tcPr>
            <w:tcW w:w="3480" w:type="dxa"/>
            <w:vAlign w:val="bottom"/>
          </w:tcPr>
          <w:p>
            <w:pPr>
              <w:ind w:left="240"/>
              <w:spacing w:after="0"/>
              <w:rPr>
                <w:sz w:val="20"/>
                <w:szCs w:val="20"/>
                <w:color w:val="auto"/>
              </w:rPr>
            </w:pPr>
            <w:r>
              <w:rPr>
                <w:rFonts w:ascii="Arial" w:cs="Arial" w:eastAsia="Arial" w:hAnsi="Arial"/>
                <w:sz w:val="18"/>
                <w:szCs w:val="18"/>
                <w:color w:val="auto"/>
              </w:rPr>
              <w:t>53228800</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480" w:type="dxa"/>
            <w:vAlign w:val="bottom"/>
          </w:tcPr>
          <w:p>
            <w:pPr>
              <w:ind w:left="240"/>
              <w:spacing w:after="0"/>
              <w:rPr>
                <w:sz w:val="20"/>
                <w:szCs w:val="20"/>
                <w:color w:val="auto"/>
              </w:rPr>
            </w:pPr>
            <w:r>
              <w:rPr>
                <w:rFonts w:ascii="Arial" w:cs="Arial" w:eastAsia="Arial" w:hAnsi="Arial"/>
                <w:sz w:val="18"/>
                <w:szCs w:val="18"/>
                <w:color w:val="auto"/>
              </w:rPr>
              <w:t>May 17, 2007</w:t>
            </w:r>
          </w:p>
        </w:tc>
        <w:tc>
          <w:tcPr>
            <w:tcW w:w="0" w:type="dxa"/>
            <w:vAlign w:val="bottom"/>
          </w:tcPr>
          <w:p>
            <w:pPr>
              <w:spacing w:after="0"/>
              <w:rPr>
                <w:sz w:val="1"/>
                <w:szCs w:val="1"/>
                <w:color w:val="auto"/>
              </w:rPr>
            </w:pPr>
          </w:p>
        </w:tc>
      </w:tr>
      <w:tr>
        <w:trPr>
          <w:trHeight w:val="486"/>
        </w:trPr>
        <w:tc>
          <w:tcPr>
            <w:tcW w:w="1100" w:type="dxa"/>
            <w:vAlign w:val="bottom"/>
          </w:tcPr>
          <w:p>
            <w:pPr>
              <w:spacing w:after="0"/>
              <w:rPr>
                <w:sz w:val="20"/>
                <w:szCs w:val="20"/>
                <w:color w:val="auto"/>
              </w:rPr>
            </w:pPr>
            <w:r>
              <w:rPr>
                <w:rFonts w:ascii="Arial" w:cs="Arial" w:eastAsia="Arial" w:hAnsi="Arial"/>
                <w:sz w:val="18"/>
                <w:szCs w:val="18"/>
                <w:color w:val="auto"/>
              </w:rPr>
              <w:t>Dear Sir(s):</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u w:val="single" w:color="auto"/>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u w:val="single" w:color="auto"/>
          <w:color w:val="auto"/>
        </w:rPr>
        <w:t>Transaction</w:t>
      </w:r>
      <w:r>
        <w:rPr>
          <w:rFonts w:ascii="Arial" w:cs="Arial" w:eastAsia="Arial" w:hAnsi="Arial"/>
          <w:sz w:val="18"/>
          <w:szCs w:val="18"/>
          <w:color w:val="auto"/>
        </w:rPr>
        <w:t>”) between Credit Suisse International (“</w:t>
      </w:r>
      <w:r>
        <w:rPr>
          <w:rFonts w:ascii="Arial" w:cs="Arial" w:eastAsia="Arial" w:hAnsi="Arial"/>
          <w:sz w:val="18"/>
          <w:szCs w:val="18"/>
          <w:u w:val="single" w:color="auto"/>
          <w:color w:val="auto"/>
        </w:rPr>
        <w:t>Dealer</w:t>
      </w:r>
      <w:r>
        <w:rPr>
          <w:rFonts w:ascii="Arial" w:cs="Arial" w:eastAsia="Arial" w:hAnsi="Arial"/>
          <w:sz w:val="18"/>
          <w:szCs w:val="18"/>
          <w:color w:val="auto"/>
        </w:rPr>
        <w:t>”) and Micron Technology, Inc. (“</w:t>
      </w:r>
      <w:r>
        <w:rPr>
          <w:rFonts w:ascii="Arial" w:cs="Arial" w:eastAsia="Arial" w:hAnsi="Arial"/>
          <w:sz w:val="18"/>
          <w:szCs w:val="18"/>
          <w:u w:val="single" w:color="auto"/>
          <w:color w:val="auto"/>
        </w:rPr>
        <w:t>Counterparty</w:t>
      </w:r>
      <w:r>
        <w:rPr>
          <w:rFonts w:ascii="Arial" w:cs="Arial" w:eastAsia="Arial" w:hAnsi="Arial"/>
          <w:sz w:val="18"/>
          <w:szCs w:val="18"/>
          <w:color w:val="auto"/>
        </w:rPr>
        <w:t>”). Dealer is acting as principal and Credit Suisse, New York Branch (“</w:t>
      </w:r>
      <w:r>
        <w:rPr>
          <w:rFonts w:ascii="Arial" w:cs="Arial" w:eastAsia="Arial" w:hAnsi="Arial"/>
          <w:sz w:val="18"/>
          <w:szCs w:val="18"/>
          <w:u w:val="single" w:color="auto"/>
          <w:color w:val="auto"/>
        </w:rPr>
        <w:t>Agent</w:t>
      </w:r>
      <w:r>
        <w:rPr>
          <w:rFonts w:ascii="Arial" w:cs="Arial" w:eastAsia="Arial" w:hAnsi="Arial"/>
          <w:sz w:val="18"/>
          <w:szCs w:val="18"/>
          <w:color w:val="auto"/>
        </w:rPr>
        <w:t>”), its affiliate, is acting as agent for Dealer and Counterparty for the Transaction under this Confirmation. This communication constitutes a “</w:t>
      </w:r>
      <w:r>
        <w:rPr>
          <w:rFonts w:ascii="Arial" w:cs="Arial" w:eastAsia="Arial" w:hAnsi="Arial"/>
          <w:sz w:val="18"/>
          <w:szCs w:val="18"/>
          <w:u w:val="single" w:color="auto"/>
          <w:color w:val="auto"/>
        </w:rPr>
        <w:t>Confirmation</w:t>
      </w:r>
      <w:r>
        <w:rPr>
          <w:rFonts w:ascii="Arial" w:cs="Arial" w:eastAsia="Arial" w:hAnsi="Arial"/>
          <w:sz w:val="18"/>
          <w:szCs w:val="18"/>
          <w:color w:val="auto"/>
        </w:rPr>
        <w:t>” as referred to in the ISDA Master Agreement specified below. This Confirmation is a confirmation for purposes of Rule 10b-10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w:t>
      </w:r>
      <w:r>
        <w:rPr>
          <w:rFonts w:ascii="Arial" w:cs="Arial" w:eastAsia="Arial" w:hAnsi="Arial"/>
          <w:sz w:val="18"/>
          <w:szCs w:val="18"/>
          <w:b w:val="1"/>
          <w:bCs w:val="1"/>
          <w:color w:val="auto"/>
        </w:rPr>
        <w:t>Dealer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member of the Securities Investor Protection Corporation.</w:t>
      </w:r>
    </w:p>
    <w:p>
      <w:pPr>
        <w:spacing w:after="0" w:line="193" w:lineRule="exact"/>
        <w:rPr>
          <w:sz w:val="20"/>
          <w:szCs w:val="20"/>
          <w:color w:val="auto"/>
        </w:rPr>
      </w:pPr>
    </w:p>
    <w:p>
      <w:pPr>
        <w:ind w:right="100" w:firstLine="656"/>
        <w:spacing w:after="0" w:line="259" w:lineRule="auto"/>
        <w:tabs>
          <w:tab w:leader="none" w:pos="97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2000 ISDA Definitions (including the Annex thereto) (the “</w:t>
      </w:r>
      <w:r>
        <w:rPr>
          <w:rFonts w:ascii="Arial" w:cs="Arial" w:eastAsia="Arial" w:hAnsi="Arial"/>
          <w:sz w:val="18"/>
          <w:szCs w:val="18"/>
          <w:u w:val="single" w:color="auto"/>
          <w:color w:val="auto"/>
        </w:rPr>
        <w:t>2000 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u w:val="single" w:color="auto"/>
          <w:color w:val="auto"/>
        </w:rPr>
        <w:t>Equity Definitions</w:t>
      </w:r>
      <w:r>
        <w:rPr>
          <w:rFonts w:ascii="Arial" w:cs="Arial" w:eastAsia="Arial" w:hAnsi="Arial"/>
          <w:sz w:val="18"/>
          <w:szCs w:val="18"/>
          <w:color w:val="auto"/>
        </w:rPr>
        <w:t>”, and together with the 2000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u w:val="single" w:color="auto"/>
          <w:color w:val="auto"/>
        </w:rPr>
        <w:t>ISDA</w:t>
      </w:r>
      <w:r>
        <w:rPr>
          <w:rFonts w:ascii="Arial" w:cs="Arial" w:eastAsia="Arial" w:hAnsi="Arial"/>
          <w:sz w:val="18"/>
          <w:szCs w:val="18"/>
          <w:color w:val="auto"/>
        </w:rPr>
        <w:t>”). In the event of any inconsistency between the 2000 Definitions and the Equity Definitions, the Equity Definitions will govern.</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in the form of the 2002 ISDA Master Agreement (Multicurrency</w:t>
      </w:r>
    </w:p>
    <w:p>
      <w:pPr>
        <w:ind w:right="260"/>
        <w:spacing w:after="0" w:line="273" w:lineRule="auto"/>
        <w:rPr>
          <w:sz w:val="20"/>
          <w:szCs w:val="20"/>
          <w:color w:val="auto"/>
        </w:rPr>
      </w:pPr>
      <w:r>
        <w:rPr>
          <w:rFonts w:ascii="Arial" w:cs="Arial" w:eastAsia="Arial" w:hAnsi="Arial"/>
          <w:sz w:val="17"/>
          <w:szCs w:val="17"/>
          <w:color w:val="auto"/>
        </w:rPr>
        <w:t>— Cross Border) as if Dealer and Counterparty had executed an agreement in such form on the date hereof (but without any Schedule except for (i) New York law (without regard to the conflicts of law principles) as the governing law and (ii) US Dollars (“</w:t>
      </w:r>
      <w:r>
        <w:rPr>
          <w:rFonts w:ascii="Arial" w:cs="Arial" w:eastAsia="Arial" w:hAnsi="Arial"/>
          <w:sz w:val="17"/>
          <w:szCs w:val="17"/>
          <w:u w:val="single" w:color="auto"/>
          <w:color w:val="auto"/>
        </w:rPr>
        <w:t>USD</w:t>
      </w:r>
      <w:r>
        <w:rPr>
          <w:rFonts w:ascii="Arial" w:cs="Arial" w:eastAsia="Arial" w:hAnsi="Arial"/>
          <w:sz w:val="17"/>
          <w:szCs w:val="17"/>
          <w:color w:val="auto"/>
        </w:rPr>
        <w:t>”) as the Termination Currency. The parties hereby agree that no Transactions other than the Transaction to which this Confirmation relates and the other transaction between the parties with the same trade date regarding options on Shares with Reference Number 53228855 shall be governed by the Agreement.</w:t>
      </w:r>
    </w:p>
    <w:p>
      <w:pPr>
        <w:spacing w:after="0" w:line="17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All provisions contained in, or incorporated by reference to, the Agreement will govern this Confirmation except as expressly modified herein. In the event of any inconsistency between this Confirmation and the Definitions or the Agreement, as the case may be, this Confirmation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56"/>
        <w:spacing w:after="0" w:line="277" w:lineRule="auto"/>
        <w:tabs>
          <w:tab w:leader="none" w:pos="9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May 17, 2007</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173"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ind w:left="660"/>
        <w:spacing w:after="0"/>
        <w:rPr>
          <w:sz w:val="20"/>
          <w:szCs w:val="20"/>
          <w:color w:val="auto"/>
        </w:rPr>
      </w:pPr>
      <w:r>
        <w:rPr>
          <w:rFonts w:ascii="Arial" w:cs="Arial" w:eastAsia="Arial" w:hAnsi="Arial"/>
          <w:sz w:val="16"/>
          <w:szCs w:val="16"/>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European</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 Type: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Call</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$0.10 per Share) of Counterparty (Ticker: “MU”)</w:t>
      </w:r>
    </w:p>
    <w:p>
      <w:pPr>
        <w:sectPr>
          <w:pgSz w:w="11900" w:h="16838" w:orient="portrait"/>
          <w:cols w:equalWidth="0" w:num="2">
            <w:col w:w="4240" w:space="720"/>
            <w:col w:w="6460"/>
          </w:cols>
          <w:pgMar w:left="240" w:top="121" w:right="239" w:bottom="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410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9"/>
              </w:rPr>
              <w:t xml:space="preserve">For each Component, as provided in Annex A to this Confirmation;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4"/>
              </w:rPr>
              <w:t>Morgan Stanley &amp; Co. Incorporated (“MS&amp;Co.”), as representative of the Underwriters</w:t>
            </w:r>
          </w:p>
        </w:tc>
      </w:tr>
      <w:tr>
        <w:trPr>
          <w:trHeight w:val="20"/>
        </w:trPr>
        <w:tc>
          <w:tcPr>
            <w:tcW w:w="4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4"/>
              </w:rPr>
              <w:t>named in the Underwriting Agreement dated May 17, 2007 between Counterparty and</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6"/>
              </w:rPr>
              <w:t>MS&amp;Co. (the “Underwriting Agreement”), exercises the option to purchase additional</w:t>
            </w:r>
          </w:p>
        </w:tc>
      </w:tr>
      <w:tr>
        <w:trPr>
          <w:trHeight w:val="20"/>
        </w:trPr>
        <w:tc>
          <w:tcPr>
            <w:tcW w:w="4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7360" w:type="dxa"/>
            <w:vAlign w:val="bottom"/>
            <w:gridSpan w:val="9"/>
          </w:tcPr>
          <w:p>
            <w:pPr>
              <w:ind w:left="860"/>
              <w:spacing w:after="0" w:line="196" w:lineRule="exact"/>
              <w:rPr>
                <w:sz w:val="20"/>
                <w:szCs w:val="20"/>
                <w:color w:val="auto"/>
              </w:rPr>
            </w:pPr>
            <w:r>
              <w:rPr>
                <w:rFonts w:ascii="Arial" w:cs="Arial" w:eastAsia="Arial" w:hAnsi="Arial"/>
                <w:sz w:val="18"/>
                <w:szCs w:val="18"/>
                <w:color w:val="auto"/>
                <w:w w:val="97"/>
              </w:rPr>
              <w:t>1.875% Convertible Senior Notes due June 1, 2014 (“Additional Convertible Notes”)</w:t>
            </w:r>
          </w:p>
        </w:tc>
      </w:tr>
      <w:tr>
        <w:trPr>
          <w:trHeight w:val="20"/>
        </w:trPr>
        <w:tc>
          <w:tcPr>
            <w:tcW w:w="41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5"/>
              </w:rPr>
              <w:t>pursuant to Section 2 of the Underwriting Agreement, the Number of Options for each</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2"/>
              </w:rPr>
              <w:t>Component shall be automatically increased, effective upon payment by Counterparty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9"/>
              </w:rPr>
              <w:t>the Additional Premium on the Additional Premium Payment Date, by a number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5"/>
              </w:rPr>
              <w:t>Options equal to the product of (x) the Number of Options for such Component as set</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6"/>
              </w:rPr>
              <w:t>forth in Annex A to this Confirmation and (y) a fraction, the numerator of which is the</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number of Additional Convertible Notes in denominations of USD1,000 principal</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2"/>
              </w:rPr>
              <w:t>amount issued pursuant to such exercise and the denominator of which is the number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3"/>
              </w:rPr>
              <w:t>Convertible Notes in denominations of USD1,000 principal amount issued prior to such</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8"/>
              </w:rPr>
              <w:t>exercise, subject to rounding as deemed appropriate by the Calculation Agent, and</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7"/>
              </w:rPr>
              <w:t>Calculation Agent will promptly provide Counterparty and Dealer a schedule setting</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forth the increased Number of Options for all Components.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One Share per Option</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USD $14.2312.</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Cap Price: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USD $20.1250.</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Premium:</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3"/>
              </w:rPr>
              <w:t>The premium for each Component shall be as provided in Annex A to this Confirmation;</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Number of Options is increased pursuant to the proviso to the</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definition of “Number of</w:t>
            </w:r>
          </w:p>
        </w:tc>
      </w:tr>
      <w:tr>
        <w:trPr>
          <w:trHeight w:val="702"/>
        </w:trPr>
        <w:tc>
          <w:tcPr>
            <w:tcW w:w="4100" w:type="dxa"/>
            <w:vAlign w:val="bottom"/>
          </w:tcPr>
          <w:p>
            <w:pPr>
              <w:spacing w:after="0"/>
              <w:rPr>
                <w:sz w:val="24"/>
                <w:szCs w:val="24"/>
                <w:color w:val="auto"/>
              </w:rPr>
            </w:pPr>
          </w:p>
        </w:tc>
        <w:tc>
          <w:tcPr>
            <w:tcW w:w="1960" w:type="dxa"/>
            <w:vAlign w:val="bottom"/>
          </w:tcPr>
          <w:p>
            <w:pPr>
              <w:ind w:left="156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5"/>
        </w:trPr>
        <w:tc>
          <w:tcPr>
            <w:tcW w:w="410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r>
        <w:trPr>
          <w:trHeight w:val="563"/>
        </w:trPr>
        <w:tc>
          <w:tcPr>
            <w:tcW w:w="4100" w:type="dxa"/>
            <w:vAlign w:val="bottom"/>
          </w:tcPr>
          <w:p>
            <w:pPr>
              <w:spacing w:after="0"/>
              <w:rPr>
                <w:sz w:val="24"/>
                <w:szCs w:val="24"/>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6"/>
              </w:rPr>
              <w:t>Options” above, Counterparty shall pay on the Additional Premium Payment Date an</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6"/>
              </w:rPr>
              <w:t>additional Premium (the “Additional Premium”) equal to the product of the number of</w:t>
            </w:r>
          </w:p>
        </w:tc>
      </w:tr>
      <w:tr>
        <w:trPr>
          <w:trHeight w:val="20"/>
        </w:trPr>
        <w:tc>
          <w:tcPr>
            <w:tcW w:w="41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1"/>
              </w:rPr>
              <w:t>Options by which the aggregate Number of Options for such Components is so increased</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1"/>
              </w:rPr>
              <w:t>and USD 1.68925. Dealer and Counterparty hereby agree that, notwithstanding anything</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to the contrary herein or in the Agreement, following the payment of the Premium</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7"/>
              </w:rPr>
              <w:t>(including the Additional Premium, if any), in the event that (a) an Early Termination</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6"/>
              </w:rPr>
              <w:t>Date (whether as a result of an Event of Default or a Termination Event) occurs or is</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1"/>
              </w:rPr>
              <w:t>designated with respect to any Transaction and, as a result, Counterparty owes to Dealer</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the amount calculated under Section 6(e) of the Agreement (calculated as if the</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0"/>
              </w:rPr>
              <w:t>Transactions were terminated on such Early Termination Date were the sole Transactions</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4"/>
              </w:rPr>
              <w:t>under the Agreement) or (b) Counterparty owes to Dealer, pursuant to Section 12.7 or</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4"/>
              </w:rPr>
              <w:t>Section 12.9 or the Equity Definitions, an amount calculated under Section 12.8 of the</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Equity Definitions, such amount shall be deemed to be zero.</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Premium Payment Date: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The Effective Date</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May 23, 2007 or such other date as agreed by the parties.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Additional Premium Payment Date: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The closing date for the purchase and sale of the Additional Convertible Notes.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Exchange: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New York Stock Exchange</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Related Exchange: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8"/>
              </w:rPr>
              <w:t>All Exchanges located in the United States on which the equity securities or equity-</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linked securities of Counterparty are traded.</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Expiration Time: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Valuation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-4100830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-4100830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4740" w:type="dxa"/>
            <w:vAlign w:val="bottom"/>
          </w:tcPr>
          <w:p>
            <w:pPr>
              <w:ind w:left="660"/>
              <w:spacing w:after="0"/>
              <w:rPr>
                <w:sz w:val="20"/>
                <w:szCs w:val="20"/>
                <w:color w:val="auto"/>
              </w:rPr>
            </w:pPr>
            <w:r>
              <w:rPr>
                <w:rFonts w:ascii="Arial" w:cs="Arial" w:eastAsia="Arial" w:hAnsi="Arial"/>
                <w:sz w:val="18"/>
                <w:szCs w:val="18"/>
                <w:color w:val="auto"/>
              </w:rPr>
              <w:t>Expiration Date:</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As provided in Annex A to this Confirmation (or, if such date is not a Scheduled Trading</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2"/>
              </w:rPr>
              <w:t>Day, the next following Scheduled Trading Day that is not already an Expiration Date for</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8"/>
              </w:rPr>
              <w:t xml:space="preserve">another Component);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xml:space="preserve"> that, notwithstanding anything to the contrary in the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Equity Definitions, if that date is a Disrupted Day, the Calculation Agent may determine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that the Expiration Date for such Component is a Disrupted Day in whole or in part, in</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9"/>
              </w:rPr>
              <w:t>which case the Calculation Agent shall, in its reasonable discretion, determine the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number of Options for which such day shall be the Expiration Date and (i) allocate the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4"/>
              </w:rPr>
              <w:t>remaining Options for such Expiration Date to one or more of the remaining Expiration</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Dates, (ii) designate the first succeeding Scheduled Trading Day that is not a Disrupted</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Day and is not or is not deemed to be an Expiration Date in respect of any other</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7"/>
              </w:rPr>
              <w:t>Component of the Transaction hereunder as the Expiration Date for such remaining</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 xml:space="preserve">Options, or (iii) a combination thereof; </w:t>
            </w:r>
            <w:r>
              <w:rPr>
                <w:rFonts w:ascii="Arial" w:cs="Arial" w:eastAsia="Arial" w:hAnsi="Arial"/>
                <w:sz w:val="18"/>
                <w:szCs w:val="18"/>
                <w:i w:val="1"/>
                <w:iCs w:val="1"/>
                <w:color w:val="auto"/>
                <w:w w:val="95"/>
              </w:rPr>
              <w:t>provided further</w:t>
            </w:r>
            <w:r>
              <w:rPr>
                <w:rFonts w:ascii="Arial" w:cs="Arial" w:eastAsia="Arial" w:hAnsi="Arial"/>
                <w:sz w:val="18"/>
                <w:szCs w:val="18"/>
                <w:color w:val="auto"/>
                <w:w w:val="95"/>
              </w:rPr>
              <w:t xml:space="preserve"> that if the Expiration Date for a</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Component (including any portion of a Component whose Expiration Date was</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postponed as a result of clause (ii) or (iii) above) has not occurred as of the Final</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6"/>
              </w:rPr>
              <w:t>Disruption Date, (a) such Final Disruption Date shall be deemed to be the Expiration</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9"/>
              </w:rPr>
              <w:t>Date and Valuation Date for such Component, and (b) the Calculation Agent shall</w:t>
            </w:r>
          </w:p>
        </w:tc>
      </w:tr>
      <w:tr>
        <w:trPr>
          <w:trHeight w:val="230"/>
        </w:trPr>
        <w:tc>
          <w:tcPr>
            <w:tcW w:w="4740" w:type="dxa"/>
            <w:vAlign w:val="bottom"/>
          </w:tcPr>
          <w:p>
            <w:pPr>
              <w:spacing w:after="0"/>
              <w:rPr>
                <w:sz w:val="20"/>
                <w:szCs w:val="20"/>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determine the VWAP Price for</w:t>
            </w:r>
          </w:p>
        </w:tc>
      </w:tr>
      <w:tr>
        <w:trPr>
          <w:trHeight w:val="702"/>
        </w:trPr>
        <w:tc>
          <w:tcPr>
            <w:tcW w:w="4740" w:type="dxa"/>
            <w:vAlign w:val="bottom"/>
          </w:tcPr>
          <w:p>
            <w:pPr>
              <w:spacing w:after="0"/>
              <w:rPr>
                <w:sz w:val="24"/>
                <w:szCs w:val="24"/>
                <w:color w:val="auto"/>
              </w:rPr>
            </w:pPr>
          </w:p>
        </w:tc>
        <w:tc>
          <w:tcPr>
            <w:tcW w:w="2720" w:type="dxa"/>
            <w:vAlign w:val="bottom"/>
          </w:tcPr>
          <w:p>
            <w:pPr>
              <w:ind w:left="92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75"/>
        </w:trPr>
        <w:tc>
          <w:tcPr>
            <w:tcW w:w="474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3000" w:type="dxa"/>
            <w:vAlign w:val="bottom"/>
            <w:tcBorders>
              <w:bottom w:val="single" w:sz="8" w:color="010101"/>
            </w:tcBorders>
          </w:tcPr>
          <w:p>
            <w:pPr>
              <w:spacing w:after="0"/>
              <w:rPr>
                <w:sz w:val="24"/>
                <w:szCs w:val="24"/>
                <w:color w:val="auto"/>
              </w:rPr>
            </w:pPr>
          </w:p>
        </w:tc>
      </w:tr>
      <w:tr>
        <w:trPr>
          <w:trHeight w:val="563"/>
        </w:trPr>
        <w:tc>
          <w:tcPr>
            <w:tcW w:w="4740" w:type="dxa"/>
            <w:vAlign w:val="bottom"/>
          </w:tcPr>
          <w:p>
            <w:pPr>
              <w:spacing w:after="0"/>
              <w:rPr>
                <w:sz w:val="24"/>
                <w:szCs w:val="24"/>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9"/>
              </w:rPr>
              <w:t>such Component on the basis of its good faith estimate of the trading value for the</w:t>
            </w:r>
          </w:p>
        </w:tc>
      </w:tr>
      <w:tr>
        <w:trPr>
          <w:trHeight w:val="222"/>
        </w:trPr>
        <w:tc>
          <w:tcPr>
            <w:tcW w:w="4740" w:type="dxa"/>
            <w:vAlign w:val="bottom"/>
          </w:tcPr>
          <w:p>
            <w:pPr>
              <w:spacing w:after="0"/>
              <w:rPr>
                <w:sz w:val="19"/>
                <w:szCs w:val="19"/>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4"/>
              </w:rPr>
              <w:t xml:space="preserve">relevant Shares. </w:t>
            </w:r>
            <w:r>
              <w:rPr>
                <w:rFonts w:ascii="Arial" w:cs="Arial" w:eastAsia="Arial" w:hAnsi="Arial"/>
                <w:sz w:val="17"/>
                <w:szCs w:val="17"/>
                <w:color w:val="auto"/>
                <w:w w:val="94"/>
              </w:rPr>
              <w:t>Section 6.6 of the Equity Definitions shall not apply to any Valuation Date</w:t>
            </w:r>
          </w:p>
        </w:tc>
      </w:tr>
      <w:tr>
        <w:trPr>
          <w:trHeight w:val="222"/>
        </w:trPr>
        <w:tc>
          <w:tcPr>
            <w:tcW w:w="4740" w:type="dxa"/>
            <w:vAlign w:val="bottom"/>
          </w:tcPr>
          <w:p>
            <w:pPr>
              <w:spacing w:after="0"/>
              <w:rPr>
                <w:sz w:val="19"/>
                <w:szCs w:val="19"/>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occurring on an Expiration Date.</w:t>
            </w:r>
          </w:p>
        </w:tc>
      </w:tr>
      <w:tr>
        <w:trPr>
          <w:trHeight w:val="434"/>
        </w:trPr>
        <w:tc>
          <w:tcPr>
            <w:tcW w:w="4740" w:type="dxa"/>
            <w:vAlign w:val="bottom"/>
          </w:tcPr>
          <w:p>
            <w:pPr>
              <w:ind w:left="660"/>
              <w:spacing w:after="0"/>
              <w:rPr>
                <w:sz w:val="20"/>
                <w:szCs w:val="20"/>
                <w:color w:val="auto"/>
              </w:rPr>
            </w:pPr>
            <w:r>
              <w:rPr>
                <w:rFonts w:ascii="Arial" w:cs="Arial" w:eastAsia="Arial" w:hAnsi="Arial"/>
                <w:sz w:val="18"/>
                <w:szCs w:val="18"/>
                <w:color w:val="auto"/>
              </w:rPr>
              <w:t>Final Disruption Date:</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August 1, 2012.</w:t>
            </w:r>
          </w:p>
        </w:tc>
      </w:tr>
      <w:tr>
        <w:trPr>
          <w:trHeight w:val="418"/>
        </w:trPr>
        <w:tc>
          <w:tcPr>
            <w:tcW w:w="4740" w:type="dxa"/>
            <w:vAlign w:val="bottom"/>
          </w:tcPr>
          <w:p>
            <w:pPr>
              <w:ind w:left="660"/>
              <w:spacing w:after="0"/>
              <w:rPr>
                <w:sz w:val="20"/>
                <w:szCs w:val="20"/>
                <w:color w:val="auto"/>
              </w:rPr>
            </w:pPr>
            <w:r>
              <w:rPr>
                <w:rFonts w:ascii="Arial" w:cs="Arial" w:eastAsia="Arial" w:hAnsi="Arial"/>
                <w:sz w:val="18"/>
                <w:szCs w:val="18"/>
                <w:color w:val="auto"/>
              </w:rPr>
              <w:t>Market Disruption Event:</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Section 6.3(a) of the Equity Definitions is hereby amended by replacing clause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(ii) thereof in its entirety with the following: “(ii) an Exchange Disruption, or” and</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4"/>
              </w:rPr>
              <w:t>inserting immediately following clause (iii) thereof the following: “; in each case that the</w:t>
            </w:r>
          </w:p>
        </w:tc>
      </w:tr>
      <w:tr>
        <w:trPr>
          <w:trHeight w:val="230"/>
        </w:trPr>
        <w:tc>
          <w:tcPr>
            <w:tcW w:w="4740" w:type="dxa"/>
            <w:vAlign w:val="bottom"/>
          </w:tcPr>
          <w:p>
            <w:pPr>
              <w:spacing w:after="0"/>
              <w:rPr>
                <w:sz w:val="20"/>
                <w:szCs w:val="20"/>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Calculation Agent determines is material.”</w:t>
            </w:r>
          </w:p>
        </w:tc>
      </w:tr>
      <w:tr>
        <w:trPr>
          <w:trHeight w:val="418"/>
        </w:trPr>
        <w:tc>
          <w:tcPr>
            <w:tcW w:w="4740" w:type="dxa"/>
            <w:vAlign w:val="bottom"/>
          </w:tcPr>
          <w:p>
            <w:pPr>
              <w:ind w:left="660"/>
              <w:spacing w:after="0"/>
              <w:rPr>
                <w:sz w:val="20"/>
                <w:szCs w:val="20"/>
                <w:color w:val="auto"/>
              </w:rPr>
            </w:pPr>
            <w:r>
              <w:rPr>
                <w:rFonts w:ascii="Arial" w:cs="Arial" w:eastAsia="Arial" w:hAnsi="Arial"/>
                <w:sz w:val="18"/>
                <w:szCs w:val="18"/>
                <w:color w:val="auto"/>
              </w:rPr>
              <w:t>Exchange Business Day; Disrupted Day:</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Sections 1.29 and 6.4 of the Equity Definitions are hereby amended by adding “, unless</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9"/>
              </w:rPr>
              <w:t>the Calculation Agent reasonably determines that any failure of such Exchange or</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Related Exchange to open does not have a material effect on the trading market for the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Shares” following the words “regular trading sessions” in the third line thereof and the</w:t>
            </w:r>
          </w:p>
        </w:tc>
      </w:tr>
      <w:tr>
        <w:trPr>
          <w:trHeight w:val="230"/>
        </w:trPr>
        <w:tc>
          <w:tcPr>
            <w:tcW w:w="4740" w:type="dxa"/>
            <w:vAlign w:val="bottom"/>
          </w:tcPr>
          <w:p>
            <w:pPr>
              <w:spacing w:after="0"/>
              <w:rPr>
                <w:sz w:val="20"/>
                <w:szCs w:val="20"/>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words “regular trading session” in the second line thereof, respectively.</w:t>
            </w:r>
          </w:p>
        </w:tc>
      </w:tr>
      <w:tr>
        <w:trPr>
          <w:trHeight w:val="418"/>
        </w:trPr>
        <w:tc>
          <w:tcPr>
            <w:tcW w:w="4740" w:type="dxa"/>
            <w:vAlign w:val="bottom"/>
          </w:tcPr>
          <w:p>
            <w:pPr>
              <w:ind w:left="660"/>
              <w:spacing w:after="0"/>
              <w:rPr>
                <w:sz w:val="20"/>
                <w:szCs w:val="20"/>
                <w:color w:val="auto"/>
              </w:rPr>
            </w:pPr>
            <w:r>
              <w:rPr>
                <w:rFonts w:ascii="Arial" w:cs="Arial" w:eastAsia="Arial" w:hAnsi="Arial"/>
                <w:sz w:val="18"/>
                <w:szCs w:val="18"/>
                <w:color w:val="auto"/>
              </w:rPr>
              <w:t>Automatic Exercise:</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Applicable; and means that the Number of Options for the relevant Component will be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deemed to be automatically exercised at the Expiration Time on the Expiration Date for</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2"/>
              </w:rPr>
              <w:t>such Component if at such time such Component is In-the-Money, as determined by the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Calculation Agent, unless Buyer notifies Seller (by telephone or in writing) prior to the</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7"/>
              </w:rPr>
              <w:t>Expiration Time on such Expiration Date that it does not wish Automatic Exercise to</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occur with respect to such Component, in which case Automatic Exercise will not apply</w:t>
            </w:r>
          </w:p>
        </w:tc>
      </w:tr>
      <w:tr>
        <w:trPr>
          <w:trHeight w:val="190"/>
        </w:trPr>
        <w:tc>
          <w:tcPr>
            <w:tcW w:w="4740" w:type="dxa"/>
            <w:vAlign w:val="bottom"/>
          </w:tcPr>
          <w:p>
            <w:pPr>
              <w:spacing w:after="0"/>
              <w:rPr>
                <w:sz w:val="16"/>
                <w:szCs w:val="16"/>
                <w:color w:val="auto"/>
              </w:rPr>
            </w:pPr>
          </w:p>
        </w:tc>
        <w:tc>
          <w:tcPr>
            <w:tcW w:w="672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4"/>
              </w:rPr>
              <w:t>with respect to such Component. “In-the-Money” means, in respect of any Component,</w:t>
            </w:r>
          </w:p>
        </w:tc>
      </w:tr>
      <w:tr>
        <w:trPr>
          <w:trHeight w:val="20"/>
        </w:trPr>
        <w:tc>
          <w:tcPr>
            <w:tcW w:w="4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22"/>
        </w:trPr>
        <w:tc>
          <w:tcPr>
            <w:tcW w:w="4740" w:type="dxa"/>
            <w:vAlign w:val="bottom"/>
          </w:tcPr>
          <w:p>
            <w:pPr>
              <w:spacing w:after="0"/>
              <w:rPr>
                <w:sz w:val="19"/>
                <w:szCs w:val="19"/>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7"/>
              </w:rPr>
              <w:t>that the VWAP Price on the Expiration Date for such Component is greater than the</w:t>
            </w:r>
          </w:p>
        </w:tc>
      </w:tr>
      <w:tr>
        <w:trPr>
          <w:trHeight w:val="230"/>
        </w:trPr>
        <w:tc>
          <w:tcPr>
            <w:tcW w:w="4740" w:type="dxa"/>
            <w:vAlign w:val="bottom"/>
          </w:tcPr>
          <w:p>
            <w:pPr>
              <w:spacing w:after="0"/>
              <w:rPr>
                <w:sz w:val="20"/>
                <w:szCs w:val="20"/>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Strike Price for such Component.</w:t>
            </w:r>
          </w:p>
        </w:tc>
      </w:tr>
      <w:tr>
        <w:trPr>
          <w:trHeight w:val="418"/>
        </w:trPr>
        <w:tc>
          <w:tcPr>
            <w:tcW w:w="4740" w:type="dxa"/>
            <w:vAlign w:val="bottom"/>
          </w:tcPr>
          <w:p>
            <w:pPr>
              <w:ind w:left="660"/>
              <w:spacing w:after="0"/>
              <w:rPr>
                <w:sz w:val="20"/>
                <w:szCs w:val="20"/>
                <w:color w:val="auto"/>
              </w:rPr>
            </w:pPr>
            <w:r>
              <w:rPr>
                <w:rFonts w:ascii="Arial" w:cs="Arial" w:eastAsia="Arial" w:hAnsi="Arial"/>
                <w:sz w:val="18"/>
                <w:szCs w:val="18"/>
                <w:color w:val="auto"/>
              </w:rPr>
              <w:t>Seller’s Telephone Number and Telex and/or</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To be provided by Dealer.</w:t>
            </w:r>
          </w:p>
        </w:tc>
      </w:tr>
      <w:tr>
        <w:trPr>
          <w:trHeight w:val="216"/>
        </w:trPr>
        <w:tc>
          <w:tcPr>
            <w:tcW w:w="4740" w:type="dxa"/>
            <w:vAlign w:val="bottom"/>
          </w:tcPr>
          <w:p>
            <w:pPr>
              <w:ind w:left="660"/>
              <w:spacing w:after="0"/>
              <w:rPr>
                <w:sz w:val="20"/>
                <w:szCs w:val="20"/>
                <w:color w:val="auto"/>
              </w:rPr>
            </w:pPr>
            <w:r>
              <w:rPr>
                <w:rFonts w:ascii="Arial" w:cs="Arial" w:eastAsia="Arial" w:hAnsi="Arial"/>
                <w:sz w:val="18"/>
                <w:szCs w:val="18"/>
                <w:color w:val="auto"/>
                <w:w w:val="95"/>
              </w:rPr>
              <w:t>Facsimile Number and Contact Details for purpose of</w:t>
            </w:r>
          </w:p>
        </w:tc>
        <w:tc>
          <w:tcPr>
            <w:tcW w:w="2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4740" w:type="dxa"/>
            <w:vAlign w:val="bottom"/>
          </w:tcPr>
          <w:p>
            <w:pPr>
              <w:ind w:left="660"/>
              <w:spacing w:after="0"/>
              <w:rPr>
                <w:sz w:val="20"/>
                <w:szCs w:val="20"/>
                <w:color w:val="auto"/>
              </w:rPr>
            </w:pPr>
            <w:r>
              <w:rPr>
                <w:rFonts w:ascii="Arial" w:cs="Arial" w:eastAsia="Arial" w:hAnsi="Arial"/>
                <w:sz w:val="18"/>
                <w:szCs w:val="18"/>
                <w:color w:val="auto"/>
              </w:rPr>
              <w:t>Giving Notice:</w:t>
            </w:r>
          </w:p>
        </w:tc>
        <w:tc>
          <w:tcPr>
            <w:tcW w:w="2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color w:val="auto"/>
              </w:rPr>
              <w:t>Settlement Terms:</w:t>
            </w: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18"/>
        </w:trPr>
        <w:tc>
          <w:tcPr>
            <w:tcW w:w="4740" w:type="dxa"/>
            <w:vAlign w:val="bottom"/>
          </w:tcPr>
          <w:p>
            <w:pPr>
              <w:ind w:left="660"/>
              <w:spacing w:after="0"/>
              <w:rPr>
                <w:sz w:val="20"/>
                <w:szCs w:val="20"/>
                <w:color w:val="auto"/>
              </w:rPr>
            </w:pPr>
            <w:r>
              <w:rPr>
                <w:rFonts w:ascii="Arial" w:cs="Arial" w:eastAsia="Arial" w:hAnsi="Arial"/>
                <w:sz w:val="18"/>
                <w:szCs w:val="18"/>
                <w:color w:val="auto"/>
              </w:rPr>
              <w:t>Settlement Method Election:</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(a) Section 7.1 of the Equity Definitions is hereby amended by</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replacing the term “Physical Settlement” with the term “Net Share Settlement”,</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(b) Counterparty must make a single irrevocable election for all Components and</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4"/>
              </w:rPr>
              <w:t>(c) such Settlement Method Election would be effective only if Counterparty represents</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and warrants to Dealer in writing on the date of such Settlement Method Election that</w:t>
            </w:r>
          </w:p>
        </w:tc>
      </w:tr>
      <w:tr>
        <w:trPr>
          <w:trHeight w:val="216"/>
        </w:trPr>
        <w:tc>
          <w:tcPr>
            <w:tcW w:w="474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5"/>
              </w:rPr>
              <w:t>none of Counterparty and its officers and directors is aware of any material nonpublic</w:t>
            </w:r>
          </w:p>
        </w:tc>
      </w:tr>
      <w:tr>
        <w:trPr>
          <w:trHeight w:val="230"/>
        </w:trPr>
        <w:tc>
          <w:tcPr>
            <w:tcW w:w="4740" w:type="dxa"/>
            <w:vAlign w:val="bottom"/>
          </w:tcPr>
          <w:p>
            <w:pPr>
              <w:spacing w:after="0"/>
              <w:rPr>
                <w:sz w:val="20"/>
                <w:szCs w:val="20"/>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information regarding Counterparty or the Shares as of such date.</w:t>
            </w:r>
          </w:p>
        </w:tc>
      </w:tr>
      <w:tr>
        <w:trPr>
          <w:trHeight w:val="432"/>
        </w:trPr>
        <w:tc>
          <w:tcPr>
            <w:tcW w:w="4740" w:type="dxa"/>
            <w:vAlign w:val="bottom"/>
          </w:tcPr>
          <w:p>
            <w:pPr>
              <w:ind w:left="660"/>
              <w:spacing w:after="0"/>
              <w:rPr>
                <w:sz w:val="20"/>
                <w:szCs w:val="20"/>
                <w:color w:val="auto"/>
              </w:rPr>
            </w:pPr>
            <w:r>
              <w:rPr>
                <w:rFonts w:ascii="Arial" w:cs="Arial" w:eastAsia="Arial" w:hAnsi="Arial"/>
                <w:sz w:val="18"/>
                <w:szCs w:val="18"/>
                <w:color w:val="auto"/>
              </w:rPr>
              <w:t>Electing Party:</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Counterparty</w:t>
            </w:r>
          </w:p>
        </w:tc>
      </w:tr>
      <w:tr>
        <w:trPr>
          <w:trHeight w:val="418"/>
        </w:trPr>
        <w:tc>
          <w:tcPr>
            <w:tcW w:w="4740" w:type="dxa"/>
            <w:vAlign w:val="bottom"/>
          </w:tcPr>
          <w:p>
            <w:pPr>
              <w:ind w:left="660"/>
              <w:spacing w:after="0"/>
              <w:rPr>
                <w:sz w:val="20"/>
                <w:szCs w:val="20"/>
                <w:color w:val="auto"/>
              </w:rPr>
            </w:pPr>
            <w:r>
              <w:rPr>
                <w:rFonts w:ascii="Arial" w:cs="Arial" w:eastAsia="Arial" w:hAnsi="Arial"/>
                <w:sz w:val="18"/>
                <w:szCs w:val="18"/>
                <w:color w:val="auto"/>
              </w:rPr>
              <w:t>Settlement Method Election Date:</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w w:val="99"/>
              </w:rPr>
              <w:t>The fifth Scheduled Trading Day prior to the scheduled Expiration Date for the first</w:t>
            </w:r>
          </w:p>
        </w:tc>
      </w:tr>
      <w:tr>
        <w:trPr>
          <w:trHeight w:val="230"/>
        </w:trPr>
        <w:tc>
          <w:tcPr>
            <w:tcW w:w="4740" w:type="dxa"/>
            <w:vAlign w:val="bottom"/>
          </w:tcPr>
          <w:p>
            <w:pPr>
              <w:spacing w:after="0"/>
              <w:rPr>
                <w:sz w:val="20"/>
                <w:szCs w:val="20"/>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Component.</w:t>
            </w:r>
          </w:p>
        </w:tc>
      </w:tr>
      <w:tr>
        <w:trPr>
          <w:trHeight w:val="432"/>
        </w:trPr>
        <w:tc>
          <w:tcPr>
            <w:tcW w:w="4740" w:type="dxa"/>
            <w:vAlign w:val="bottom"/>
          </w:tcPr>
          <w:p>
            <w:pPr>
              <w:ind w:left="660"/>
              <w:spacing w:after="0"/>
              <w:rPr>
                <w:sz w:val="20"/>
                <w:szCs w:val="20"/>
                <w:color w:val="auto"/>
              </w:rPr>
            </w:pPr>
            <w:r>
              <w:rPr>
                <w:rFonts w:ascii="Arial" w:cs="Arial" w:eastAsia="Arial" w:hAnsi="Arial"/>
                <w:sz w:val="18"/>
                <w:szCs w:val="18"/>
                <w:color w:val="auto"/>
              </w:rPr>
              <w:t>Default Settlement Method:</w:t>
            </w:r>
          </w:p>
        </w:tc>
        <w:tc>
          <w:tcPr>
            <w:tcW w:w="6720" w:type="dxa"/>
            <w:vAlign w:val="bottom"/>
            <w:gridSpan w:val="3"/>
          </w:tcPr>
          <w:p>
            <w:pPr>
              <w:ind w:left="220"/>
              <w:spacing w:after="0"/>
              <w:rPr>
                <w:sz w:val="20"/>
                <w:szCs w:val="20"/>
                <w:color w:val="auto"/>
              </w:rPr>
            </w:pPr>
            <w:r>
              <w:rPr>
                <w:rFonts w:ascii="Arial" w:cs="Arial" w:eastAsia="Arial" w:hAnsi="Arial"/>
                <w:sz w:val="18"/>
                <w:szCs w:val="18"/>
                <w:color w:val="auto"/>
              </w:rPr>
              <w:t>Net Share Settlement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-6707505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-6707505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79"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79" w:gutter="0" w:footer="0" w:header="0"/>
          <w:type w:val="continuous"/>
        </w:sectPr>
      </w:pPr>
    </w:p>
    <w:bookmarkStart w:id="69" w:name="page70"/>
    <w:bookmarkEnd w:id="69"/>
    <w:p>
      <w:pPr>
        <w:ind w:left="320"/>
        <w:spacing w:after="0"/>
        <w:rPr>
          <w:sz w:val="20"/>
          <w:szCs w:val="20"/>
          <w:color w:val="auto"/>
        </w:rPr>
      </w:pPr>
      <w:r>
        <w:rPr>
          <w:rFonts w:ascii="Arial" w:cs="Arial" w:eastAsia="Arial" w:hAnsi="Arial"/>
          <w:sz w:val="18"/>
          <w:szCs w:val="18"/>
          <w:color w:val="auto"/>
        </w:rPr>
        <w:t>Settlement Currency: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Share Settlement: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Applicable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USD</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any Expiration Date or other Exchange Business Day, as displayed on Bloomberg Page “MU.N &lt;Equity&gt; AQR” (or any successor thereto) for the Counterparty with respect to the period between 9:30 a.m. to 4:00 p.m. (New York City time) on such day, as determined by Calculation Agent. If no price is available, or there is a Market Disruption Event on such Expiration Date or other Exchange Business Day, the Calculation Agent shall determine the VWAP Price in a commercially reasonable manner.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Settlement Date shall be the third Scheduled Trading Day after the Expiration Date for the Component (or, in respect of all or part of its obligation to deliver the Number of Shares to be Delivered, such other earlier date or dates Dealer shall determine in its sole discretion).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Net Share Settlement applies, on the Settlement Date for each Component, Dealer shall deliver to Counterparty a number of Shares equal to the sum of the Number of Shares to be Delivered for each Component to the account specified by Counterparty and cash in lieu of any fractional shares for each Component valued at the VWAP Price on the Expiration Date for such Component.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any Component, subject to the last sentence of Section 9.5 of the Equity Definitions:</w:t>
      </w:r>
    </w:p>
    <w:p>
      <w:pPr>
        <w:spacing w:after="0" w:line="248" w:lineRule="exact"/>
        <w:rPr>
          <w:sz w:val="20"/>
          <w:szCs w:val="20"/>
          <w:color w:val="auto"/>
        </w:rPr>
      </w:pPr>
    </w:p>
    <w:p>
      <w:pPr>
        <w:ind w:right="40" w:firstLine="4"/>
        <w:spacing w:after="0" w:line="257" w:lineRule="auto"/>
        <w:tabs>
          <w:tab w:leader="none" w:pos="2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exceeds the Strike Price for such Component but is less than the Cap Price for such Component, a number of Shares equal to (i) the product of (A) the excess of such VWAP Price over such Strike Price, (B) the Number of Options for such Component and (C) the Option Entitlement,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(ii) such VWAP Price;</w:t>
      </w:r>
    </w:p>
    <w:p>
      <w:pPr>
        <w:spacing w:after="0" w:line="188" w:lineRule="exact"/>
        <w:rPr>
          <w:rFonts w:ascii="Arial" w:cs="Arial" w:eastAsia="Arial" w:hAnsi="Arial"/>
          <w:sz w:val="18"/>
          <w:szCs w:val="18"/>
          <w:color w:val="auto"/>
        </w:rPr>
      </w:pPr>
    </w:p>
    <w:p>
      <w:pPr>
        <w:ind w:firstLine="4"/>
        <w:spacing w:after="0" w:line="257" w:lineRule="auto"/>
        <w:tabs>
          <w:tab w:leader="none" w:pos="31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equals or exceeds the Cap Price for such Component, a number of Shares equal to (i) the product of (A) the excess of such Cap Price over the Strike Price for such Component, (B) the Number of Options for such Component and (C) the Option Entitlement,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such VWAP Price; or</w:t>
      </w:r>
    </w:p>
    <w:p>
      <w:pPr>
        <w:spacing w:after="0" w:line="188" w:lineRule="exact"/>
        <w:rPr>
          <w:rFonts w:ascii="Arial" w:cs="Arial" w:eastAsia="Arial" w:hAnsi="Arial"/>
          <w:sz w:val="18"/>
          <w:szCs w:val="18"/>
          <w:color w:val="auto"/>
        </w:rPr>
      </w:pPr>
    </w:p>
    <w:p>
      <w:pPr>
        <w:ind w:right="80" w:firstLine="4"/>
        <w:spacing w:after="0" w:line="308" w:lineRule="auto"/>
        <w:tabs>
          <w:tab w:leader="none" w:pos="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the VWAP Price on the Expiration Date for such Component is less than or equal to the Strike Price for such Component, a number of Shares equal to zero.</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provisions of Sections 9.1(c), 9.8, 9.9, 9.10, 9.11 and 9.12 of the Equity Definitions will be applicable, as if Physical Settlement applied to the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Shares.</w:t>
      </w: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235585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440"/>
          </w:cols>
          <w:pgMar w:left="580" w:top="382" w:right="259" w:bottom="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Settlement:</w:t>
      </w:r>
    </w:p>
    <w:p>
      <w:pPr>
        <w:spacing w:after="0" w:line="225"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Cash Settlement Payment Date:</w:t>
      </w:r>
      <w:r>
        <w:rPr>
          <w:sz w:val="20"/>
          <w:szCs w:val="20"/>
          <w:color w:val="auto"/>
        </w:rPr>
        <w:tab/>
      </w:r>
      <w:r>
        <w:rPr>
          <w:rFonts w:ascii="Arial" w:cs="Arial" w:eastAsia="Arial" w:hAnsi="Arial"/>
          <w:sz w:val="16"/>
          <w:szCs w:val="16"/>
          <w:color w:val="auto"/>
        </w:rPr>
        <w:t>The Cash Settlement Payment Date shall be the third Scheduled Trading Day after the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Expiration Date for each Component.</w:t>
      </w:r>
    </w:p>
    <w:p>
      <w:pPr>
        <w:spacing w:after="0" w:line="211"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Cash Settlement:</w:t>
      </w:r>
      <w:r>
        <w:rPr>
          <w:sz w:val="20"/>
          <w:szCs w:val="20"/>
          <w:color w:val="auto"/>
        </w:rPr>
        <w:tab/>
      </w:r>
      <w:r>
        <w:rPr>
          <w:rFonts w:ascii="Arial" w:cs="Arial" w:eastAsia="Arial" w:hAnsi="Arial"/>
          <w:sz w:val="16"/>
          <w:szCs w:val="16"/>
          <w:color w:val="auto"/>
        </w:rPr>
        <w:t>If Cash Settlement applies, on the relevant Cash Settlement Payment Date for such</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Component, Dealer shall pay to Counterparty an amount equal to the sum of the Option</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Cash Settlement Amount for each Component to the account specified by Counterparty.</w:t>
      </w:r>
    </w:p>
    <w:p>
      <w:pPr>
        <w:spacing w:after="0" w:line="234"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Strike Price Differential:</w:t>
      </w:r>
      <w:r>
        <w:rPr>
          <w:sz w:val="20"/>
          <w:szCs w:val="20"/>
          <w:color w:val="auto"/>
        </w:rPr>
        <w:tab/>
      </w:r>
      <w:r>
        <w:rPr>
          <w:rFonts w:ascii="Arial" w:cs="Arial" w:eastAsia="Arial" w:hAnsi="Arial"/>
          <w:sz w:val="16"/>
          <w:szCs w:val="16"/>
          <w:color w:val="auto"/>
        </w:rPr>
        <w:t>For any Component:</w:t>
      </w:r>
    </w:p>
    <w:p>
      <w:pPr>
        <w:spacing w:after="0" w:line="225" w:lineRule="exact"/>
        <w:rPr>
          <w:sz w:val="20"/>
          <w:szCs w:val="20"/>
          <w:color w:val="auto"/>
        </w:rPr>
      </w:pPr>
    </w:p>
    <w:p>
      <w:pPr>
        <w:ind w:left="4620" w:right="60"/>
        <w:spacing w:after="0" w:line="286" w:lineRule="auto"/>
        <w:rPr>
          <w:sz w:val="20"/>
          <w:szCs w:val="20"/>
          <w:color w:val="auto"/>
        </w:rPr>
      </w:pPr>
      <w:r>
        <w:rPr>
          <w:rFonts w:ascii="Arial" w:cs="Arial" w:eastAsia="Arial" w:hAnsi="Arial"/>
          <w:sz w:val="17"/>
          <w:szCs w:val="17"/>
          <w:color w:val="auto"/>
        </w:rPr>
        <w:t>(i) if the VWAP Price on the Expiration Date for such Component exceeds the Strike Price for such Component but is less than the Cap Price for such Component, an amount equal to the excess of such VWAP Price over such Strike Price.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 if the VWAP Price on the Expiration Date for such Component equals or exceeds the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Cap Price for such Component, an amount equal to the excess of such Cap Price over the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Strike Price for such Component; or</w:t>
      </w:r>
    </w:p>
    <w:p>
      <w:pPr>
        <w:spacing w:after="0" w:line="211" w:lineRule="exact"/>
        <w:rPr>
          <w:sz w:val="20"/>
          <w:szCs w:val="20"/>
          <w:color w:val="auto"/>
        </w:rPr>
      </w:pPr>
    </w:p>
    <w:p>
      <w:pPr>
        <w:ind w:left="4620" w:right="80"/>
        <w:spacing w:after="0" w:line="277" w:lineRule="auto"/>
        <w:rPr>
          <w:sz w:val="20"/>
          <w:szCs w:val="20"/>
          <w:color w:val="auto"/>
        </w:rPr>
      </w:pPr>
      <w:r>
        <w:rPr>
          <w:rFonts w:ascii="Arial" w:cs="Arial" w:eastAsia="Arial" w:hAnsi="Arial"/>
          <w:sz w:val="18"/>
          <w:szCs w:val="18"/>
          <w:color w:val="auto"/>
        </w:rPr>
        <w:t>(iii) if the VWAP Price on the Expiration Date for such Component is less than or equal to the Strike Price for such Component, zero.</w:t>
      </w:r>
    </w:p>
    <w:p>
      <w:pPr>
        <w:sectPr>
          <w:pgSz w:w="11900" w:h="16838" w:orient="portrait"/>
          <w:cols w:equalWidth="0" w:num="1">
            <w:col w:w="11060"/>
          </w:cols>
          <w:pgMar w:left="580" w:top="382" w:right="259"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Share Adjustments:</w:t>
            </w:r>
          </w:p>
        </w:tc>
        <w:tc>
          <w:tcPr>
            <w:tcW w:w="4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8"/>
        </w:trPr>
        <w:tc>
          <w:tcPr>
            <w:tcW w:w="3960" w:type="dxa"/>
            <w:vAlign w:val="bottom"/>
            <w:gridSpan w:val="2"/>
          </w:tcPr>
          <w:p>
            <w:pPr>
              <w:ind w:left="660"/>
              <w:spacing w:after="0"/>
              <w:rPr>
                <w:sz w:val="20"/>
                <w:szCs w:val="20"/>
                <w:color w:val="auto"/>
              </w:rPr>
            </w:pPr>
            <w:r>
              <w:rPr>
                <w:rFonts w:ascii="Arial" w:cs="Arial" w:eastAsia="Arial" w:hAnsi="Arial"/>
                <w:sz w:val="18"/>
                <w:szCs w:val="18"/>
                <w:color w:val="auto"/>
              </w:rPr>
              <w:t>Method of Adjustment:</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Calculation Agent Adjustment; provided that under Section 11.2(e)(v) of the definition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of Potential Adjustment Event the word “repurchase” shall be replaced with the word</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“tender offer”.</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New Shares:</w:t>
            </w: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In the definition of “New Shares” in Section 12.1(i) of the Equity Definitions, the text in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subsection (i) shall be deleted in its entirety and replaced with: “publicly quoted, traded</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or listed on any of the New York Stock Exchange, the NASDAQ Global Select Market</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or the NASDAQ Global Market (or their respective successors)”.</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Consequences of Merger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Share-for-Share:</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Modified Calculation Agent Adjustment and, for the avoidance of doubt, if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9"/>
              </w:rPr>
              <w:t>consideration for the Shares includes (or, at the option of a holder of Shares, may</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2"/>
              </w:rPr>
              <w:t>include) shares of an entity or person not organized under the laws of the United States,</w:t>
            </w:r>
          </w:p>
        </w:tc>
      </w:tr>
      <w:tr>
        <w:trPr>
          <w:trHeight w:val="190"/>
        </w:trPr>
        <w:tc>
          <w:tcPr>
            <w:tcW w:w="1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500" w:type="dxa"/>
            <w:vAlign w:val="bottom"/>
            <w:gridSpan w:val="3"/>
          </w:tcPr>
          <w:p>
            <w:pPr>
              <w:ind w:left="1000"/>
              <w:spacing w:after="0" w:line="190" w:lineRule="exact"/>
              <w:rPr>
                <w:sz w:val="20"/>
                <w:szCs w:val="20"/>
                <w:color w:val="auto"/>
              </w:rPr>
            </w:pPr>
            <w:r>
              <w:rPr>
                <w:rFonts w:ascii="Arial" w:cs="Arial" w:eastAsia="Arial" w:hAnsi="Arial"/>
                <w:sz w:val="18"/>
                <w:szCs w:val="18"/>
                <w:color w:val="auto"/>
              </w:rPr>
              <w:t>any State thereof or the District of Columbia (“Foreign Issuer Shares”), then the</w:t>
            </w: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Calculation Agent may choose to apply Cancellation and Payment to that portion of the</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consideration comprising Foreign Issuer Shares.</w:t>
            </w: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Share-for-Other: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8"/>
              </w:rPr>
              <w:t>Cancellation and Payment (Calculation Agent Determination) on that portion of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Other Consideration that consists of cash; Modified Calculation Agent Adjustment 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remainder of the Other Consideration and, for the avoidance of doubt, if the Other</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Consideration includes (or, at the option of a holder of Shares, may include) Foreign</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Issuer Shares, then the Calculation Agent may</w:t>
            </w:r>
          </w:p>
        </w:tc>
      </w:tr>
      <w:tr>
        <w:trPr>
          <w:trHeight w:val="702"/>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6</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5"/>
        </w:trPr>
        <w:tc>
          <w:tcPr>
            <w:tcW w:w="114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4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r>
      <w:tr>
        <w:trPr>
          <w:trHeight w:val="563"/>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choose to apply Cancellation and Payment to that portion of the Other Consideration</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comprising Foreign Issuer Shares.</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Share-for-Combined:</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Component Adjustment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Tender Offer:</w:t>
            </w: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Applicable; provided that (a) Section 12.1(d) of the Equity Definitions is hereby</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amended by replacing the words “10%” in the third line with “50%”.</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Consequences of Tender Offers: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Share-for-Share:</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Share-for-Other: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8"/>
              </w:rPr>
              <w:t>Cancellation and Payment (Calculation Agent Determination) on that portion of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Other Consideration that consists of cash; Modified Calculation Agent Adjustment 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remainder of the Other Consideration and, for the avoidance of doubt, if the Other</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Consideration includes (or, at the option of a holder of Shares, may include) Foreign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0"/>
              </w:rPr>
              <w:t>Issuer Shares, then the Calculation Agent may choose to apply Cancellation and Payment</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to that portion of the Other Consideration comprising Foreign Issuer Shares.</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Share-for-Combined:</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Component Adjustment</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Nationalization, Insolvency or Delisting:</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Cancellation and Payment (Calculation Agent Determination); provided that in addition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to the provisions of Section 12.6(a)(iii) of the Equity Definitions, it shall also constitute a</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Delisting if the Exchange is located in the United States and the Shares are not</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immediately re-listed, re-traded or re-quoted on any of the New York Stock Exchange,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NASDAQ Global Select Market or the NASDAQ Global Market (or their respective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successors); if the Shares are immediately re-listed, re-traded or re-quoted on any such</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0"/>
              </w:rPr>
              <w:t>exchange or quotation system, such exchange or quotation system shall be deemed to be</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the Exchange.</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Additional Disruption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Change in Law:</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Section 12.9(a)(ii) of the Equity Definitions is hereby amended</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by (i) replacing the phrase “the interpretation” in the third line thereof with the phrase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“or announcement or statement of the formal or informal interpretation”, (ii)</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immediately following the word “that” in the sixth line thereof, adding the phrase “as a</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result of one or more of the circumstances listed in (A) and (B) above” and (iii) deleting</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clause (Y) thereof in its entirety.</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Failure to Deliver: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Not Applicable</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Insolvency Filing:</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-6021705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-6021705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180" w:type="dxa"/>
            <w:vAlign w:val="bottom"/>
          </w:tcPr>
          <w:p>
            <w:pPr>
              <w:ind w:left="660"/>
              <w:spacing w:after="0"/>
              <w:rPr>
                <w:sz w:val="20"/>
                <w:szCs w:val="20"/>
                <w:color w:val="auto"/>
              </w:rPr>
            </w:pPr>
            <w:r>
              <w:rPr>
                <w:rFonts w:ascii="Arial" w:cs="Arial" w:eastAsia="Arial" w:hAnsi="Arial"/>
                <w:sz w:val="18"/>
                <w:szCs w:val="18"/>
                <w:color w:val="auto"/>
              </w:rPr>
              <w:t>(d)</w:t>
            </w:r>
          </w:p>
        </w:tc>
        <w:tc>
          <w:tcPr>
            <w:tcW w:w="2920" w:type="dxa"/>
            <w:vAlign w:val="bottom"/>
          </w:tcPr>
          <w:p>
            <w:pPr>
              <w:ind w:left="100"/>
              <w:spacing w:after="0"/>
              <w:rPr>
                <w:sz w:val="20"/>
                <w:szCs w:val="20"/>
                <w:color w:val="auto"/>
              </w:rPr>
            </w:pPr>
            <w:r>
              <w:rPr>
                <w:rFonts w:ascii="Arial" w:cs="Arial" w:eastAsia="Arial" w:hAnsi="Arial"/>
                <w:sz w:val="18"/>
                <w:szCs w:val="18"/>
                <w:color w:val="auto"/>
              </w:rPr>
              <w:t>Hedging Disruption:</w:t>
            </w:r>
          </w:p>
        </w:tc>
        <w:tc>
          <w:tcPr>
            <w:tcW w:w="7360" w:type="dxa"/>
            <w:vAlign w:val="bottom"/>
          </w:tcPr>
          <w:p>
            <w:pPr>
              <w:ind w:left="860"/>
              <w:spacing w:after="0"/>
              <w:rPr>
                <w:sz w:val="20"/>
                <w:szCs w:val="20"/>
                <w:color w:val="auto"/>
              </w:rPr>
            </w:pPr>
            <w:r>
              <w:rPr>
                <w:rFonts w:ascii="Arial" w:cs="Arial" w:eastAsia="Arial" w:hAnsi="Arial"/>
                <w:sz w:val="18"/>
                <w:szCs w:val="18"/>
                <w:color w:val="auto"/>
              </w:rPr>
              <w:t>Applicable</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(e)</w:t>
            </w:r>
          </w:p>
        </w:tc>
        <w:tc>
          <w:tcPr>
            <w:tcW w:w="2920" w:type="dxa"/>
            <w:vAlign w:val="bottom"/>
          </w:tcPr>
          <w:p>
            <w:pPr>
              <w:ind w:left="100"/>
              <w:spacing w:after="0"/>
              <w:rPr>
                <w:sz w:val="20"/>
                <w:szCs w:val="20"/>
                <w:color w:val="auto"/>
              </w:rPr>
            </w:pPr>
            <w:r>
              <w:rPr>
                <w:rFonts w:ascii="Arial" w:cs="Arial" w:eastAsia="Arial" w:hAnsi="Arial"/>
                <w:sz w:val="18"/>
                <w:szCs w:val="18"/>
                <w:color w:val="auto"/>
              </w:rPr>
              <w:t>Increased Cost of Hedging:</w:t>
            </w:r>
          </w:p>
        </w:tc>
        <w:tc>
          <w:tcPr>
            <w:tcW w:w="7360" w:type="dxa"/>
            <w:vAlign w:val="bottom"/>
          </w:tcPr>
          <w:p>
            <w:pPr>
              <w:ind w:left="860"/>
              <w:spacing w:after="0"/>
              <w:rPr>
                <w:sz w:val="20"/>
                <w:szCs w:val="20"/>
                <w:color w:val="auto"/>
              </w:rPr>
            </w:pPr>
            <w:r>
              <w:rPr>
                <w:rFonts w:ascii="Arial" w:cs="Arial" w:eastAsia="Arial" w:hAnsi="Arial"/>
                <w:sz w:val="18"/>
                <w:szCs w:val="18"/>
                <w:color w:val="auto"/>
              </w:rPr>
              <w:t>Not Applicable</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w w:val="97"/>
              </w:rPr>
              <w:t>Hedging Party:</w:t>
            </w:r>
          </w:p>
        </w:tc>
        <w:tc>
          <w:tcPr>
            <w:tcW w:w="2920" w:type="dxa"/>
            <w:vAlign w:val="bottom"/>
          </w:tcPr>
          <w:p>
            <w:pPr>
              <w:spacing w:after="0"/>
              <w:rPr>
                <w:sz w:val="24"/>
                <w:szCs w:val="24"/>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Dealer</w:t>
            </w: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rPr>
              <w:t>Determining Party:</w:t>
            </w:r>
          </w:p>
        </w:tc>
        <w:tc>
          <w:tcPr>
            <w:tcW w:w="7360" w:type="dxa"/>
            <w:vAlign w:val="bottom"/>
          </w:tcPr>
          <w:p>
            <w:pPr>
              <w:ind w:left="860"/>
              <w:spacing w:after="0"/>
              <w:rPr>
                <w:sz w:val="20"/>
                <w:szCs w:val="20"/>
                <w:color w:val="auto"/>
              </w:rPr>
            </w:pPr>
            <w:r>
              <w:rPr>
                <w:rFonts w:ascii="Arial" w:cs="Arial" w:eastAsia="Arial" w:hAnsi="Arial"/>
                <w:sz w:val="18"/>
                <w:szCs w:val="18"/>
                <w:color w:val="auto"/>
              </w:rPr>
              <w:t>Dealer</w:t>
            </w:r>
          </w:p>
        </w:tc>
      </w:tr>
      <w:tr>
        <w:trPr>
          <w:trHeight w:val="702"/>
        </w:trPr>
        <w:tc>
          <w:tcPr>
            <w:tcW w:w="1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60" w:type="dxa"/>
            <w:vAlign w:val="bottom"/>
          </w:tcPr>
          <w:p>
            <w:pPr>
              <w:ind w:left="1560"/>
              <w:spacing w:after="0"/>
              <w:rPr>
                <w:sz w:val="20"/>
                <w:szCs w:val="20"/>
                <w:color w:val="auto"/>
              </w:rPr>
            </w:pPr>
            <w:r>
              <w:rPr>
                <w:rFonts w:ascii="Arial" w:cs="Arial" w:eastAsia="Arial" w:hAnsi="Arial"/>
                <w:sz w:val="18"/>
                <w:szCs w:val="18"/>
                <w:color w:val="auto"/>
              </w:rPr>
              <w:t>7</w:t>
            </w:r>
          </w:p>
        </w:tc>
      </w:tr>
      <w:tr>
        <w:trPr>
          <w:trHeight w:val="375"/>
        </w:trPr>
        <w:tc>
          <w:tcPr>
            <w:tcW w:w="118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73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71"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Agreements and Acknowledgements Regarding Hedging Activities: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452"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rPr>
          <w:sz w:val="20"/>
          <w:szCs w:val="20"/>
          <w:color w:val="auto"/>
        </w:rPr>
      </w:pPr>
      <w:r>
        <w:rPr>
          <w:rFonts w:ascii="Arial" w:cs="Arial" w:eastAsia="Arial" w:hAnsi="Arial"/>
          <w:sz w:val="16"/>
          <w:szCs w:val="16"/>
          <w:color w:val="auto"/>
        </w:rPr>
        <w:t>Additional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Dealer Payment Instructions: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Dealer.</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Counterparty Payment and Delivery Instructions: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Counterparty.</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102" w:lineRule="exact"/>
        <w:rPr>
          <w:sz w:val="20"/>
          <w:szCs w:val="20"/>
          <w:color w:val="auto"/>
        </w:rPr>
      </w:pPr>
    </w:p>
    <w:p>
      <w:pPr>
        <w:ind w:right="160" w:firstLine="656"/>
        <w:spacing w:after="0" w:line="273" w:lineRule="auto"/>
        <w:tabs>
          <w:tab w:leader="none" w:pos="974"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Calculation Agent</w:t>
      </w:r>
      <w:r>
        <w:rPr>
          <w:rFonts w:ascii="Arial" w:cs="Arial" w:eastAsia="Arial" w:hAnsi="Arial"/>
          <w:sz w:val="17"/>
          <w:szCs w:val="17"/>
          <w:color w:val="auto"/>
        </w:rPr>
        <w:t xml:space="preserve">: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determinations made by the Calculation Agent shall be made in good faith and in a commercially reasonable manner. Following any calculation by the Calculation Agent hereunder, upon a prior written request by Issuer, the Calculation Agent will provide to Counterparty by e-mail to the e-mail address provided by Counterparty in such a prior written request a report (in a commonly used file format for the storage and manipulation of financial data) displaying in reasonable detail the basis for such calculation;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transferee of the Transaction in accordance with the terms of this Confirmation shall act as Calculation Agent with respect to such transferred Transaction without the prior consent of Counterparty, such consent not to be unreasonably withheld.</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sz w:val="20"/>
          <w:szCs w:val="20"/>
          <w:color w:val="auto"/>
        </w:rPr>
      </w:pPr>
    </w:p>
    <w:p>
      <w:pPr>
        <w:ind w:left="1280" w:hanging="624"/>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Office of Dealer for this Transaction is: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Office of Counterparty for this Transaction is: 8000 S. Federal Bay, Boise, Idaho 83716-9632.</w:t>
      </w:r>
    </w:p>
    <w:p>
      <w:pPr>
        <w:spacing w:after="0" w:line="225" w:lineRule="exact"/>
        <w:rPr>
          <w:sz w:val="20"/>
          <w:szCs w:val="20"/>
          <w:color w:val="auto"/>
        </w:rPr>
      </w:pPr>
    </w:p>
    <w:p>
      <w:pPr>
        <w:ind w:left="980" w:hanging="324"/>
        <w:spacing w:after="0"/>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1280" w:hanging="624"/>
        <w:spacing w:after="0"/>
        <w:tabs>
          <w:tab w:leader="none" w:pos="1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460"/>
          </w:cols>
          <w:pgMar w:left="240" w:top="341" w:right="199" w:bottom="71" w:gutter="0" w:footer="0" w:header="0"/>
          <w:type w:val="continuous"/>
        </w:sectPr>
      </w:pP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2080" w:space="540"/>
            <w:col w:w="8840"/>
          </w:cols>
          <w:pgMar w:left="240" w:top="341" w:right="199" w:bottom="71" w:gutter="0" w:footer="0" w:header="0"/>
          <w:type w:val="continuous"/>
        </w:sectPr>
      </w:pPr>
    </w:p>
    <w:p>
      <w:pPr>
        <w:spacing w:after="0" w:line="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Wilson Sonsini Goodrich &amp; Rosati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 Fore,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493-9300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493-6811</w:t>
      </w:r>
    </w:p>
    <w:p>
      <w:pPr>
        <w:spacing w:after="0" w:line="200" w:lineRule="exact"/>
        <w:rPr>
          <w:sz w:val="20"/>
          <w:szCs w:val="20"/>
          <w:color w:val="auto"/>
        </w:rPr>
      </w:pPr>
    </w:p>
    <w:p>
      <w:pPr>
        <w:sectPr>
          <w:pgSz w:w="11900" w:h="16838" w:orient="portrait"/>
          <w:cols w:equalWidth="0" w:num="2">
            <w:col w:w="2380" w:space="240"/>
            <w:col w:w="8840"/>
          </w:cols>
          <w:pgMar w:left="240" w:top="341" w:right="199" w:bottom="71" w:gutter="0" w:footer="0" w:header="0"/>
          <w:type w:val="continuous"/>
        </w:sectPr>
      </w:pPr>
    </w:p>
    <w:p>
      <w:pPr>
        <w:spacing w:after="0" w:line="65" w:lineRule="exact"/>
        <w:rPr>
          <w:sz w:val="20"/>
          <w:szCs w:val="20"/>
          <w:color w:val="auto"/>
        </w:rPr>
      </w:pPr>
    </w:p>
    <w:p>
      <w:pPr>
        <w:ind w:left="1240" w:hanging="584"/>
        <w:spacing w:after="0"/>
        <w:tabs>
          <w:tab w:leader="none" w:pos="12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Address for notices or communications to Dealer shall be transmitted exclusively through Agent at the following address:</w:t>
      </w:r>
    </w:p>
    <w:p>
      <w:pPr>
        <w:sectPr>
          <w:pgSz w:w="11900" w:h="16838" w:orient="portrait"/>
          <w:cols w:equalWidth="0" w:num="1">
            <w:col w:w="11460"/>
          </w:cols>
          <w:pgMar w:left="240" w:top="341" w:right="199" w:bottom="71" w:gutter="0" w:footer="0" w:header="0"/>
          <w:type w:val="continuous"/>
        </w:sect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Credit Suisse, New York branch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10010-3629</w:t>
      </w:r>
    </w:p>
    <w:p>
      <w:pPr>
        <w:spacing w:after="0" w:line="200" w:lineRule="exact"/>
        <w:rPr>
          <w:sz w:val="20"/>
          <w:szCs w:val="20"/>
          <w:color w:val="auto"/>
        </w:rPr>
      </w:pPr>
    </w:p>
    <w:p>
      <w:pPr>
        <w:sectPr>
          <w:pgSz w:w="11900" w:h="16838" w:orient="portrait"/>
          <w:cols w:equalWidth="0" w:num="2">
            <w:col w:w="1900" w:space="720"/>
            <w:col w:w="8840"/>
          </w:cols>
          <w:pgMar w:left="240" w:top="341" w:right="199" w:bottom="71" w:gutter="0" w:footer="0" w:header="0"/>
          <w:type w:val="continuous"/>
        </w:sectPr>
      </w:pP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payments and deliveries:</w:t>
      </w:r>
    </w:p>
    <w:p>
      <w:pPr>
        <w:spacing w:after="0" w:line="18"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1940" w:type="dxa"/>
            <w:vAlign w:val="bottom"/>
          </w:tcPr>
          <w:p>
            <w:pPr>
              <w:ind w:left="20"/>
              <w:spacing w:after="0"/>
              <w:rPr>
                <w:sz w:val="20"/>
                <w:szCs w:val="20"/>
                <w:color w:val="auto"/>
              </w:rPr>
            </w:pPr>
            <w:r>
              <w:rPr>
                <w:rFonts w:ascii="Arial" w:cs="Arial" w:eastAsia="Arial" w:hAnsi="Arial"/>
                <w:sz w:val="18"/>
                <w:szCs w:val="18"/>
                <w:color w:val="auto"/>
                <w:w w:val="89"/>
              </w:rPr>
              <w:t>325 8678 / (212) 325 3213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Facsimile: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1940" w:type="dxa"/>
            <w:vAlign w:val="bottom"/>
          </w:tcPr>
          <w:p>
            <w:pPr>
              <w:ind w:left="20"/>
              <w:spacing w:after="0"/>
              <w:rPr>
                <w:sz w:val="20"/>
                <w:szCs w:val="20"/>
                <w:color w:val="auto"/>
              </w:rPr>
            </w:pPr>
            <w:r>
              <w:rPr>
                <w:rFonts w:ascii="Arial" w:cs="Arial" w:eastAsia="Arial" w:hAnsi="Arial"/>
                <w:sz w:val="18"/>
                <w:szCs w:val="18"/>
                <w:color w:val="auto"/>
              </w:rPr>
              <w:t>325 8175</w:t>
            </w: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all other communications:</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71" w:gutter="0" w:footer="0" w:header="0"/>
          <w:type w:val="continuous"/>
        </w:sectPr>
      </w:pPr>
    </w:p>
    <w:bookmarkStart w:id="72" w:name="page73"/>
    <w:bookmarkEnd w:id="72"/>
    <w:tbl>
      <w:tblPr>
        <w:tblLayout w:type="fixed"/>
        <w:tblInd w:w="128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4440" w:type="dxa"/>
            <w:vAlign w:val="bottom"/>
          </w:tcPr>
          <w:p>
            <w:pPr>
              <w:ind w:left="20"/>
              <w:spacing w:after="0"/>
              <w:rPr>
                <w:sz w:val="20"/>
                <w:szCs w:val="20"/>
                <w:color w:val="auto"/>
              </w:rPr>
            </w:pPr>
            <w:r>
              <w:rPr>
                <w:rFonts w:ascii="Arial" w:cs="Arial" w:eastAsia="Arial" w:hAnsi="Arial"/>
                <w:sz w:val="18"/>
                <w:szCs w:val="18"/>
                <w:color w:val="auto"/>
                <w:w w:val="90"/>
              </w:rPr>
              <w:t>325 8676 / (212) 538 5306 / (212) 538 1193 / (212) 538 6886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Facsimile: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4440" w:type="dxa"/>
            <w:vAlign w:val="bottom"/>
          </w:tcPr>
          <w:p>
            <w:pPr>
              <w:ind w:left="20"/>
              <w:spacing w:after="0"/>
              <w:rPr>
                <w:sz w:val="20"/>
                <w:szCs w:val="20"/>
                <w:color w:val="auto"/>
              </w:rPr>
            </w:pPr>
            <w:r>
              <w:rPr>
                <w:rFonts w:ascii="Arial" w:cs="Arial" w:eastAsia="Arial" w:hAnsi="Arial"/>
                <w:sz w:val="18"/>
                <w:szCs w:val="18"/>
                <w:color w:val="auto"/>
              </w:rPr>
              <w:t>325 8173</w:t>
            </w:r>
          </w:p>
        </w:tc>
      </w:tr>
    </w:tbl>
    <w:p>
      <w:pPr>
        <w:spacing w:after="0" w:line="256" w:lineRule="exact"/>
        <w:rPr>
          <w:sz w:val="20"/>
          <w:szCs w:val="20"/>
          <w:color w:val="auto"/>
        </w:rPr>
      </w:pPr>
    </w:p>
    <w:p>
      <w:pPr>
        <w:ind w:left="980" w:hanging="324"/>
        <w:spacing w:after="0"/>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right="700" w:firstLine="656"/>
        <w:spacing w:after="0" w:line="277" w:lineRule="auto"/>
        <w:tabs>
          <w:tab w:leader="none" w:pos="12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60" w:firstLine="645"/>
        <w:spacing w:after="0" w:line="255" w:lineRule="auto"/>
        <w:tabs>
          <w:tab w:leader="none" w:pos="193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93" w:lineRule="exact"/>
        <w:rPr>
          <w:rFonts w:ascii="Arial" w:cs="Arial" w:eastAsia="Arial" w:hAnsi="Arial"/>
          <w:sz w:val="18"/>
          <w:szCs w:val="18"/>
          <w:color w:val="auto"/>
        </w:rPr>
      </w:pPr>
    </w:p>
    <w:p>
      <w:pPr>
        <w:ind w:left="660" w:firstLine="645"/>
        <w:spacing w:after="0" w:line="279" w:lineRule="auto"/>
        <w:tabs>
          <w:tab w:leader="none" w:pos="1949" w:val="left"/>
        </w:tabs>
        <w:numPr>
          <w:ilvl w:val="1"/>
          <w:numId w:val="168"/>
        </w:numPr>
        <w:rPr>
          <w:rFonts w:ascii="Arial" w:cs="Arial" w:eastAsia="Arial" w:hAnsi="Arial"/>
          <w:sz w:val="17"/>
          <w:szCs w:val="17"/>
          <w:color w:val="auto"/>
        </w:rPr>
      </w:pPr>
      <w:r>
        <w:rPr>
          <w:rFonts w:ascii="Arial" w:cs="Arial" w:eastAsia="Arial" w:hAnsi="Arial"/>
          <w:sz w:val="17"/>
          <w:szCs w:val="17"/>
          <w:color w:val="auto"/>
        </w:rPr>
        <w:t>Counterparty intends the Transaction to qualify as an equity instrument for purposes of EITF Issue No. 00-19. Without limiting the generality of Section 13.1 of the Equity Definitions, Counterparty acknowledges that Dealer is not making any representations or warranties with respect to the treatment of the Transaction under any accounting standards including FASB Statements 128, 133 ( as amended), 149 or 150, EITF Issue No. 00-19, 01-6 or 03-6 (or any successor issue statements) or under FASB’s Liabilities &amp; Equity Project.</w:t>
      </w:r>
    </w:p>
    <w:p>
      <w:pPr>
        <w:spacing w:after="0" w:line="171" w:lineRule="exact"/>
        <w:rPr>
          <w:rFonts w:ascii="Arial" w:cs="Arial" w:eastAsia="Arial" w:hAnsi="Arial"/>
          <w:sz w:val="17"/>
          <w:szCs w:val="17"/>
          <w:color w:val="auto"/>
        </w:rPr>
      </w:pPr>
    </w:p>
    <w:p>
      <w:pPr>
        <w:ind w:left="660" w:right="480" w:firstLine="645"/>
        <w:spacing w:after="0" w:line="277" w:lineRule="auto"/>
        <w:tabs>
          <w:tab w:leader="none" w:pos="196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Prior to the Trade Date, Counterparty shall deliver to Dealer a resolution of Counterparty’s board of directors authorizing the Transaction and such other certificate or certificates as Dealer shall reasonably request.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5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3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195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60" w:right="140" w:firstLine="645"/>
        <w:spacing w:after="0" w:line="291" w:lineRule="auto"/>
        <w:tabs>
          <w:tab w:leader="none" w:pos="196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On the Trade Date and on any Additional Premium Payment Date (A) the assets of Counterparty at their fair valuation exceed the liabilities of Counterparty, including contingent liabilities, (B) the capital of Counterparty is adequate to conduct the business of Counterparty and</w:t>
      </w:r>
    </w:p>
    <w:p>
      <w:pPr>
        <w:ind w:left="660" w:right="320"/>
        <w:spacing w:after="0" w:line="261" w:lineRule="auto"/>
        <w:rPr>
          <w:rFonts w:ascii="Arial" w:cs="Arial" w:eastAsia="Arial" w:hAnsi="Arial"/>
          <w:sz w:val="16"/>
          <w:szCs w:val="16"/>
          <w:color w:val="auto"/>
        </w:rPr>
      </w:pPr>
      <w:r>
        <w:rPr>
          <w:rFonts w:ascii="Arial" w:cs="Arial" w:eastAsia="Arial" w:hAnsi="Arial"/>
          <w:sz w:val="18"/>
          <w:szCs w:val="18"/>
          <w:color w:val="auto"/>
        </w:rPr>
        <w:t>(C) 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6"/>
          <w:szCs w:val="16"/>
          <w:color w:val="auto"/>
        </w:rPr>
      </w:pPr>
    </w:p>
    <w:p>
      <w:pPr>
        <w:ind w:left="660" w:right="20" w:firstLine="645"/>
        <w:spacing w:after="0" w:line="255" w:lineRule="auto"/>
        <w:tabs>
          <w:tab w:leader="none" w:pos="197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During each period starting on the first Expiration Date and ending on the last Expiration Date, in each case sharing a common Final Disruption Date (each a “</w:t>
      </w:r>
      <w:r>
        <w:rPr>
          <w:rFonts w:ascii="Arial" w:cs="Arial" w:eastAsia="Arial" w:hAnsi="Arial"/>
          <w:sz w:val="18"/>
          <w:szCs w:val="18"/>
          <w:u w:val="single" w:color="auto"/>
          <w:color w:val="auto"/>
        </w:rPr>
        <w:t>Settlement Period</w:t>
      </w:r>
      <w:r>
        <w:rPr>
          <w:rFonts w:ascii="Arial" w:cs="Arial" w:eastAsia="Arial" w:hAnsi="Arial"/>
          <w:sz w:val="18"/>
          <w:szCs w:val="18"/>
          <w:color w:val="auto"/>
        </w:rPr>
        <w:t>”), the Shares or securities that are convertible into, or exchangeable or exercisable for Shares shall not be, subject to a “restricted period,” as such term is defined in Regulation M under the Exchange Act (“</w:t>
      </w:r>
      <w:r>
        <w:rPr>
          <w:rFonts w:ascii="Arial" w:cs="Arial" w:eastAsia="Arial" w:hAnsi="Arial"/>
          <w:sz w:val="18"/>
          <w:szCs w:val="18"/>
          <w:u w:val="single" w:color="auto"/>
          <w:color w:val="auto"/>
        </w:rPr>
        <w:t>Regulation M</w:t>
      </w:r>
      <w:r>
        <w:rPr>
          <w:rFonts w:ascii="Arial" w:cs="Arial" w:eastAsia="Arial" w:hAnsi="Arial"/>
          <w:sz w:val="18"/>
          <w:szCs w:val="18"/>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relevant Settlement Period.</w:t>
      </w:r>
    </w:p>
    <w:p>
      <w:pPr>
        <w:spacing w:after="0" w:line="193" w:lineRule="exact"/>
        <w:rPr>
          <w:rFonts w:ascii="Arial" w:cs="Arial" w:eastAsia="Arial" w:hAnsi="Arial"/>
          <w:sz w:val="18"/>
          <w:szCs w:val="18"/>
          <w:color w:val="auto"/>
        </w:rPr>
      </w:pPr>
    </w:p>
    <w:p>
      <w:pPr>
        <w:jc w:val="both"/>
        <w:ind w:left="660" w:right="120" w:firstLine="645"/>
        <w:spacing w:after="0" w:line="264" w:lineRule="auto"/>
        <w:tabs>
          <w:tab w:leader="none" w:pos="198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During each Settlement Period, neither Counterparty nor any “affiliate” or “affiliated purchaser” (each as defined in Rule 10b-18 under the Exchange Act (“</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1" w:lineRule="exact"/>
        <w:rPr>
          <w:sz w:val="20"/>
          <w:szCs w:val="20"/>
          <w:color w:val="auto"/>
        </w:rPr>
      </w:pPr>
    </w:p>
    <w:p>
      <w:pPr>
        <w:ind w:right="260" w:firstLine="656"/>
        <w:spacing w:after="0" w:line="277" w:lineRule="auto"/>
        <w:tabs>
          <w:tab w:leader="none" w:pos="127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right="20" w:firstLine="656"/>
        <w:spacing w:after="0" w:line="287" w:lineRule="auto"/>
        <w:tabs>
          <w:tab w:leader="none" w:pos="12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by virtue of Section 4(2) thereof. Accordingly, Counterparty represents and warrants to Dealer and Dealer represents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without a view to the distribution or resale thereof, (iv) the assignment, transfer or other disposition of the Transaction has not been and will not be registered under the Securities Act and is restricted under this Confirmation, the Securities Act and state securities laws,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ectPr>
          <w:pgSz w:w="11900" w:h="16838" w:orient="portrait"/>
          <w:cols w:equalWidth="0" w:num="1">
            <w:col w:w="11420"/>
          </w:cols>
          <w:pgMar w:left="240" w:top="382" w:right="239" w:bottom="142" w:gutter="0" w:footer="0" w:header="0"/>
        </w:sectPr>
      </w:pPr>
    </w:p>
    <w:bookmarkStart w:id="73" w:name="page74"/>
    <w:bookmarkEnd w:id="73"/>
    <w:p>
      <w:pPr>
        <w:ind w:right="260" w:firstLine="656"/>
        <w:spacing w:after="0" w:line="291" w:lineRule="auto"/>
        <w:tabs>
          <w:tab w:leader="none" w:pos="127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and/or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is a “settlement payment,” as such term is defined in Section 741(8) of the Bankruptcy Code, and (ii) a “swap agreement,” as such term is defined in Section 101(53B) of the Bankruptcy Code, with respect to which each payment and delivery hereunder is a “transfer,” as such term is defined in Section 101(54) of the Bankruptcy Code, and (B) that Dealer is entitled to the protections afforded by, among other sections, Sections 362(b)(6), 362(b)(17), 546(e), 546(g), 555 and 560 of the Bankruptcy Code.</w:t>
      </w:r>
    </w:p>
    <w:p>
      <w:pPr>
        <w:spacing w:after="0" w:line="167" w:lineRule="exact"/>
        <w:rPr>
          <w:rFonts w:ascii="Arial" w:cs="Arial" w:eastAsia="Arial" w:hAnsi="Arial"/>
          <w:sz w:val="16"/>
          <w:szCs w:val="16"/>
          <w:color w:val="auto"/>
        </w:rPr>
      </w:pPr>
    </w:p>
    <w:p>
      <w:pPr>
        <w:ind w:right="20" w:firstLine="656"/>
        <w:spacing w:after="0" w:line="273" w:lineRule="auto"/>
        <w:tabs>
          <w:tab w:leader="none" w:pos="12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Counterparty hereby agrees and acknowledges that the Transaction has not been registered with the Securities and Exchange Commission or any state securities commission and that the Options are being written by Dealer to Counterparty in reliance upon exemptions from any such registration requirements. Counterparty acknowledges that all Options acquired from Dealer will be acquired for investment purposes only and not for the purpose of resale or other transfer except in compliance with the requirements of the Securities Act. Counterparty will not sell or otherwise transfer any Option or any interest therein except in compliance with the requirements of the Securities Act and any subsequent offer or sale of the Options will be solely for Counterparty’s account and not as part of a distribution that would be in violation of the Securities Act.</w:t>
      </w:r>
    </w:p>
    <w:p>
      <w:pPr>
        <w:spacing w:after="0" w:line="178" w:lineRule="exact"/>
        <w:rPr>
          <w:sz w:val="20"/>
          <w:szCs w:val="20"/>
          <w:color w:val="auto"/>
        </w:rPr>
      </w:pPr>
    </w:p>
    <w:p>
      <w:pPr>
        <w:ind w:right="80" w:firstLine="656"/>
        <w:spacing w:after="0" w:line="287" w:lineRule="auto"/>
        <w:tabs>
          <w:tab w:leader="none" w:pos="974"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on such day if following such repurchase, the Notice Percentage as determined on such day is greater by 0.5% than the Notice Percentage included in the immediately preceding Repurchase Notice (or, in the case of the first such Repurchase Notice or the first such Repurchase Notice after the initial Final Disruption Date, greater than 4.5%. The “</w:t>
      </w:r>
      <w:r>
        <w:rPr>
          <w:rFonts w:ascii="Arial" w:cs="Arial" w:eastAsia="Arial" w:hAnsi="Arial"/>
          <w:sz w:val="16"/>
          <w:szCs w:val="16"/>
          <w:u w:val="single" w:color="auto"/>
          <w:color w:val="auto"/>
        </w:rPr>
        <w:t>Notice Percentage</w:t>
      </w:r>
      <w:r>
        <w:rPr>
          <w:rFonts w:ascii="Arial" w:cs="Arial" w:eastAsia="Arial" w:hAnsi="Arial"/>
          <w:sz w:val="16"/>
          <w:szCs w:val="16"/>
          <w:color w:val="auto"/>
        </w:rPr>
        <w:t>” as of any day is the fraction (A) the numerator of which is the aggregate of the Number of Shares for all Components under this Transaction and all other Transactions and (B) the denominator of which is the number of Shares outstanding on such day. In the event that Counterparty fails to provide Dealer with a Repurchase Notice on the day and in the manner specified in this Section 7, then Counterparty to the extent permitted by law agrees to indemnify and hold harmless Dealer, its affiliates and their respective directors, officers, employees, agents and controlling persons (Dealer and each such person being an “Indemnified Person”)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which such Indemnified Person is subject, including without limitation, Section 16 of the Exchange Act), relating to or arising out of such failure.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In addition, Counterparty will reimburse any Indemnified Person for all reasonable expenses (including reasonable counsel fees and expenses) as they are incurred (after notice to Counterparty) in connection with the investigation of, preparation for or defense or settlement of any pending or threatened claim or any action, suit or proceeding (including any governmental or regulatory investigation) arising therefrom, whether or not such Indemnified Person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Issuer will not be liable under this indemnity provision to the extent any loss, claim, damage, liability or expense is found in a final judgment by a court to have resulted from Dealer’s gross negligence or willful misconduct.</w:t>
      </w:r>
    </w:p>
    <w:p>
      <w:pPr>
        <w:spacing w:after="0" w:line="193" w:lineRule="exact"/>
        <w:rPr>
          <w:sz w:val="20"/>
          <w:szCs w:val="20"/>
          <w:color w:val="auto"/>
        </w:rPr>
      </w:pPr>
    </w:p>
    <w:p>
      <w:pPr>
        <w:ind w:right="60" w:firstLine="656"/>
        <w:spacing w:after="0" w:line="267" w:lineRule="auto"/>
        <w:tabs>
          <w:tab w:leader="none" w:pos="974"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Transfer or Assignment</w:t>
      </w:r>
      <w:r>
        <w:rPr>
          <w:rFonts w:ascii="Arial" w:cs="Arial" w:eastAsia="Arial" w:hAnsi="Arial"/>
          <w:sz w:val="17"/>
          <w:szCs w:val="17"/>
          <w:color w:val="auto"/>
        </w:rPr>
        <w:t xml:space="preserve">. Neither party may transfer any of its rights or obligations under this Transaction without the prior written consent of the non-transferring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Equity Percentage exceeds 9%, Dealer may immediately, in its sole discretion, transfer or assign a number of Options sufficient to reduce the Equity Percentage to 8.5% to any third party with (or with a guarantor that has) a rating for its long-term, unsecured and unsubordinated indebtedness of AA or better by Standard &amp; Poor’s Ratings Services or its successor (“</w:t>
      </w:r>
      <w:r>
        <w:rPr>
          <w:rFonts w:ascii="Arial" w:cs="Arial" w:eastAsia="Arial" w:hAnsi="Arial"/>
          <w:sz w:val="17"/>
          <w:szCs w:val="17"/>
          <w:u w:val="single" w:color="auto"/>
          <w:color w:val="auto"/>
        </w:rPr>
        <w:t>S&amp;P</w:t>
      </w:r>
      <w:r>
        <w:rPr>
          <w:rFonts w:ascii="Arial" w:cs="Arial" w:eastAsia="Arial" w:hAnsi="Arial"/>
          <w:sz w:val="17"/>
          <w:szCs w:val="17"/>
          <w:color w:val="auto"/>
        </w:rPr>
        <w:t>”), or Aa2 or better by Moody’s Investors Service, Inc. (“</w:t>
      </w:r>
      <w:r>
        <w:rPr>
          <w:rFonts w:ascii="Arial" w:cs="Arial" w:eastAsia="Arial" w:hAnsi="Arial"/>
          <w:sz w:val="17"/>
          <w:szCs w:val="17"/>
          <w:u w:val="single" w:color="auto"/>
          <w:color w:val="auto"/>
        </w:rPr>
        <w:t>Moody’s</w:t>
      </w:r>
      <w:r>
        <w:rPr>
          <w:rFonts w:ascii="Arial" w:cs="Arial" w:eastAsia="Arial" w:hAnsi="Arial"/>
          <w:sz w:val="17"/>
          <w:szCs w:val="17"/>
          <w:color w:val="auto"/>
        </w:rPr>
        <w:t>”) or, if either S&amp;P or Moody’s ceases to rate such debt, at least an equivalent rating or better by a substitute agency rating mutually agreed by Counterparty and Dealer. If, in the discretion of Dealer, Dealer is unable to effect such transfer or assignment after its commercially reasonable efforts on pricing terms reasonably acceptable to Dealer, Dealer may designate any Scheduled Trading Day as an Early Termination Date and an Additional Termination Date shall be deemed to occur with respect to a portion (the “</w:t>
      </w:r>
      <w:r>
        <w:rPr>
          <w:rFonts w:ascii="Arial" w:cs="Arial" w:eastAsia="Arial" w:hAnsi="Arial"/>
          <w:sz w:val="17"/>
          <w:szCs w:val="17"/>
          <w:u w:val="single" w:color="auto"/>
          <w:color w:val="auto"/>
        </w:rPr>
        <w:t>Terminated Portion</w:t>
      </w:r>
      <w:r>
        <w:rPr>
          <w:rFonts w:ascii="Arial" w:cs="Arial" w:eastAsia="Arial" w:hAnsi="Arial"/>
          <w:sz w:val="17"/>
          <w:szCs w:val="17"/>
          <w:color w:val="auto"/>
        </w:rPr>
        <w:t>”) of this Transaction, allocated to Components as Dealer determines in its discretion, such that the Equity Percentage following such partial termination will be equal to or less than 8.5%. In the event that Dealer so designates an Early Termination Date with respect to a portion of this Transaction, a payment shall be made pursuant to Section 6 of the Agreement as if (i) an Early Termination Date had been designated in respect of a Transaction having terms identical to this Transaction and a Number of Options equal to the Terminated Portion, (ii) Counterparty shall be the Affected Party with respect to such partial termination and (iii) such portion of this Transaction shall be the only Affected Transaction. The “</w:t>
      </w:r>
      <w:r>
        <w:rPr>
          <w:rFonts w:ascii="Arial" w:cs="Arial" w:eastAsia="Arial" w:hAnsi="Arial"/>
          <w:sz w:val="17"/>
          <w:szCs w:val="17"/>
          <w:u w:val="single" w:color="auto"/>
          <w:color w:val="auto"/>
        </w:rPr>
        <w:t>Equity Percentage</w:t>
      </w:r>
      <w:r>
        <w:rPr>
          <w:rFonts w:ascii="Arial" w:cs="Arial" w:eastAsia="Arial" w:hAnsi="Arial"/>
          <w:sz w:val="17"/>
          <w:szCs w:val="17"/>
          <w:color w:val="auto"/>
        </w:rPr>
        <w:t>” as of any day is the fraction (A) the numerator of which is the number of Shares that Dealer or any of its affiliates that are subject to aggregation with Dealer beneficially own (within the meaning of Section 13 of the Exchange Act) on such day and (B) the denominator of which is the number of Shares outstanding on such day. Notwithstanding Section 7 of the Agreement, Counterparty may assign its rights and obligations under this Transaction, in whole or in part, on terms reasonably acceptable to both parties, without any payment being owed from Counterparty to Dealer.</w:t>
      </w:r>
    </w:p>
    <w:p>
      <w:pPr>
        <w:spacing w:after="0" w:line="192" w:lineRule="exact"/>
        <w:rPr>
          <w:rFonts w:ascii="Arial" w:cs="Arial" w:eastAsia="Arial" w:hAnsi="Arial"/>
          <w:sz w:val="17"/>
          <w:szCs w:val="17"/>
          <w:color w:val="auto"/>
        </w:rPr>
      </w:pPr>
    </w:p>
    <w:p>
      <w:pPr>
        <w:ind w:right="20" w:firstLine="656"/>
        <w:spacing w:after="0" w:line="257" w:lineRule="auto"/>
        <w:tabs>
          <w:tab w:leader="none" w:pos="974"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Extension of Settlement</w:t>
      </w:r>
      <w:r>
        <w:rPr>
          <w:rFonts w:ascii="Arial" w:cs="Arial" w:eastAsia="Arial" w:hAnsi="Arial"/>
          <w:sz w:val="18"/>
          <w:szCs w:val="18"/>
          <w:color w:val="auto"/>
        </w:rPr>
        <w:t>. Dealer may divide any Component into additional Components and designate the Expiration Date, the Final Disruption Date and the Number of Options for each such Component if Dealer determines, in its reasonable discretion, that such further division is necessary or advisable to preserve Dealer’s hedging activity hereunder in light of existing liquidity conditions or to enable Dealer to effect purchases of Shares in connection with its hedging activity hereunder in a manner that would, if Dealer were Counterparty or an affiliated purchaser of Counterparty, be compliant with applicable legal and regulatory requirements.</w:t>
      </w:r>
    </w:p>
    <w:p>
      <w:pPr>
        <w:spacing w:after="0" w:line="188" w:lineRule="exact"/>
        <w:rPr>
          <w:rFonts w:ascii="Arial" w:cs="Arial" w:eastAsia="Arial" w:hAnsi="Arial"/>
          <w:sz w:val="18"/>
          <w:szCs w:val="18"/>
          <w:color w:val="auto"/>
        </w:rPr>
      </w:pPr>
    </w:p>
    <w:p>
      <w:pPr>
        <w:ind w:right="260" w:firstLine="656"/>
        <w:spacing w:after="0" w:line="264" w:lineRule="auto"/>
        <w:tabs>
          <w:tab w:leader="none" w:pos="107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Counterparty may elect to terminate this Transaction, in whole or in part, prior to the relevant Expiration Date, on terms acceptable to both parties, and, if such termination occurs following the payment of the premiums for all Components, without any payment being owed from Counterparty to Dealer.</w:t>
      </w:r>
    </w:p>
    <w:p>
      <w:pPr>
        <w:spacing w:after="0" w:line="181" w:lineRule="exact"/>
        <w:rPr>
          <w:rFonts w:ascii="Arial" w:cs="Arial" w:eastAsia="Arial" w:hAnsi="Arial"/>
          <w:sz w:val="18"/>
          <w:szCs w:val="18"/>
          <w:color w:val="auto"/>
        </w:rPr>
      </w:pPr>
    </w:p>
    <w:p>
      <w:pPr>
        <w:ind w:right="100" w:firstLine="656"/>
        <w:spacing w:after="0" w:line="312" w:lineRule="auto"/>
        <w:tabs>
          <w:tab w:leader="none" w:pos="981"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w:t>
      </w:r>
    </w:p>
    <w:p>
      <w:pPr>
        <w:sectPr>
          <w:pgSz w:w="11900" w:h="16838" w:orient="portrait"/>
          <w:cols w:equalWidth="0" w:num="1">
            <w:col w:w="11420"/>
          </w:cols>
          <w:pgMar w:left="240" w:top="125" w:right="239" w:bottom="0" w:gutter="0" w:footer="0" w:header="0"/>
        </w:sectPr>
      </w:pPr>
    </w:p>
    <w:bookmarkStart w:id="74" w:name="page75"/>
    <w:bookmarkEnd w:id="74"/>
    <w:p>
      <w:pPr>
        <w:ind w:right="420"/>
        <w:spacing w:after="0" w:line="277" w:lineRule="auto"/>
        <w:rPr>
          <w:sz w:val="20"/>
          <w:szCs w:val="20"/>
          <w:color w:val="auto"/>
        </w:rPr>
      </w:pPr>
      <w:r>
        <w:rPr>
          <w:rFonts w:ascii="Arial" w:cs="Arial" w:eastAsia="Arial" w:hAnsi="Arial"/>
          <w:sz w:val="18"/>
          <w:szCs w:val="18"/>
          <w:color w:val="auto"/>
        </w:rPr>
        <w:t>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56"/>
        <w:spacing w:after="0" w:line="268" w:lineRule="auto"/>
        <w:tabs>
          <w:tab w:leader="none" w:pos="988"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Alternative Calculations and Payment on Early Termination and on Certain Extraordinary Events</w:t>
      </w:r>
      <w:r>
        <w:rPr>
          <w:rFonts w:ascii="Arial" w:cs="Arial" w:eastAsia="Arial" w:hAnsi="Arial"/>
          <w:sz w:val="17"/>
          <w:szCs w:val="17"/>
          <w:color w:val="auto"/>
        </w:rPr>
        <w:t>. If Dealer shall owe Counterparty any amount pursuant to Section 12.2 of the Equity Definitions and “Consequences of Merger Events” above, or Sections 12.3, 12.6, 12.7 or 12.9 of the Equity Definitions (except in the event of a Tender Offer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7"/>
          <w:szCs w:val="17"/>
          <w:u w:val="single" w:color="auto"/>
          <w:color w:val="auto"/>
        </w:rPr>
        <w:t>Payment Obligation</w:t>
      </w:r>
      <w:r>
        <w:rPr>
          <w:rFonts w:ascii="Arial" w:cs="Arial" w:eastAsia="Arial" w:hAnsi="Arial"/>
          <w:sz w:val="17"/>
          <w:szCs w:val="17"/>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between the hours of 9:00 A.M. and 4:00 P.M. New York City time on the Merger Date, Tender Offer Date, Announcement Date, Early Termination Date or other date of termination, as applicable (“</w:t>
      </w:r>
      <w:r>
        <w:rPr>
          <w:rFonts w:ascii="Arial" w:cs="Arial" w:eastAsia="Arial" w:hAnsi="Arial"/>
          <w:sz w:val="17"/>
          <w:szCs w:val="17"/>
          <w:u w:val="single" w:color="auto"/>
          <w:color w:val="auto"/>
        </w:rPr>
        <w:t>Notice of Share Termination</w:t>
      </w:r>
      <w:r>
        <w:rPr>
          <w:rFonts w:ascii="Arial" w:cs="Arial" w:eastAsia="Arial" w:hAnsi="Arial"/>
          <w:sz w:val="17"/>
          <w:szCs w:val="17"/>
          <w:color w:val="auto"/>
        </w:rPr>
        <w:t>”). Within a commercially reasonable period of time following receipt of a Notice of Share Termination, Dealer shall deliver to Counterparty a number of Share Termination Delivery Units having a cash value equal to the amount of such Payment Obligation (such number of Share Termination Delivery Units to be delivered to be determined by the Calculation Agent as the number of whole Share Termination Delivery Units that could be purchased over a commercially reasonable period of time with the cash equivalent of such payment obligation) (the “</w:t>
      </w:r>
      <w:r>
        <w:rPr>
          <w:rFonts w:ascii="Arial" w:cs="Arial" w:eastAsia="Arial" w:hAnsi="Arial"/>
          <w:sz w:val="17"/>
          <w:szCs w:val="17"/>
          <w:u w:val="single" w:color="auto"/>
          <w:color w:val="auto"/>
        </w:rPr>
        <w:t>Share 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Alternative</w:t>
      </w:r>
      <w:r>
        <w:rPr>
          <w:rFonts w:ascii="Arial" w:cs="Arial" w:eastAsia="Arial" w:hAnsi="Arial"/>
          <w:sz w:val="17"/>
          <w:szCs w:val="17"/>
          <w:color w:val="auto"/>
        </w:rPr>
        <w:t>”).</w:t>
      </w:r>
    </w:p>
    <w:p>
      <w:pPr>
        <w:spacing w:after="0" w:line="188" w:lineRule="exact"/>
        <w:rPr>
          <w:sz w:val="20"/>
          <w:szCs w:val="20"/>
          <w:color w:val="auto"/>
        </w:rPr>
      </w:pPr>
    </w:p>
    <w:p>
      <w:pPr>
        <w:ind w:left="2560" w:right="2300" w:hanging="2552"/>
        <w:spacing w:after="0" w:line="270" w:lineRule="auto"/>
        <w:rPr>
          <w:sz w:val="20"/>
          <w:szCs w:val="20"/>
          <w:color w:val="auto"/>
        </w:rPr>
      </w:pPr>
      <w:r>
        <w:rPr>
          <w:rFonts w:ascii="Arial" w:cs="Arial" w:eastAsia="Arial" w:hAnsi="Arial"/>
          <w:sz w:val="17"/>
          <w:szCs w:val="17"/>
          <w:color w:val="auto"/>
        </w:rPr>
        <w:t>Share Termination Delivery Unit: In the case of a Termination Event, Event of Default, Delisting or Additional Disruption Event, one Share or, in the case 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ectPr>
          <w:pgSz w:w="11900" w:h="16838" w:orient="portrait"/>
          <w:cols w:equalWidth="0" w:num="1">
            <w:col w:w="11420"/>
          </w:cols>
          <w:pgMar w:left="240" w:top="125" w:right="239" w:bottom="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1840" w:space="720"/>
            <w:col w:w="886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If Share Termination Alternative is applicable, the provisions of Sections 9.8, 9.9, 9.10,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9.11 and 9.12 of the Equity Definitions will be applicable as if Physical Settlement applied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termination of the Transaction, except that all references to “Shares” shall be read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references to “Share Termination Delivery Units”;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Agreement contained in Section 9.11 of the Equity Definitions shall be modified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excluding any representations therein relating to restrictions, obligations, limitations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under applicable securities laws as a result of the fact that Buyer is the issuer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any Share Termination Delivery Units (or any part thereof).</w:t>
      </w:r>
    </w:p>
    <w:p>
      <w:pPr>
        <w:spacing w:after="0" w:line="200" w:lineRule="exact"/>
        <w:rPr>
          <w:sz w:val="20"/>
          <w:szCs w:val="20"/>
          <w:color w:val="auto"/>
        </w:rPr>
      </w:pPr>
    </w:p>
    <w:p>
      <w:pPr>
        <w:sectPr>
          <w:pgSz w:w="11900" w:h="16838" w:orient="portrait"/>
          <w:cols w:equalWidth="0" w:num="2">
            <w:col w:w="2040" w:space="520"/>
            <w:col w:w="8860"/>
          </w:cols>
          <w:pgMar w:left="240" w:top="125" w:right="239" w:bottom="0" w:gutter="0" w:footer="0" w:header="0"/>
          <w:type w:val="continuous"/>
        </w:sectPr>
      </w:pP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Set-Off</w:t>
      </w:r>
      <w:r>
        <w:rPr>
          <w:rFonts w:ascii="Arial" w:cs="Arial" w:eastAsia="Arial" w:hAnsi="Arial"/>
          <w:sz w:val="18"/>
          <w:szCs w:val="18"/>
          <w:color w:val="auto"/>
        </w:rPr>
        <w:t>. The parties agree to amend Section 6 of the Agreement by replacing Section 6(f) in its entirety with the following:</w:t>
      </w:r>
    </w:p>
    <w:p>
      <w:pPr>
        <w:spacing w:after="0" w:line="225" w:lineRule="exact"/>
        <w:rPr>
          <w:sz w:val="20"/>
          <w:szCs w:val="20"/>
          <w:color w:val="auto"/>
        </w:rPr>
      </w:pPr>
    </w:p>
    <w:p>
      <w:pPr>
        <w:ind w:left="1300" w:right="420"/>
        <w:spacing w:after="0" w:line="272" w:lineRule="auto"/>
        <w:rPr>
          <w:sz w:val="20"/>
          <w:szCs w:val="20"/>
          <w:color w:val="auto"/>
        </w:rPr>
      </w:pPr>
      <w:r>
        <w:rPr>
          <w:rFonts w:ascii="Arial" w:cs="Arial" w:eastAsia="Arial" w:hAnsi="Arial"/>
          <w:sz w:val="17"/>
          <w:szCs w:val="17"/>
          <w:color w:val="auto"/>
        </w:rPr>
        <w:t>“(f) Upon the occurrence of an Event of Default or Termination Event with respect to a party who is the Defaulting Party or the Affected Party (“</w:t>
      </w:r>
      <w:r>
        <w:rPr>
          <w:rFonts w:ascii="Arial" w:cs="Arial" w:eastAsia="Arial" w:hAnsi="Arial"/>
          <w:sz w:val="17"/>
          <w:szCs w:val="17"/>
          <w:u w:val="single" w:color="auto"/>
          <w:color w:val="auto"/>
        </w:rPr>
        <w:t>X</w:t>
      </w:r>
      <w:r>
        <w:rPr>
          <w:rFonts w:ascii="Arial" w:cs="Arial" w:eastAsia="Arial" w:hAnsi="Arial"/>
          <w:sz w:val="17"/>
          <w:szCs w:val="17"/>
          <w:color w:val="auto"/>
        </w:rPr>
        <w:t>”), the other party (“</w:t>
      </w:r>
      <w:r>
        <w:rPr>
          <w:rFonts w:ascii="Arial" w:cs="Arial" w:eastAsia="Arial" w:hAnsi="Arial"/>
          <w:sz w:val="17"/>
          <w:szCs w:val="17"/>
          <w:u w:val="single" w:color="auto"/>
          <w:color w:val="auto"/>
        </w:rPr>
        <w:t>Y</w:t>
      </w:r>
      <w:r>
        <w:rPr>
          <w:rFonts w:ascii="Arial" w:cs="Arial" w:eastAsia="Arial" w:hAnsi="Arial"/>
          <w:sz w:val="17"/>
          <w:szCs w:val="17"/>
          <w:color w:val="auto"/>
        </w:rPr>
        <w:t>”) will have the right (but not be obliged) without prior notice to X or any other person to set-off or apply any obligation of X under an Equity Contract owed to Y (or any Affiliate of Y) (whether or not matured or contingent and whether or not arising under the Agreement, and regardless of the currency, place of payment or booking office of the obligation) against any obligation of Y (or any Affiliate of Y) under an Equity Contract owed to X (whether or not matured or contingent and whether or not arising under the Agreement, and regardless of the currency, place of payment or booking office of the obligation). Y will give notice to the other party of any set-off effected under this Section 6(f).</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Contract</w:t>
      </w:r>
      <w:r>
        <w:rPr>
          <w:rFonts w:ascii="Arial" w:cs="Arial" w:eastAsia="Arial" w:hAnsi="Arial"/>
          <w:sz w:val="17"/>
          <w:szCs w:val="17"/>
          <w:color w:val="auto"/>
        </w:rPr>
        <w:t>” shall mean for purposes of this Section 6(f) any transaction relating to Shares between X and Y (or any Affiliate of</w:t>
      </w:r>
    </w:p>
    <w:p>
      <w:pPr>
        <w:spacing w:after="0" w:line="35" w:lineRule="exact"/>
        <w:rPr>
          <w:sz w:val="20"/>
          <w:szCs w:val="20"/>
          <w:color w:val="auto"/>
        </w:rPr>
      </w:pPr>
    </w:p>
    <w:p>
      <w:pPr>
        <w:jc w:val="right"/>
        <w:ind w:left="5620" w:right="5620" w:hanging="4315"/>
        <w:spacing w:after="0" w:line="887" w:lineRule="auto"/>
        <w:tabs>
          <w:tab w:leader="none" w:pos="153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that qualifies as ‘equity’ under applicable accounting rules.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3" w:lineRule="exact"/>
        <w:rPr>
          <w:sz w:val="20"/>
          <w:szCs w:val="20"/>
          <w:color w:val="auto"/>
        </w:rPr>
      </w:pPr>
    </w:p>
    <w:p>
      <w:pPr>
        <w:ind w:left="1300" w:right="500"/>
        <w:spacing w:after="0" w:line="264" w:lineRule="auto"/>
        <w:rPr>
          <w:sz w:val="20"/>
          <w:szCs w:val="20"/>
          <w:color w:val="auto"/>
        </w:rPr>
      </w:pPr>
      <w:r>
        <w:rPr>
          <w:rFonts w:ascii="Arial" w:cs="Arial" w:eastAsia="Arial" w:hAnsi="Arial"/>
          <w:sz w:val="18"/>
          <w:szCs w:val="18"/>
          <w:color w:val="auto"/>
        </w:rPr>
        <w:t>Amounts (or the relevant portion of such amounts) subject to set-off may be converted by Y into the Termination Currency at the rate of exchange at which such party would be able, acting in a reasonable manner and in good faith, to purchase the relevant amount of such currency.</w:t>
      </w:r>
    </w:p>
    <w:p>
      <w:pPr>
        <w:spacing w:after="0" w:line="181" w:lineRule="exact"/>
        <w:rPr>
          <w:sz w:val="20"/>
          <w:szCs w:val="20"/>
          <w:color w:val="auto"/>
        </w:rPr>
      </w:pPr>
    </w:p>
    <w:p>
      <w:pPr>
        <w:ind w:left="1300" w:right="740"/>
        <w:spacing w:after="0" w:line="277" w:lineRule="auto"/>
        <w:rPr>
          <w:sz w:val="20"/>
          <w:szCs w:val="20"/>
          <w:color w:val="auto"/>
        </w:rPr>
      </w:pPr>
      <w:r>
        <w:rPr>
          <w:rFonts w:ascii="Arial" w:cs="Arial" w:eastAsia="Arial" w:hAnsi="Arial"/>
          <w:sz w:val="18"/>
          <w:szCs w:val="18"/>
          <w:color w:val="auto"/>
        </w:rPr>
        <w:t>If any obligation is unascertained, Y may in good faith estimate that obligation and set-off in respect of the estimate, subject to the relevant party accounting to the other when the obligation is ascertained.</w:t>
      </w:r>
    </w:p>
    <w:p>
      <w:pPr>
        <w:spacing w:after="0" w:line="170" w:lineRule="exact"/>
        <w:rPr>
          <w:sz w:val="20"/>
          <w:szCs w:val="20"/>
          <w:color w:val="auto"/>
        </w:rPr>
      </w:pPr>
    </w:p>
    <w:p>
      <w:pPr>
        <w:jc w:val="both"/>
        <w:ind w:left="1300" w:right="500"/>
        <w:spacing w:after="0" w:line="264" w:lineRule="auto"/>
        <w:rPr>
          <w:sz w:val="20"/>
          <w:szCs w:val="20"/>
          <w:color w:val="auto"/>
        </w:rPr>
      </w:pPr>
      <w:r>
        <w:rPr>
          <w:rFonts w:ascii="Arial" w:cs="Arial" w:eastAsia="Arial" w:hAnsi="Arial"/>
          <w:sz w:val="18"/>
          <w:szCs w:val="18"/>
          <w:color w:val="auto"/>
        </w:rPr>
        <w:t>Nothing in this Section 6(f) shall be effective to create a charge or other security interest. This Section 6(f) shall be without prejudice and in addition to any right of set-off, combination of accounts, lien or other right to which any party is at any time otherwise entitled (whether by operation of law, contract or otherwise).”</w:t>
      </w:r>
    </w:p>
    <w:p>
      <w:pPr>
        <w:spacing w:after="0" w:line="181" w:lineRule="exact"/>
        <w:rPr>
          <w:sz w:val="20"/>
          <w:szCs w:val="20"/>
          <w:color w:val="auto"/>
        </w:rPr>
      </w:pPr>
    </w:p>
    <w:p>
      <w:pPr>
        <w:ind w:right="100" w:firstLine="656"/>
        <w:spacing w:after="0" w:line="342" w:lineRule="auto"/>
        <w:tabs>
          <w:tab w:leader="none" w:pos="98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Amendment to Equity Definitions.</w:t>
      </w:r>
      <w:r>
        <w:rPr>
          <w:rFonts w:ascii="Arial" w:cs="Arial" w:eastAsia="Arial" w:hAnsi="Arial"/>
          <w:sz w:val="16"/>
          <w:szCs w:val="16"/>
          <w:color w:val="auto"/>
        </w:rPr>
        <w:t xml:space="preserve"> Solely for purposes of applying the Equity Definitions and for purposes of this Confirmation, any reference in the Equity Definitions to a Strike Price shall be deemed to be a reference to either of the Strike Price or the Cap Price, or both, as appropriate.</w:t>
      </w:r>
    </w:p>
    <w:p>
      <w:pPr>
        <w:sectPr>
          <w:pgSz w:w="11900" w:h="16838" w:orient="portrait"/>
          <w:cols w:equalWidth="0" w:num="1">
            <w:col w:w="11420"/>
          </w:cols>
          <w:pgMar w:left="240" w:top="125" w:right="239" w:bottom="0" w:gutter="0" w:footer="0" w:header="0"/>
          <w:type w:val="continuous"/>
        </w:sectPr>
      </w:pPr>
    </w:p>
    <w:bookmarkStart w:id="75" w:name="page76"/>
    <w:bookmarkEnd w:id="75"/>
    <w:p>
      <w:pPr>
        <w:ind w:right="140" w:firstLine="656"/>
        <w:spacing w:after="0" w:line="312" w:lineRule="auto"/>
        <w:tabs>
          <w:tab w:leader="none" w:pos="988"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ind w:firstLine="656"/>
        <w:spacing w:after="0" w:line="268" w:lineRule="auto"/>
        <w:tabs>
          <w:tab w:leader="none" w:pos="988"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Unwind</w:t>
      </w:r>
      <w:r>
        <w:rPr>
          <w:rFonts w:ascii="Arial" w:cs="Arial" w:eastAsia="Arial" w:hAnsi="Arial"/>
          <w:sz w:val="17"/>
          <w:szCs w:val="17"/>
          <w:color w:val="auto"/>
        </w:rPr>
        <w:t>. In the event the sale of the Convertible Notes is not consummated with the initial purchasers pursuant to the Underwriting Agreement, for any reason by the close of business in New York on May 23, 2007 (or such later date as agreed upon by the parties which in no event shall be later than the third Scheduled Trading Day following May 17, 2007) (such date or such later date as agreed upon being the “</w:t>
      </w:r>
      <w:r>
        <w:rPr>
          <w:rFonts w:ascii="Arial" w:cs="Arial" w:eastAsia="Arial" w:hAnsi="Arial"/>
          <w:sz w:val="17"/>
          <w:szCs w:val="17"/>
          <w:u w:val="single" w:color="auto"/>
          <w:color w:val="auto"/>
        </w:rPr>
        <w:t>Accelerated Unwind Date</w:t>
      </w:r>
      <w:r>
        <w:rPr>
          <w:rFonts w:ascii="Arial" w:cs="Arial" w:eastAsia="Arial" w:hAnsi="Arial"/>
          <w:sz w:val="17"/>
          <w:szCs w:val="17"/>
          <w:color w:val="auto"/>
        </w:rPr>
        <w:t>”), this Transaction shall automatically terminate (the “</w:t>
      </w:r>
      <w:r>
        <w:rPr>
          <w:rFonts w:ascii="Arial" w:cs="Arial" w:eastAsia="Arial" w:hAnsi="Arial"/>
          <w:sz w:val="17"/>
          <w:szCs w:val="17"/>
          <w:u w:val="single" w:color="auto"/>
          <w:color w:val="auto"/>
        </w:rPr>
        <w:t>Accelerated Unwind</w:t>
      </w:r>
      <w:r>
        <w:rPr>
          <w:rFonts w:ascii="Arial" w:cs="Arial" w:eastAsia="Arial" w:hAnsi="Arial"/>
          <w:sz w:val="17"/>
          <w:szCs w:val="17"/>
          <w:color w:val="auto"/>
        </w:rPr>
        <w:t xml:space="preserve">”) on the Accelerated Unwind Date and (i) this Transaction and all of the respective rights and obligations of Dealer and Counterparty under this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this Transaction either prior to or after the Accelerated Unwind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 shall reimburse Dealer for any costs or expenses (including market losses) relating to the unwinding of its hedging activities in connection with the Transaction (including any loss or cost incurred as a result of its terminating, liquidating, obtaining or reestablishing any hedge or related trading position). The amount of any such reimbursement shall be determined by Dealer in its sole good faith discretion. Dealer shall notify Counterparty of such amount and Counterparty shall pay such amount in immediately available funds on the Early Unwind Date. Dealer and Counterparty represent and acknowledge to the other that upon an Accelerated Unwind and the satisfaction of counterparty’s payment obligation, if any, as specified in this Section 16, all obligations with respect to this Transaction shall be deemed fully and finally discharged.</w:t>
      </w:r>
    </w:p>
    <w:p>
      <w:pPr>
        <w:spacing w:after="0" w:line="187" w:lineRule="exact"/>
        <w:rPr>
          <w:rFonts w:ascii="Arial" w:cs="Arial" w:eastAsia="Arial" w:hAnsi="Arial"/>
          <w:sz w:val="17"/>
          <w:szCs w:val="17"/>
          <w:color w:val="auto"/>
        </w:rPr>
      </w:pPr>
    </w:p>
    <w:p>
      <w:pPr>
        <w:ind w:right="80" w:firstLine="656"/>
        <w:spacing w:after="0" w:line="257" w:lineRule="auto"/>
        <w:tabs>
          <w:tab w:leader="none" w:pos="98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Counterparty understands and agrees that Agent will act as agent for both parties with respect to the Transaction. Agent is so acting solely in its capacity as agent for Counterparty and Dealer pursuant to instructions from Counterparty and Dealer. Agent shall have no responsibility or personal liability to either party arising from any failure by either party to pay or perform any obligation under the Transaction. Each party agrees to proceed solely against the other to collect or recover any amount owing to it or enforce any of its rights in connection with or as a result of the Transaction.</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Notwithstanding any provisions of the Agreement, all communications relating to the Transaction or the Agreement shall be transmitted exclusively through Agent at Credit Suisse, New York branch, Eleven Madison Avenue, New York, New York 10010-3629.</w:t>
      </w:r>
    </w:p>
    <w:p>
      <w:pPr>
        <w:spacing w:after="0" w:line="166" w:lineRule="exact"/>
        <w:rPr>
          <w:sz w:val="20"/>
          <w:szCs w:val="20"/>
          <w:color w:val="auto"/>
        </w:rPr>
      </w:pPr>
    </w:p>
    <w:p>
      <w:pPr>
        <w:ind w:left="5620" w:right="1620" w:hanging="4964"/>
        <w:spacing w:after="0" w:line="783" w:lineRule="auto"/>
        <w:tabs>
          <w:tab w:leader="none" w:pos="99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 Collateral by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No collateral is required to be posted by Counterparty in respect of this Transaction.</w:t>
      </w:r>
      <w:r>
        <w:rPr>
          <w:rFonts w:ascii="Arial" w:cs="Arial" w:eastAsia="Arial" w:hAnsi="Arial"/>
          <w:sz w:val="18"/>
          <w:szCs w:val="18"/>
          <w:color w:val="auto"/>
        </w:rPr>
        <w:t xml:space="preserve"> 13</w:t>
      </w:r>
    </w:p>
    <w:p>
      <w:pPr>
        <w:spacing w:after="0" w:line="260" w:lineRule="exact"/>
        <w:rPr>
          <w:rFonts w:ascii="Arial" w:cs="Arial" w:eastAsia="Arial" w:hAnsi="Arial"/>
          <w:sz w:val="18"/>
          <w:szCs w:val="18"/>
          <w:color w:val="auto"/>
        </w:rPr>
      </w:pPr>
    </w:p>
    <w:p>
      <w:pPr>
        <w:ind w:right="40" w:firstLine="656"/>
        <w:spacing w:after="0" w:line="285" w:lineRule="auto"/>
        <w:tabs>
          <w:tab w:leader="none" w:pos="988"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Disposition of Hedge Shares</w:t>
      </w:r>
      <w:r>
        <w:rPr>
          <w:rFonts w:ascii="Arial" w:cs="Arial" w:eastAsia="Arial" w:hAnsi="Arial"/>
          <w:sz w:val="16"/>
          <w:szCs w:val="16"/>
          <w:color w:val="auto"/>
        </w:rPr>
        <w:t xml:space="preserve">. Counterparty hereby agrees that if, in the reasonable judgment of counsel for the Dealer, the Shares (the “Hedge Shares”) acquired by Dealer for the purpose of hedging its obligations pursuant to the Transaction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customary in form for registered offerings of equity securities,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18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such Exchange Business Days, and in the amounts, as requested by Dealer.</w:t>
      </w:r>
    </w:p>
    <w:p>
      <w:pPr>
        <w:spacing w:after="0" w:line="388" w:lineRule="exact"/>
        <w:rPr>
          <w:rFonts w:ascii="Arial" w:cs="Arial" w:eastAsia="Arial" w:hAnsi="Arial"/>
          <w:sz w:val="16"/>
          <w:szCs w:val="16"/>
          <w:color w:val="auto"/>
        </w:rPr>
      </w:pPr>
    </w:p>
    <w:p>
      <w:pPr>
        <w:ind w:left="1000" w:hanging="344"/>
        <w:spacing w:after="0"/>
        <w:tabs>
          <w:tab w:leader="none" w:pos="100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Counterparty shall deliver an opinion of counsel, dated as of the Trade Date, in substantially the form attached hereto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Annex B.</w:t>
      </w:r>
    </w:p>
    <w:p>
      <w:pPr>
        <w:spacing w:after="0" w:line="206" w:lineRule="exact"/>
        <w:rPr>
          <w:rFonts w:ascii="Arial" w:cs="Arial" w:eastAsia="Arial" w:hAnsi="Arial"/>
          <w:sz w:val="16"/>
          <w:szCs w:val="16"/>
          <w:color w:val="auto"/>
        </w:rPr>
      </w:pPr>
    </w:p>
    <w:p>
      <w:pPr>
        <w:ind w:left="1000" w:hanging="344"/>
        <w:spacing w:after="0"/>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COUNTERPARTY AND DEALER HEREBY IRREVOCABLY WAIVES (ON ITS OWN BEHALF</w:t>
      </w:r>
    </w:p>
    <w:p>
      <w:pPr>
        <w:spacing w:after="0" w:line="27"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 OR RELATING TO THE TRANSACTION OR THE ACTIONS OF DEALER OR ITS AFFILIATES OR COUNTERPARTY OR ITS AFFILIATES IN THE NEGOTIATION, PERFORMANCE OR ENFORCEMENT HEREOF.</w:t>
      </w:r>
    </w:p>
    <w:p>
      <w:pPr>
        <w:spacing w:after="0" w:line="185" w:lineRule="exact"/>
        <w:rPr>
          <w:rFonts w:ascii="Arial" w:cs="Arial" w:eastAsia="Arial" w:hAnsi="Arial"/>
          <w:sz w:val="18"/>
          <w:szCs w:val="18"/>
          <w:color w:val="auto"/>
        </w:rPr>
      </w:pPr>
    </w:p>
    <w:p>
      <w:pPr>
        <w:ind w:left="1000" w:hanging="344"/>
        <w:spacing w:after="0"/>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AGREEMENT AND THIS CONFIRMATION SHALL BE GOVERNED BY THE LAWS OF THE STATE OF</w:t>
      </w:r>
    </w:p>
    <w:p>
      <w:pPr>
        <w:spacing w:after="0" w:line="27"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9" w:lineRule="exact"/>
        <w:rPr>
          <w:rFonts w:ascii="Arial" w:cs="Arial" w:eastAsia="Arial" w:hAnsi="Arial"/>
          <w:sz w:val="18"/>
          <w:szCs w:val="18"/>
          <w:color w:val="auto"/>
        </w:rPr>
      </w:pPr>
    </w:p>
    <w:p>
      <w:pPr>
        <w:ind w:right="120" w:firstLine="656"/>
        <w:spacing w:after="0" w:line="264" w:lineRule="auto"/>
        <w:tabs>
          <w:tab w:leader="none" w:pos="98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Regulatory Provisions</w:t>
      </w:r>
      <w:r>
        <w:rPr>
          <w:rFonts w:ascii="Arial" w:cs="Arial" w:eastAsia="Arial" w:hAnsi="Arial"/>
          <w:sz w:val="18"/>
          <w:szCs w:val="18"/>
          <w:color w:val="auto"/>
        </w:rPr>
        <w:t>. Counterparty represents and warrants that it has received and read and understands the Notice of Regulatory Treatment and the OTC Option Risk Disclosure Statement. Agent will furnish Counterparty upon written request a statement as to the source and amount of any remuneration received or to be received by Agent in connection with the Transaction evidenced hereby.</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Role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-5723890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3" w:gutter="0" w:footer="0" w:header="0"/>
        </w:sectPr>
      </w:pPr>
    </w:p>
    <w:bookmarkStart w:id="76" w:name="page77"/>
    <w:bookmarkEnd w:id="76"/>
    <w:p>
      <w:pPr>
        <w:ind w:right="20" w:firstLine="656"/>
        <w:spacing w:after="0" w:line="308" w:lineRule="auto"/>
        <w:tabs>
          <w:tab w:leader="none" w:pos="126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Credit Suisse, New York branch, in its capacity as Agent will be responsible for (i) effecting this Transaction, and (ii) maintaining books and records relating to this Transaction in accordance with its standard practices and procedures and in accordance with applicable law.</w:t>
      </w:r>
    </w:p>
    <w:p>
      <w:pPr>
        <w:spacing w:after="0" w:line="146" w:lineRule="exact"/>
        <w:rPr>
          <w:rFonts w:ascii="Arial" w:cs="Arial" w:eastAsia="Arial" w:hAnsi="Arial"/>
          <w:sz w:val="17"/>
          <w:szCs w:val="17"/>
          <w:color w:val="auto"/>
        </w:rPr>
      </w:pPr>
    </w:p>
    <w:p>
      <w:pPr>
        <w:ind w:right="180" w:firstLine="656"/>
        <w:spacing w:after="0" w:line="264" w:lineRule="auto"/>
        <w:tabs>
          <w:tab w:leader="none" w:pos="12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Agent is acting in connection with this Transaction solely in its capacity as Agent for Dealer pursuant to instructions from Dealer. Agent shall have no responsibility or personal liability to Dealer or Issuer arising from any failure by Dealer or Issuer to pay or perform any obligations hereunder, or to monitor or enforce compliance by Dealer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or Issuer with any obligation hereunder, including, without limitation, any obligations to maintain collateral. Each of Dealer and Issuer agrees to proceed solely against the other to collect or recover any securities or monies owing to it in connection with or as a result of this Transaction. Agent shall otherwise have no liability in respect of this Transaction.</w:t>
      </w:r>
    </w:p>
    <w:p>
      <w:pPr>
        <w:spacing w:after="0" w:line="181" w:lineRule="exact"/>
        <w:rPr>
          <w:sz w:val="20"/>
          <w:szCs w:val="20"/>
          <w:color w:val="auto"/>
        </w:rPr>
      </w:pPr>
    </w:p>
    <w:p>
      <w:pPr>
        <w:ind w:left="1280" w:hanging="624"/>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Dealer is regulated by The Securities and Futures Authority and has entered into this Transaction as principal.</w:t>
      </w:r>
    </w:p>
    <w:p>
      <w:pPr>
        <w:spacing w:after="0" w:line="225" w:lineRule="exact"/>
        <w:rPr>
          <w:rFonts w:ascii="Arial" w:cs="Arial" w:eastAsia="Arial" w:hAnsi="Arial"/>
          <w:sz w:val="18"/>
          <w:szCs w:val="18"/>
          <w:color w:val="auto"/>
        </w:rPr>
      </w:pPr>
    </w:p>
    <w:p>
      <w:pPr>
        <w:ind w:right="40" w:firstLine="656"/>
        <w:spacing w:after="0" w:line="264" w:lineRule="auto"/>
        <w:tabs>
          <w:tab w:leader="none" w:pos="12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Dealer and Issuer each represents and agrees (A) that this Transaction is not unsuitable for it in the light of such party’s financial situation, investment objectives and needs and (B) that it is entering into this Transaction in reliance upon such tax, accounting, regulatory, legal and financial advice as it deems necessary and not upon any view expressed by the other or the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this Transaction, by manually signing this Confirmation or this page hereof as evidence of agreement to such terms and providing the other information requested herein and immediately returning an executed copy to Agent at Credit Suisse, New York branch, Eleven Madison Avenue, New York, New York 10010-3629.</w:t>
      </w:r>
    </w:p>
    <w:p>
      <w:pPr>
        <w:spacing w:after="0" w:line="18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CREDIT SUISSE INTERNATIONAL</w:t>
      </w:r>
    </w:p>
    <w:p>
      <w:pPr>
        <w:spacing w:after="0" w:line="200" w:lineRule="exact"/>
        <w:rPr>
          <w:sz w:val="20"/>
          <w:szCs w:val="20"/>
          <w:color w:val="auto"/>
        </w:rPr>
      </w:pPr>
    </w:p>
    <w:p>
      <w:pPr>
        <w:spacing w:after="0" w:line="245"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 Muir</w:t>
            </w:r>
          </w:p>
        </w:tc>
      </w:tr>
      <w:tr>
        <w:trPr>
          <w:trHeight w:val="195"/>
        </w:trPr>
        <w:tc>
          <w:tcPr>
            <w:tcW w:w="3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180"/>
              <w:spacing w:after="0" w:line="195" w:lineRule="exact"/>
              <w:rPr>
                <w:sz w:val="20"/>
                <w:szCs w:val="20"/>
                <w:color w:val="auto"/>
              </w:rPr>
            </w:pPr>
            <w:r>
              <w:rPr>
                <w:rFonts w:ascii="Arial" w:cs="Arial" w:eastAsia="Arial" w:hAnsi="Arial"/>
                <w:sz w:val="18"/>
                <w:szCs w:val="18"/>
                <w:color w:val="auto"/>
              </w:rPr>
              <w:t>Laura Muir</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color w:val="auto"/>
              </w:rPr>
              <w:t>Authorised Signatory</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Sayedur Khan</w:t>
            </w:r>
          </w:p>
        </w:tc>
      </w:tr>
      <w:tr>
        <w:trPr>
          <w:trHeight w:val="195"/>
        </w:trPr>
        <w:tc>
          <w:tcPr>
            <w:tcW w:w="3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180"/>
              <w:spacing w:after="0" w:line="195" w:lineRule="exact"/>
              <w:rPr>
                <w:sz w:val="20"/>
                <w:szCs w:val="20"/>
                <w:color w:val="auto"/>
              </w:rPr>
            </w:pPr>
            <w:r>
              <w:rPr>
                <w:rFonts w:ascii="Arial" w:cs="Arial" w:eastAsia="Arial" w:hAnsi="Arial"/>
                <w:sz w:val="18"/>
                <w:szCs w:val="18"/>
                <w:color w:val="auto"/>
              </w:rPr>
              <w:t>Sayedur Khan</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color w:val="auto"/>
              </w:rPr>
              <w:t>Authorised Signatory</w:t>
            </w:r>
          </w:p>
        </w:tc>
      </w:tr>
    </w:tbl>
    <w:p>
      <w:pPr>
        <w:spacing w:after="0" w:line="200" w:lineRule="exact"/>
        <w:rPr>
          <w:sz w:val="20"/>
          <w:szCs w:val="20"/>
          <w:color w:val="auto"/>
        </w:rPr>
      </w:pPr>
    </w:p>
    <w:p>
      <w:pPr>
        <w:spacing w:after="0" w:line="21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CREDIT SUISSE, NEW YORK BRANCH,</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AS AGENT FOR CREDIT SUISSE</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INTERNATIONAL</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Yolanda Perez-Wilson</w:t>
      </w:r>
    </w:p>
    <w:p>
      <w:pPr>
        <w:spacing w:after="0" w:line="23" w:lineRule="exact"/>
        <w:rPr>
          <w:sz w:val="20"/>
          <w:szCs w:val="20"/>
          <w:color w:val="auto"/>
        </w:rPr>
      </w:pPr>
    </w:p>
    <w:tbl>
      <w:tblPr>
        <w:tblLayout w:type="fixed"/>
        <w:tblInd w:w="536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Yolanda Perez-Wilson</w:t>
            </w:r>
          </w:p>
        </w:tc>
      </w:tr>
      <w:tr>
        <w:trPr>
          <w:trHeight w:val="216"/>
        </w:trPr>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color w:val="auto"/>
              </w:rPr>
              <w:t>Assistant Vice President</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Complex Product Support</w:t>
            </w: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color w:val="auto"/>
              </w:rPr>
              <w:t>By:  /s/ Christy Grant</w:t>
            </w:r>
          </w:p>
        </w:tc>
      </w:tr>
      <w:tr>
        <w:trPr>
          <w:trHeight w:val="195"/>
        </w:trPr>
        <w:tc>
          <w:tcPr>
            <w:tcW w:w="3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Christy Grant</w:t>
            </w:r>
          </w:p>
        </w:tc>
      </w:tr>
      <w:tr>
        <w:trPr>
          <w:trHeight w:val="230"/>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color w:val="auto"/>
              </w:rPr>
              <w:t>Assistant Vice President Operations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 G. Stover, Jr.</w:t>
      </w:r>
    </w:p>
    <w:p>
      <w:pPr>
        <w:spacing w:after="0" w:line="2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Name:</w:t>
        <w:tab/>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5387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of Finance and</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[Confirmation Signature Page]</w:t>
      </w:r>
    </w:p>
    <w:p>
      <w:pPr>
        <w:sectPr>
          <w:pgSz w:w="11900" w:h="16838" w:orient="portrait"/>
          <w:cols w:equalWidth="0" w:num="1">
            <w:col w:w="11420"/>
          </w:cols>
          <w:pgMar w:left="240" w:top="125" w:right="239" w:bottom="0" w:gutter="0" w:footer="0" w:header="0"/>
          <w:type w:val="continuous"/>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CS-2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Opening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480" w:type="dxa"/>
            <w:vAlign w:val="bottom"/>
          </w:tcPr>
          <w:p>
            <w:pPr>
              <w:ind w:left="240"/>
              <w:spacing w:after="0"/>
              <w:rPr>
                <w:sz w:val="20"/>
                <w:szCs w:val="20"/>
                <w:color w:val="auto"/>
              </w:rPr>
            </w:pPr>
            <w:r>
              <w:rPr>
                <w:rFonts w:ascii="Arial" w:cs="Arial" w:eastAsia="Arial" w:hAnsi="Arial"/>
                <w:sz w:val="18"/>
                <w:szCs w:val="18"/>
                <w:color w:val="auto"/>
              </w:rPr>
              <w:t>Micron Technology, Inc.</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8000 S. Federal Bay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Boise, Idaho 83716-9632</w:t>
            </w: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b w:val="1"/>
                <w:bCs w:val="1"/>
                <w:color w:val="auto"/>
              </w:rPr>
              <w:t>A/C:</w:t>
            </w:r>
          </w:p>
        </w:tc>
        <w:tc>
          <w:tcPr>
            <w:tcW w:w="3480" w:type="dxa"/>
            <w:vAlign w:val="bottom"/>
          </w:tcPr>
          <w:p>
            <w:pPr>
              <w:ind w:left="240"/>
              <w:spacing w:after="0"/>
              <w:rPr>
                <w:sz w:val="20"/>
                <w:szCs w:val="20"/>
                <w:color w:val="auto"/>
              </w:rPr>
            </w:pPr>
            <w:r>
              <w:rPr>
                <w:rFonts w:ascii="Arial" w:cs="Arial" w:eastAsia="Arial" w:hAnsi="Arial"/>
                <w:sz w:val="18"/>
                <w:szCs w:val="18"/>
                <w:color w:val="auto"/>
              </w:rPr>
              <w:t>NTPA: YHNMP0</w:t>
            </w: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From:</w:t>
            </w:r>
          </w:p>
        </w:tc>
        <w:tc>
          <w:tcPr>
            <w:tcW w:w="3480" w:type="dxa"/>
            <w:vAlign w:val="bottom"/>
          </w:tcPr>
          <w:p>
            <w:pPr>
              <w:ind w:left="240"/>
              <w:spacing w:after="0"/>
              <w:rPr>
                <w:sz w:val="20"/>
                <w:szCs w:val="20"/>
                <w:color w:val="auto"/>
              </w:rPr>
            </w:pPr>
            <w:r>
              <w:rPr>
                <w:rFonts w:ascii="Arial" w:cs="Arial" w:eastAsia="Arial" w:hAnsi="Arial"/>
                <w:sz w:val="18"/>
                <w:szCs w:val="18"/>
                <w:color w:val="auto"/>
              </w:rPr>
              <w:t>Credit Suisse International</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One Cabot Sqaure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London E14 4QJ</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480" w:type="dxa"/>
            <w:vAlign w:val="bottom"/>
          </w:tcPr>
          <w:p>
            <w:pPr>
              <w:ind w:left="240"/>
              <w:spacing w:after="0"/>
              <w:rPr>
                <w:sz w:val="20"/>
                <w:szCs w:val="20"/>
                <w:color w:val="auto"/>
              </w:rPr>
            </w:pPr>
            <w:r>
              <w:rPr>
                <w:rFonts w:ascii="Arial" w:cs="Arial" w:eastAsia="Arial" w:hAnsi="Arial"/>
                <w:sz w:val="18"/>
                <w:szCs w:val="18"/>
                <w:color w:val="auto"/>
                <w:w w:val="88"/>
              </w:rPr>
              <w:t>Issuer Capped Share Call Option Transaction</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Ref. No:</w:t>
            </w:r>
          </w:p>
        </w:tc>
        <w:tc>
          <w:tcPr>
            <w:tcW w:w="3480" w:type="dxa"/>
            <w:vAlign w:val="bottom"/>
          </w:tcPr>
          <w:p>
            <w:pPr>
              <w:ind w:left="240"/>
              <w:spacing w:after="0"/>
              <w:rPr>
                <w:sz w:val="20"/>
                <w:szCs w:val="20"/>
                <w:color w:val="auto"/>
              </w:rPr>
            </w:pPr>
            <w:r>
              <w:rPr>
                <w:rFonts w:ascii="Arial" w:cs="Arial" w:eastAsia="Arial" w:hAnsi="Arial"/>
                <w:sz w:val="18"/>
                <w:szCs w:val="18"/>
                <w:color w:val="auto"/>
              </w:rPr>
              <w:t>53228855</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480" w:type="dxa"/>
            <w:vAlign w:val="bottom"/>
          </w:tcPr>
          <w:p>
            <w:pPr>
              <w:ind w:left="240"/>
              <w:spacing w:after="0"/>
              <w:rPr>
                <w:sz w:val="20"/>
                <w:szCs w:val="20"/>
                <w:color w:val="auto"/>
              </w:rPr>
            </w:pPr>
            <w:r>
              <w:rPr>
                <w:rFonts w:ascii="Arial" w:cs="Arial" w:eastAsia="Arial" w:hAnsi="Arial"/>
                <w:sz w:val="18"/>
                <w:szCs w:val="18"/>
                <w:color w:val="auto"/>
              </w:rPr>
              <w:t>May 17, 2007</w:t>
            </w:r>
          </w:p>
        </w:tc>
        <w:tc>
          <w:tcPr>
            <w:tcW w:w="0" w:type="dxa"/>
            <w:vAlign w:val="bottom"/>
          </w:tcPr>
          <w:p>
            <w:pPr>
              <w:spacing w:after="0"/>
              <w:rPr>
                <w:sz w:val="1"/>
                <w:szCs w:val="1"/>
                <w:color w:val="auto"/>
              </w:rPr>
            </w:pPr>
          </w:p>
        </w:tc>
      </w:tr>
      <w:tr>
        <w:trPr>
          <w:trHeight w:val="486"/>
        </w:trPr>
        <w:tc>
          <w:tcPr>
            <w:tcW w:w="1100" w:type="dxa"/>
            <w:vAlign w:val="bottom"/>
          </w:tcPr>
          <w:p>
            <w:pPr>
              <w:spacing w:after="0"/>
              <w:rPr>
                <w:sz w:val="20"/>
                <w:szCs w:val="20"/>
                <w:color w:val="auto"/>
              </w:rPr>
            </w:pPr>
            <w:r>
              <w:rPr>
                <w:rFonts w:ascii="Arial" w:cs="Arial" w:eastAsia="Arial" w:hAnsi="Arial"/>
                <w:sz w:val="18"/>
                <w:szCs w:val="18"/>
                <w:color w:val="auto"/>
              </w:rPr>
              <w:t>Dear Sir(s):</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u w:val="single" w:color="auto"/>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u w:val="single" w:color="auto"/>
          <w:color w:val="auto"/>
        </w:rPr>
        <w:t>Transaction</w:t>
      </w:r>
      <w:r>
        <w:rPr>
          <w:rFonts w:ascii="Arial" w:cs="Arial" w:eastAsia="Arial" w:hAnsi="Arial"/>
          <w:sz w:val="18"/>
          <w:szCs w:val="18"/>
          <w:color w:val="auto"/>
        </w:rPr>
        <w:t>”) between Credit Suisse International (“</w:t>
      </w:r>
      <w:r>
        <w:rPr>
          <w:rFonts w:ascii="Arial" w:cs="Arial" w:eastAsia="Arial" w:hAnsi="Arial"/>
          <w:sz w:val="18"/>
          <w:szCs w:val="18"/>
          <w:u w:val="single" w:color="auto"/>
          <w:color w:val="auto"/>
        </w:rPr>
        <w:t>Dealer</w:t>
      </w:r>
      <w:r>
        <w:rPr>
          <w:rFonts w:ascii="Arial" w:cs="Arial" w:eastAsia="Arial" w:hAnsi="Arial"/>
          <w:sz w:val="18"/>
          <w:szCs w:val="18"/>
          <w:color w:val="auto"/>
        </w:rPr>
        <w:t>”) and Micron Technology, Inc. (“</w:t>
      </w:r>
      <w:r>
        <w:rPr>
          <w:rFonts w:ascii="Arial" w:cs="Arial" w:eastAsia="Arial" w:hAnsi="Arial"/>
          <w:sz w:val="18"/>
          <w:szCs w:val="18"/>
          <w:u w:val="single" w:color="auto"/>
          <w:color w:val="auto"/>
        </w:rPr>
        <w:t>Counterparty</w:t>
      </w:r>
      <w:r>
        <w:rPr>
          <w:rFonts w:ascii="Arial" w:cs="Arial" w:eastAsia="Arial" w:hAnsi="Arial"/>
          <w:sz w:val="18"/>
          <w:szCs w:val="18"/>
          <w:color w:val="auto"/>
        </w:rPr>
        <w:t>”). Dealer is acting as principal and Credit Suisse, New York Branch (“</w:t>
      </w:r>
      <w:r>
        <w:rPr>
          <w:rFonts w:ascii="Arial" w:cs="Arial" w:eastAsia="Arial" w:hAnsi="Arial"/>
          <w:sz w:val="18"/>
          <w:szCs w:val="18"/>
          <w:u w:val="single" w:color="auto"/>
          <w:color w:val="auto"/>
        </w:rPr>
        <w:t>Agent</w:t>
      </w:r>
      <w:r>
        <w:rPr>
          <w:rFonts w:ascii="Arial" w:cs="Arial" w:eastAsia="Arial" w:hAnsi="Arial"/>
          <w:sz w:val="18"/>
          <w:szCs w:val="18"/>
          <w:color w:val="auto"/>
        </w:rPr>
        <w:t>”), its affiliate, is acting as agent for Dealer and Counterparty for the Transaction under this Confirmation. This communication constitutes a “</w:t>
      </w:r>
      <w:r>
        <w:rPr>
          <w:rFonts w:ascii="Arial" w:cs="Arial" w:eastAsia="Arial" w:hAnsi="Arial"/>
          <w:sz w:val="18"/>
          <w:szCs w:val="18"/>
          <w:u w:val="single" w:color="auto"/>
          <w:color w:val="auto"/>
        </w:rPr>
        <w:t>Confirmation</w:t>
      </w:r>
      <w:r>
        <w:rPr>
          <w:rFonts w:ascii="Arial" w:cs="Arial" w:eastAsia="Arial" w:hAnsi="Arial"/>
          <w:sz w:val="18"/>
          <w:szCs w:val="18"/>
          <w:color w:val="auto"/>
        </w:rPr>
        <w:t>” as referred to in the ISDA Master Agreement specified below. This Confirmation is a confirmation for purposes of Rule 10b-10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w:t>
      </w:r>
      <w:r>
        <w:rPr>
          <w:rFonts w:ascii="Arial" w:cs="Arial" w:eastAsia="Arial" w:hAnsi="Arial"/>
          <w:sz w:val="18"/>
          <w:szCs w:val="18"/>
          <w:b w:val="1"/>
          <w:bCs w:val="1"/>
          <w:color w:val="auto"/>
        </w:rPr>
        <w:t>Dealer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member of the Securities Investor Protection Corporation.</w:t>
      </w:r>
    </w:p>
    <w:p>
      <w:pPr>
        <w:spacing w:after="0" w:line="193" w:lineRule="exact"/>
        <w:rPr>
          <w:sz w:val="20"/>
          <w:szCs w:val="20"/>
          <w:color w:val="auto"/>
        </w:rPr>
      </w:pPr>
    </w:p>
    <w:p>
      <w:pPr>
        <w:ind w:right="100" w:firstLine="656"/>
        <w:spacing w:after="0" w:line="259" w:lineRule="auto"/>
        <w:tabs>
          <w:tab w:leader="none" w:pos="97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2000 ISDA Definitions (including the Annex thereto) (the “</w:t>
      </w:r>
      <w:r>
        <w:rPr>
          <w:rFonts w:ascii="Arial" w:cs="Arial" w:eastAsia="Arial" w:hAnsi="Arial"/>
          <w:sz w:val="18"/>
          <w:szCs w:val="18"/>
          <w:u w:val="single" w:color="auto"/>
          <w:color w:val="auto"/>
        </w:rPr>
        <w:t>2000 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u w:val="single" w:color="auto"/>
          <w:color w:val="auto"/>
        </w:rPr>
        <w:t>Equity Definitions</w:t>
      </w:r>
      <w:r>
        <w:rPr>
          <w:rFonts w:ascii="Arial" w:cs="Arial" w:eastAsia="Arial" w:hAnsi="Arial"/>
          <w:sz w:val="18"/>
          <w:szCs w:val="18"/>
          <w:color w:val="auto"/>
        </w:rPr>
        <w:t>”, and together with the 2000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u w:val="single" w:color="auto"/>
          <w:color w:val="auto"/>
        </w:rPr>
        <w:t>ISDA</w:t>
      </w:r>
      <w:r>
        <w:rPr>
          <w:rFonts w:ascii="Arial" w:cs="Arial" w:eastAsia="Arial" w:hAnsi="Arial"/>
          <w:sz w:val="18"/>
          <w:szCs w:val="18"/>
          <w:color w:val="auto"/>
        </w:rPr>
        <w:t>”). In the event of any inconsistency between the 2000 Definitions and the Equity Definitions, the Equity Definitions will govern.</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in the form of the 2002 ISDA Master Agreement (Multicurrency</w:t>
      </w:r>
    </w:p>
    <w:p>
      <w:pPr>
        <w:ind w:right="260"/>
        <w:spacing w:after="0" w:line="273" w:lineRule="auto"/>
        <w:rPr>
          <w:sz w:val="20"/>
          <w:szCs w:val="20"/>
          <w:color w:val="auto"/>
        </w:rPr>
      </w:pPr>
      <w:r>
        <w:rPr>
          <w:rFonts w:ascii="Arial" w:cs="Arial" w:eastAsia="Arial" w:hAnsi="Arial"/>
          <w:sz w:val="17"/>
          <w:szCs w:val="17"/>
          <w:color w:val="auto"/>
        </w:rPr>
        <w:t>— Cross Border) as if Dealer and Counterparty had executed an agreement in such form on the date hereof (but without any Schedule except for (i) New York law (without regard to the conflicts of law principles) as the governing law and (ii) US Dollars (“</w:t>
      </w:r>
      <w:r>
        <w:rPr>
          <w:rFonts w:ascii="Arial" w:cs="Arial" w:eastAsia="Arial" w:hAnsi="Arial"/>
          <w:sz w:val="17"/>
          <w:szCs w:val="17"/>
          <w:u w:val="single" w:color="auto"/>
          <w:color w:val="auto"/>
        </w:rPr>
        <w:t>USD</w:t>
      </w:r>
      <w:r>
        <w:rPr>
          <w:rFonts w:ascii="Arial" w:cs="Arial" w:eastAsia="Arial" w:hAnsi="Arial"/>
          <w:sz w:val="17"/>
          <w:szCs w:val="17"/>
          <w:color w:val="auto"/>
        </w:rPr>
        <w:t>”) as the Termination Currency. The parties hereby agree that no Transactions other than the Transaction to which this Confirmation relates and the other transaction between the parties with the same trade date regarding options on Shares with Reference Number 53228800 shall be governed by the Agreement.</w:t>
      </w:r>
    </w:p>
    <w:p>
      <w:pPr>
        <w:spacing w:after="0" w:line="17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All provisions contained in, or incorporated by reference to, the Agreement will govern this Confirmation except as expressly modified herein. In the event of any inconsistency between this Confirmation and the Definitions or the Agreement, as the case may be, this Confirmation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56"/>
        <w:spacing w:after="0" w:line="277" w:lineRule="auto"/>
        <w:tabs>
          <w:tab w:leader="none" w:pos="9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This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May 17, 2007</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173"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ind w:left="660"/>
        <w:spacing w:after="0"/>
        <w:rPr>
          <w:sz w:val="20"/>
          <w:szCs w:val="20"/>
          <w:color w:val="auto"/>
        </w:rPr>
      </w:pPr>
      <w:r>
        <w:rPr>
          <w:rFonts w:ascii="Arial" w:cs="Arial" w:eastAsia="Arial" w:hAnsi="Arial"/>
          <w:sz w:val="16"/>
          <w:szCs w:val="16"/>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European</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 Type: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Call</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38" w:orient="portrait"/>
          <w:cols w:equalWidth="0" w:num="2">
            <w:col w:w="4240" w:space="720"/>
            <w:col w:w="646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$0.10 per Share) of Counterparty (Ticker: “MU”)</w:t>
      </w:r>
    </w:p>
    <w:p>
      <w:pPr>
        <w:sectPr>
          <w:pgSz w:w="11900" w:h="16838" w:orient="portrait"/>
          <w:cols w:equalWidth="0" w:num="2">
            <w:col w:w="4240" w:space="720"/>
            <w:col w:w="6460"/>
          </w:cols>
          <w:pgMar w:left="240" w:top="121" w:right="239"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410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9"/>
              </w:rPr>
              <w:t xml:space="preserve">For each Component, as provided in Annex A to this Confirmation;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4"/>
              </w:rPr>
              <w:t>Morgan Stanley &amp; Co. Incorporated (“MS&amp;Co.”), as representative of the Underwriters</w:t>
            </w:r>
          </w:p>
        </w:tc>
      </w:tr>
      <w:tr>
        <w:trPr>
          <w:trHeight w:val="20"/>
        </w:trPr>
        <w:tc>
          <w:tcPr>
            <w:tcW w:w="4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4"/>
              </w:rPr>
              <w:t>named in the Underwriting Agreement dated May 17, 2007 between Counterparty and</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6"/>
              </w:rPr>
              <w:t>MS&amp;Co. (the “Underwriting Agreement”), exercises the option to purchase additional</w:t>
            </w:r>
          </w:p>
        </w:tc>
      </w:tr>
      <w:tr>
        <w:trPr>
          <w:trHeight w:val="20"/>
        </w:trPr>
        <w:tc>
          <w:tcPr>
            <w:tcW w:w="4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7360" w:type="dxa"/>
            <w:vAlign w:val="bottom"/>
            <w:gridSpan w:val="9"/>
          </w:tcPr>
          <w:p>
            <w:pPr>
              <w:ind w:left="860"/>
              <w:spacing w:after="0" w:line="196" w:lineRule="exact"/>
              <w:rPr>
                <w:sz w:val="20"/>
                <w:szCs w:val="20"/>
                <w:color w:val="auto"/>
              </w:rPr>
            </w:pPr>
            <w:r>
              <w:rPr>
                <w:rFonts w:ascii="Arial" w:cs="Arial" w:eastAsia="Arial" w:hAnsi="Arial"/>
                <w:sz w:val="18"/>
                <w:szCs w:val="18"/>
                <w:color w:val="auto"/>
                <w:w w:val="97"/>
              </w:rPr>
              <w:t>1.875% Convertible Senior Notes due June 1, 2014 (“Additional Convertible Notes”)</w:t>
            </w:r>
          </w:p>
        </w:tc>
      </w:tr>
      <w:tr>
        <w:trPr>
          <w:trHeight w:val="20"/>
        </w:trPr>
        <w:tc>
          <w:tcPr>
            <w:tcW w:w="41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5"/>
              </w:rPr>
              <w:t>pursuant to Section 2 of the Underwriting Agreement, the Number of Options for each</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2"/>
              </w:rPr>
              <w:t>Component shall be automatically increased, effective upon payment by Counterparty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9"/>
              </w:rPr>
              <w:t>the Additional Premium on the Additional Premium Payment Date, by a number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5"/>
              </w:rPr>
              <w:t>Options equal to the product of (x) the Number of Options for such Component as set</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6"/>
              </w:rPr>
              <w:t>forth in Annex A to this Confirmation and (y) a fraction, the numerator of which is the</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number of Additional Convertible Notes in denominations of USD1,000 principal</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2"/>
              </w:rPr>
              <w:t>amount issued pursuant to such exercise and the denominator of which is the number of</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3"/>
              </w:rPr>
              <w:t>Convertible Notes in denominations of USD1,000 principal amount issued prior to such</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8"/>
              </w:rPr>
              <w:t>exercise, subject to rounding as deemed appropriate by the Calculation Agent, and</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7"/>
              </w:rPr>
              <w:t>Calculation Agent will promptly provide Counterparty and Dealer a schedule setting</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forth the increased Number of Options for all Components.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One Share per Option</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USD $14.2312.</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Cap Price: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USD $23.0000.</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Premium:</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3"/>
              </w:rPr>
              <w:t>The premium for each Component shall be as provided in Annex A to this Confirmation;</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Number of Options is increased pursuant to the proviso to the</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definition of “Number of</w:t>
            </w:r>
          </w:p>
        </w:tc>
      </w:tr>
      <w:tr>
        <w:trPr>
          <w:trHeight w:val="702"/>
        </w:trPr>
        <w:tc>
          <w:tcPr>
            <w:tcW w:w="4100" w:type="dxa"/>
            <w:vAlign w:val="bottom"/>
          </w:tcPr>
          <w:p>
            <w:pPr>
              <w:spacing w:after="0"/>
              <w:rPr>
                <w:sz w:val="24"/>
                <w:szCs w:val="24"/>
                <w:color w:val="auto"/>
              </w:rPr>
            </w:pPr>
          </w:p>
        </w:tc>
        <w:tc>
          <w:tcPr>
            <w:tcW w:w="1960" w:type="dxa"/>
            <w:vAlign w:val="bottom"/>
          </w:tcPr>
          <w:p>
            <w:pPr>
              <w:ind w:left="156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5"/>
        </w:trPr>
        <w:tc>
          <w:tcPr>
            <w:tcW w:w="410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r>
        <w:trPr>
          <w:trHeight w:val="563"/>
        </w:trPr>
        <w:tc>
          <w:tcPr>
            <w:tcW w:w="4100" w:type="dxa"/>
            <w:vAlign w:val="bottom"/>
          </w:tcPr>
          <w:p>
            <w:pPr>
              <w:spacing w:after="0"/>
              <w:rPr>
                <w:sz w:val="24"/>
                <w:szCs w:val="24"/>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6"/>
              </w:rPr>
              <w:t>Options” above, Counterparty shall pay on the Additional Premium Payment Date an</w:t>
            </w:r>
          </w:p>
        </w:tc>
      </w:tr>
      <w:tr>
        <w:trPr>
          <w:trHeight w:val="190"/>
        </w:trPr>
        <w:tc>
          <w:tcPr>
            <w:tcW w:w="4100" w:type="dxa"/>
            <w:vAlign w:val="bottom"/>
          </w:tcPr>
          <w:p>
            <w:pPr>
              <w:spacing w:after="0"/>
              <w:rPr>
                <w:sz w:val="16"/>
                <w:szCs w:val="16"/>
                <w:color w:val="auto"/>
              </w:rPr>
            </w:pPr>
          </w:p>
        </w:tc>
        <w:tc>
          <w:tcPr>
            <w:tcW w:w="7360" w:type="dxa"/>
            <w:vAlign w:val="bottom"/>
            <w:gridSpan w:val="9"/>
          </w:tcPr>
          <w:p>
            <w:pPr>
              <w:ind w:left="860"/>
              <w:spacing w:after="0" w:line="190" w:lineRule="exact"/>
              <w:rPr>
                <w:sz w:val="20"/>
                <w:szCs w:val="20"/>
                <w:color w:val="auto"/>
              </w:rPr>
            </w:pPr>
            <w:r>
              <w:rPr>
                <w:rFonts w:ascii="Arial" w:cs="Arial" w:eastAsia="Arial" w:hAnsi="Arial"/>
                <w:sz w:val="18"/>
                <w:szCs w:val="18"/>
                <w:color w:val="auto"/>
                <w:w w:val="96"/>
              </w:rPr>
              <w:t>additional Premium (the “Additional Premium”) equal to the product of the number of</w:t>
            </w:r>
          </w:p>
        </w:tc>
      </w:tr>
      <w:tr>
        <w:trPr>
          <w:trHeight w:val="20"/>
        </w:trPr>
        <w:tc>
          <w:tcPr>
            <w:tcW w:w="41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r>
      <w:tr>
        <w:trPr>
          <w:trHeight w:val="222"/>
        </w:trPr>
        <w:tc>
          <w:tcPr>
            <w:tcW w:w="4100" w:type="dxa"/>
            <w:vAlign w:val="bottom"/>
          </w:tcPr>
          <w:p>
            <w:pPr>
              <w:spacing w:after="0"/>
              <w:rPr>
                <w:sz w:val="19"/>
                <w:szCs w:val="19"/>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1"/>
              </w:rPr>
              <w:t>Options by which the aggregate Number of Options for such Components is so increased</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1"/>
              </w:rPr>
              <w:t>and USD 2.21438. Dealer and Counterparty hereby agree that, notwithstanding anything</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to the contrary herein or in the Agreement, following the payment of the Premium</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7"/>
              </w:rPr>
              <w:t>(including the Additional Premium, if any), in the event that (a) an Early Termination</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6"/>
              </w:rPr>
              <w:t>Date (whether as a result of an Event of Default or a Termination Event) occurs or is</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1"/>
              </w:rPr>
              <w:t>designated with respect to any Transaction and, as a result, Counterparty owes to Dealer</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the amount calculated under Section 6(e) of the Agreement (calculated as if the</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0"/>
              </w:rPr>
              <w:t>Transactions were terminated on such Early Termination Date were the sole Transactions</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4"/>
              </w:rPr>
              <w:t>under the Agreement) or (b) Counterparty owes to Dealer, pursuant to Section 12.7 or</w:t>
            </w:r>
          </w:p>
        </w:tc>
      </w:tr>
      <w:tr>
        <w:trPr>
          <w:trHeight w:val="216"/>
        </w:trPr>
        <w:tc>
          <w:tcPr>
            <w:tcW w:w="4100" w:type="dxa"/>
            <w:vAlign w:val="bottom"/>
          </w:tcPr>
          <w:p>
            <w:pPr>
              <w:spacing w:after="0"/>
              <w:rPr>
                <w:sz w:val="18"/>
                <w:szCs w:val="18"/>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4"/>
              </w:rPr>
              <w:t>Section 12.9 or the Equity Definitions, an amount calculated under Section 12.8 of the</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Equity Definitions, such amount shall be deemed to be zero.</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Premium Payment Date: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The Effective Date</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May 23, 2007 or such other date as agreed by the parties.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Additional Premium Payment Date: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The closing date for the purchase and sale of the Additional Convertible Notes.</w:t>
            </w: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Exchange: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New York Stock Exchange</w:t>
            </w:r>
          </w:p>
        </w:tc>
      </w:tr>
      <w:tr>
        <w:trPr>
          <w:trHeight w:val="418"/>
        </w:trPr>
        <w:tc>
          <w:tcPr>
            <w:tcW w:w="4100" w:type="dxa"/>
            <w:vAlign w:val="bottom"/>
          </w:tcPr>
          <w:p>
            <w:pPr>
              <w:ind w:left="660"/>
              <w:spacing w:after="0"/>
              <w:rPr>
                <w:sz w:val="20"/>
                <w:szCs w:val="20"/>
                <w:color w:val="auto"/>
              </w:rPr>
            </w:pPr>
            <w:r>
              <w:rPr>
                <w:rFonts w:ascii="Arial" w:cs="Arial" w:eastAsia="Arial" w:hAnsi="Arial"/>
                <w:sz w:val="18"/>
                <w:szCs w:val="18"/>
                <w:color w:val="auto"/>
              </w:rPr>
              <w:t>Related Exchange: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w w:val="98"/>
              </w:rPr>
              <w:t>All Exchanges located in the United States on which the equity securities or equity-</w:t>
            </w:r>
          </w:p>
        </w:tc>
      </w:tr>
      <w:tr>
        <w:trPr>
          <w:trHeight w:val="230"/>
        </w:trPr>
        <w:tc>
          <w:tcPr>
            <w:tcW w:w="4100" w:type="dxa"/>
            <w:vAlign w:val="bottom"/>
          </w:tcPr>
          <w:p>
            <w:pPr>
              <w:spacing w:after="0"/>
              <w:rPr>
                <w:sz w:val="20"/>
                <w:szCs w:val="20"/>
                <w:color w:val="auto"/>
              </w:rPr>
            </w:pP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linked securities of Counterparty are traded.</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4100" w:type="dxa"/>
            <w:vAlign w:val="bottom"/>
          </w:tcPr>
          <w:p>
            <w:pPr>
              <w:ind w:left="660"/>
              <w:spacing w:after="0"/>
              <w:rPr>
                <w:sz w:val="20"/>
                <w:szCs w:val="20"/>
                <w:color w:val="auto"/>
              </w:rPr>
            </w:pPr>
            <w:r>
              <w:rPr>
                <w:rFonts w:ascii="Arial" w:cs="Arial" w:eastAsia="Arial" w:hAnsi="Arial"/>
                <w:sz w:val="18"/>
                <w:szCs w:val="18"/>
                <w:color w:val="auto"/>
              </w:rPr>
              <w:t>Expiration Time:</w:t>
            </w:r>
          </w:p>
        </w:tc>
        <w:tc>
          <w:tcPr>
            <w:tcW w:w="7360" w:type="dxa"/>
            <w:vAlign w:val="bottom"/>
            <w:gridSpan w:val="9"/>
          </w:tcPr>
          <w:p>
            <w:pPr>
              <w:ind w:left="860"/>
              <w:spacing w:after="0"/>
              <w:rPr>
                <w:sz w:val="20"/>
                <w:szCs w:val="20"/>
                <w:color w:val="auto"/>
              </w:rPr>
            </w:pPr>
            <w:r>
              <w:rPr>
                <w:rFonts w:ascii="Arial" w:cs="Arial" w:eastAsia="Arial" w:hAnsi="Arial"/>
                <w:sz w:val="18"/>
                <w:szCs w:val="18"/>
                <w:color w:val="auto"/>
              </w:rPr>
              <w:t>Valuation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-4100830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-4100830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4280" w:type="dxa"/>
            <w:vAlign w:val="bottom"/>
          </w:tcPr>
          <w:p>
            <w:pPr>
              <w:ind w:left="660"/>
              <w:spacing w:after="0"/>
              <w:rPr>
                <w:sz w:val="20"/>
                <w:szCs w:val="20"/>
                <w:color w:val="auto"/>
              </w:rPr>
            </w:pPr>
            <w:r>
              <w:rPr>
                <w:rFonts w:ascii="Arial" w:cs="Arial" w:eastAsia="Arial" w:hAnsi="Arial"/>
                <w:sz w:val="18"/>
                <w:szCs w:val="18"/>
                <w:color w:val="auto"/>
              </w:rPr>
              <w:t>Expiration Date:</w:t>
            </w:r>
          </w:p>
        </w:tc>
        <w:tc>
          <w:tcPr>
            <w:tcW w:w="7180" w:type="dxa"/>
            <w:vAlign w:val="bottom"/>
          </w:tcPr>
          <w:p>
            <w:pPr>
              <w:ind w:left="680"/>
              <w:spacing w:after="0"/>
              <w:rPr>
                <w:sz w:val="20"/>
                <w:szCs w:val="20"/>
                <w:color w:val="auto"/>
              </w:rPr>
            </w:pPr>
            <w:r>
              <w:rPr>
                <w:rFonts w:ascii="Arial" w:cs="Arial" w:eastAsia="Arial" w:hAnsi="Arial"/>
                <w:sz w:val="18"/>
                <w:szCs w:val="18"/>
                <w:color w:val="auto"/>
                <w:w w:val="93"/>
              </w:rPr>
              <w:t>As provided in Annex A to this Confirmation (or, if such date is not a Scheduled Trading</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2"/>
              </w:rPr>
              <w:t>Day, the next following Scheduled Trading Day that is not already an Expiration Date for</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8"/>
              </w:rPr>
              <w:t xml:space="preserve">another Component);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xml:space="preserve"> that, notwithstanding anything to the contrary in the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3"/>
              </w:rPr>
              <w:t>Equity Definitions, if that date is a Disrupted Day, the Calculation Agent may determine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5"/>
              </w:rPr>
              <w:t>that the Expiration Date for such Component is a Disrupted Day in whole or in part, in</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9"/>
              </w:rPr>
              <w:t>which case the Calculation Agent shall, in its reasonable discretion, determine the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5"/>
              </w:rPr>
              <w:t>number of Options for which such day shall be the Expiration Date and (i) allocate the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4"/>
              </w:rPr>
              <w:t>remaining Options for such Expiration Date to one or more of the remaining Expiration</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3"/>
              </w:rPr>
              <w:t>Dates, (ii) designate the first succeeding Scheduled Trading Day that is not a Disrupted</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Day and is not or is not deemed to be an Expiration Date in respect of any other</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7"/>
              </w:rPr>
              <w:t>Component of the Transaction hereunder as the Expiration Date for such remaining</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5"/>
              </w:rPr>
              <w:t xml:space="preserve">Options, or (iii) a combination thereof; </w:t>
            </w:r>
            <w:r>
              <w:rPr>
                <w:rFonts w:ascii="Arial" w:cs="Arial" w:eastAsia="Arial" w:hAnsi="Arial"/>
                <w:sz w:val="18"/>
                <w:szCs w:val="18"/>
                <w:i w:val="1"/>
                <w:iCs w:val="1"/>
                <w:color w:val="auto"/>
                <w:w w:val="95"/>
              </w:rPr>
              <w:t>provided further</w:t>
            </w:r>
            <w:r>
              <w:rPr>
                <w:rFonts w:ascii="Arial" w:cs="Arial" w:eastAsia="Arial" w:hAnsi="Arial"/>
                <w:sz w:val="18"/>
                <w:szCs w:val="18"/>
                <w:color w:val="auto"/>
                <w:w w:val="95"/>
              </w:rPr>
              <w:t xml:space="preserve"> that if the Expiration Date for a</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Component (including any portion of a Component whose Expiration Date was</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postponed as a result of clause (ii) or (iii) above) has not occurred as of the Final</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6"/>
              </w:rPr>
              <w:t>Disruption Date, (a) such Final Disruption Date shall be deemed to be the Expiration</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9"/>
              </w:rPr>
              <w:t>Date and Valuation Date for such Component, and (b) the Calculation Agent shall</w:t>
            </w:r>
          </w:p>
        </w:tc>
      </w:tr>
      <w:tr>
        <w:trPr>
          <w:trHeight w:val="230"/>
        </w:trPr>
        <w:tc>
          <w:tcPr>
            <w:tcW w:w="4280" w:type="dxa"/>
            <w:vAlign w:val="bottom"/>
          </w:tcPr>
          <w:p>
            <w:pPr>
              <w:spacing w:after="0"/>
              <w:rPr>
                <w:sz w:val="20"/>
                <w:szCs w:val="20"/>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determine the VWAP Price for</w:t>
            </w:r>
          </w:p>
        </w:tc>
      </w:tr>
      <w:tr>
        <w:trPr>
          <w:trHeight w:val="702"/>
        </w:trPr>
        <w:tc>
          <w:tcPr>
            <w:tcW w:w="428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Arial" w:cs="Arial" w:eastAsia="Arial" w:hAnsi="Arial"/>
                <w:sz w:val="18"/>
                <w:szCs w:val="18"/>
                <w:color w:val="auto"/>
              </w:rPr>
              <w:t>3</w:t>
            </w:r>
          </w:p>
        </w:tc>
      </w:tr>
      <w:tr>
        <w:trPr>
          <w:trHeight w:val="375"/>
        </w:trPr>
        <w:tc>
          <w:tcPr>
            <w:tcW w:w="4280" w:type="dxa"/>
            <w:vAlign w:val="bottom"/>
            <w:tcBorders>
              <w:bottom w:val="single" w:sz="8" w:color="010101"/>
            </w:tcBorders>
          </w:tcPr>
          <w:p>
            <w:pPr>
              <w:spacing w:after="0"/>
              <w:rPr>
                <w:sz w:val="24"/>
                <w:szCs w:val="24"/>
                <w:color w:val="auto"/>
              </w:rPr>
            </w:pPr>
          </w:p>
        </w:tc>
        <w:tc>
          <w:tcPr>
            <w:tcW w:w="7180" w:type="dxa"/>
            <w:vAlign w:val="bottom"/>
            <w:tcBorders>
              <w:bottom w:val="single" w:sz="8" w:color="010101"/>
            </w:tcBorders>
          </w:tcPr>
          <w:p>
            <w:pPr>
              <w:spacing w:after="0"/>
              <w:rPr>
                <w:sz w:val="24"/>
                <w:szCs w:val="24"/>
                <w:color w:val="auto"/>
              </w:rPr>
            </w:pPr>
          </w:p>
        </w:tc>
      </w:tr>
      <w:tr>
        <w:trPr>
          <w:trHeight w:val="563"/>
        </w:trPr>
        <w:tc>
          <w:tcPr>
            <w:tcW w:w="4280" w:type="dxa"/>
            <w:vAlign w:val="bottom"/>
          </w:tcPr>
          <w:p>
            <w:pPr>
              <w:spacing w:after="0"/>
              <w:rPr>
                <w:sz w:val="24"/>
                <w:szCs w:val="24"/>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9"/>
              </w:rPr>
              <w:t>such Component on the basis of its good faith estimate of the trading value for the</w:t>
            </w:r>
          </w:p>
        </w:tc>
      </w:tr>
      <w:tr>
        <w:trPr>
          <w:trHeight w:val="222"/>
        </w:trPr>
        <w:tc>
          <w:tcPr>
            <w:tcW w:w="4280" w:type="dxa"/>
            <w:vAlign w:val="bottom"/>
          </w:tcPr>
          <w:p>
            <w:pPr>
              <w:spacing w:after="0"/>
              <w:rPr>
                <w:sz w:val="19"/>
                <w:szCs w:val="19"/>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4"/>
              </w:rPr>
              <w:t xml:space="preserve">relevant Shares. </w:t>
            </w:r>
            <w:r>
              <w:rPr>
                <w:rFonts w:ascii="Arial" w:cs="Arial" w:eastAsia="Arial" w:hAnsi="Arial"/>
                <w:sz w:val="17"/>
                <w:szCs w:val="17"/>
                <w:color w:val="auto"/>
                <w:w w:val="94"/>
              </w:rPr>
              <w:t>Section 6.6 of the Equity Definitions shall not apply to any Valuation Date</w:t>
            </w:r>
          </w:p>
        </w:tc>
      </w:tr>
      <w:tr>
        <w:trPr>
          <w:trHeight w:val="222"/>
        </w:trPr>
        <w:tc>
          <w:tcPr>
            <w:tcW w:w="4280" w:type="dxa"/>
            <w:vAlign w:val="bottom"/>
          </w:tcPr>
          <w:p>
            <w:pPr>
              <w:spacing w:after="0"/>
              <w:rPr>
                <w:sz w:val="19"/>
                <w:szCs w:val="19"/>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occurring on an Expiration Date.</w:t>
            </w:r>
          </w:p>
        </w:tc>
      </w:tr>
      <w:tr>
        <w:trPr>
          <w:trHeight w:val="434"/>
        </w:trPr>
        <w:tc>
          <w:tcPr>
            <w:tcW w:w="4280" w:type="dxa"/>
            <w:vAlign w:val="bottom"/>
          </w:tcPr>
          <w:p>
            <w:pPr>
              <w:ind w:left="660"/>
              <w:spacing w:after="0"/>
              <w:rPr>
                <w:sz w:val="20"/>
                <w:szCs w:val="20"/>
                <w:color w:val="auto"/>
              </w:rPr>
            </w:pPr>
            <w:r>
              <w:rPr>
                <w:rFonts w:ascii="Arial" w:cs="Arial" w:eastAsia="Arial" w:hAnsi="Arial"/>
                <w:sz w:val="18"/>
                <w:szCs w:val="18"/>
                <w:color w:val="auto"/>
              </w:rPr>
              <w:t>Final Disruption Date:</w:t>
            </w:r>
          </w:p>
        </w:tc>
        <w:tc>
          <w:tcPr>
            <w:tcW w:w="7180" w:type="dxa"/>
            <w:vAlign w:val="bottom"/>
          </w:tcPr>
          <w:p>
            <w:pPr>
              <w:ind w:left="680"/>
              <w:spacing w:after="0"/>
              <w:rPr>
                <w:sz w:val="20"/>
                <w:szCs w:val="20"/>
                <w:color w:val="auto"/>
              </w:rPr>
            </w:pPr>
            <w:r>
              <w:rPr>
                <w:rFonts w:ascii="Arial" w:cs="Arial" w:eastAsia="Arial" w:hAnsi="Arial"/>
                <w:sz w:val="18"/>
                <w:szCs w:val="18"/>
                <w:color w:val="auto"/>
              </w:rPr>
              <w:t>February 1, 2013.</w:t>
            </w:r>
          </w:p>
        </w:tc>
      </w:tr>
      <w:tr>
        <w:trPr>
          <w:trHeight w:val="418"/>
        </w:trPr>
        <w:tc>
          <w:tcPr>
            <w:tcW w:w="4280" w:type="dxa"/>
            <w:vAlign w:val="bottom"/>
          </w:tcPr>
          <w:p>
            <w:pPr>
              <w:ind w:left="660"/>
              <w:spacing w:after="0"/>
              <w:rPr>
                <w:sz w:val="20"/>
                <w:szCs w:val="20"/>
                <w:color w:val="auto"/>
              </w:rPr>
            </w:pPr>
            <w:r>
              <w:rPr>
                <w:rFonts w:ascii="Arial" w:cs="Arial" w:eastAsia="Arial" w:hAnsi="Arial"/>
                <w:sz w:val="18"/>
                <w:szCs w:val="18"/>
                <w:color w:val="auto"/>
              </w:rPr>
              <w:t>Market Disruption Event:</w:t>
            </w:r>
          </w:p>
        </w:tc>
        <w:tc>
          <w:tcPr>
            <w:tcW w:w="7180" w:type="dxa"/>
            <w:vAlign w:val="bottom"/>
          </w:tcPr>
          <w:p>
            <w:pPr>
              <w:ind w:left="680"/>
              <w:spacing w:after="0"/>
              <w:rPr>
                <w:sz w:val="20"/>
                <w:szCs w:val="20"/>
                <w:color w:val="auto"/>
              </w:rPr>
            </w:pPr>
            <w:r>
              <w:rPr>
                <w:rFonts w:ascii="Arial" w:cs="Arial" w:eastAsia="Arial" w:hAnsi="Arial"/>
                <w:sz w:val="18"/>
                <w:szCs w:val="18"/>
                <w:color w:val="auto"/>
              </w:rPr>
              <w:t>Section 6.3(a) of the Equity Definitions is hereby amended by replacing clause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(ii) thereof in its entirety with the following: “(ii) an Exchange Disruption, or” and</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4"/>
              </w:rPr>
              <w:t>inserting immediately following clause (iii) thereof the following: “; in each case that the</w:t>
            </w:r>
          </w:p>
        </w:tc>
      </w:tr>
      <w:tr>
        <w:trPr>
          <w:trHeight w:val="230"/>
        </w:trPr>
        <w:tc>
          <w:tcPr>
            <w:tcW w:w="4280" w:type="dxa"/>
            <w:vAlign w:val="bottom"/>
          </w:tcPr>
          <w:p>
            <w:pPr>
              <w:spacing w:after="0"/>
              <w:rPr>
                <w:sz w:val="20"/>
                <w:szCs w:val="20"/>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Calculation Agent determines is material.”</w:t>
            </w:r>
          </w:p>
        </w:tc>
      </w:tr>
      <w:tr>
        <w:trPr>
          <w:trHeight w:val="418"/>
        </w:trPr>
        <w:tc>
          <w:tcPr>
            <w:tcW w:w="4280" w:type="dxa"/>
            <w:vAlign w:val="bottom"/>
          </w:tcPr>
          <w:p>
            <w:pPr>
              <w:ind w:left="660"/>
              <w:spacing w:after="0"/>
              <w:rPr>
                <w:sz w:val="20"/>
                <w:szCs w:val="20"/>
                <w:color w:val="auto"/>
              </w:rPr>
            </w:pPr>
            <w:r>
              <w:rPr>
                <w:rFonts w:ascii="Arial" w:cs="Arial" w:eastAsia="Arial" w:hAnsi="Arial"/>
                <w:sz w:val="18"/>
                <w:szCs w:val="18"/>
                <w:color w:val="auto"/>
              </w:rPr>
              <w:t>Exchange Business Day; Disrupted Day:</w:t>
            </w:r>
          </w:p>
        </w:tc>
        <w:tc>
          <w:tcPr>
            <w:tcW w:w="7180" w:type="dxa"/>
            <w:vAlign w:val="bottom"/>
          </w:tcPr>
          <w:p>
            <w:pPr>
              <w:ind w:left="680"/>
              <w:spacing w:after="0"/>
              <w:rPr>
                <w:sz w:val="20"/>
                <w:szCs w:val="20"/>
                <w:color w:val="auto"/>
              </w:rPr>
            </w:pPr>
            <w:r>
              <w:rPr>
                <w:rFonts w:ascii="Arial" w:cs="Arial" w:eastAsia="Arial" w:hAnsi="Arial"/>
                <w:sz w:val="18"/>
                <w:szCs w:val="18"/>
                <w:color w:val="auto"/>
                <w:w w:val="93"/>
              </w:rPr>
              <w:t>Sections 1.29 and 6.4 of the Equity Definitions are hereby amended by adding “, unless</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9"/>
              </w:rPr>
              <w:t>the Calculation Agent reasonably determines that any failure of such Exchange or</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3"/>
              </w:rPr>
              <w:t>Related Exchange to open does not have a material effect on the trading market for the</w:t>
            </w:r>
          </w:p>
        </w:tc>
      </w:tr>
      <w:tr>
        <w:trPr>
          <w:trHeight w:val="216"/>
        </w:trPr>
        <w:tc>
          <w:tcPr>
            <w:tcW w:w="42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w w:val="95"/>
              </w:rPr>
              <w:t>Shares” following the words “regular trading sessions” in the third line thereof and the</w:t>
            </w:r>
          </w:p>
        </w:tc>
      </w:tr>
      <w:tr>
        <w:trPr>
          <w:trHeight w:val="230"/>
        </w:trPr>
        <w:tc>
          <w:tcPr>
            <w:tcW w:w="4280" w:type="dxa"/>
            <w:vAlign w:val="bottom"/>
          </w:tcPr>
          <w:p>
            <w:pPr>
              <w:spacing w:after="0"/>
              <w:rPr>
                <w:sz w:val="20"/>
                <w:szCs w:val="20"/>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words “regular trading session” in the second line thereof, respectively.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-2454275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-2454275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79" w:gutter="0" w:footer="0" w:header="0"/>
        </w:sect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Seller’s Telephone Number and Telex and/or Facsimile Number and Contact Details for purpose of Giving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Method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Electing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Method Election Date:</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Settlement Method: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Applicable; and means that the Number of Options for the relevant Component will be deemed to be automatically exercised at the Expiration Time on the Expiration Date for such Component if at such time such Component is In-the-Money, as determined by the Calculation Agent, unless Buyer notifies Seller (by telephone or in writing) prior to the Expiration Time on such Expiration Date that it does not wish Automatic Exercise to occur with respect to such Component, in which case Automatic Exercise will not apply with respect to such Component. “</w:t>
      </w:r>
      <w:r>
        <w:rPr>
          <w:rFonts w:ascii="Arial" w:cs="Arial" w:eastAsia="Arial" w:hAnsi="Arial"/>
          <w:sz w:val="17"/>
          <w:szCs w:val="17"/>
          <w:u w:val="single" w:color="auto"/>
          <w:color w:val="auto"/>
        </w:rPr>
        <w:t>In-the-Money</w:t>
      </w:r>
      <w:r>
        <w:rPr>
          <w:rFonts w:ascii="Arial" w:cs="Arial" w:eastAsia="Arial" w:hAnsi="Arial"/>
          <w:sz w:val="17"/>
          <w:szCs w:val="17"/>
          <w:color w:val="auto"/>
        </w:rPr>
        <w:t>” means, in respect of any Component, that the VWAP Price on the Expiration Date for such Component is greater than the Strike Price for such Component.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be provided by Dealer.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Section 7.1 of the Equity Definitions is hereby amended by replacing the term “Physical Settlement” with the term “Net Share Settlement”,</w:t>
      </w:r>
    </w:p>
    <w:p>
      <w:pPr>
        <w:ind w:left="260" w:hanging="256"/>
        <w:spacing w:after="0"/>
        <w:tabs>
          <w:tab w:leader="none" w:pos="2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Counterparty must make a single irrevocable election for all Components and</w:t>
      </w:r>
    </w:p>
    <w:p>
      <w:pPr>
        <w:spacing w:after="0" w:line="20" w:lineRule="exact"/>
        <w:rPr>
          <w:rFonts w:ascii="Arial" w:cs="Arial" w:eastAsia="Arial" w:hAnsi="Arial"/>
          <w:sz w:val="17"/>
          <w:szCs w:val="17"/>
          <w:color w:val="auto"/>
        </w:rPr>
      </w:pPr>
    </w:p>
    <w:p>
      <w:pPr>
        <w:ind w:right="180" w:firstLine="4"/>
        <w:spacing w:after="0" w:line="295" w:lineRule="auto"/>
        <w:tabs>
          <w:tab w:leader="none" w:pos="24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such Settlement Method Election would be effective only if Counterparty represents and warrants to Dealer in writing on the date of such Settlement Method Election that none of Counterparty and its officers and directors is aware of any material nonpublic information regarding Counterparty or the Shares as of such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Counterparty</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fifth Scheduled Trading Day prior to the scheduled Expiration Date for the first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ectPr>
          <w:pgSz w:w="11900" w:h="16838" w:orient="portrait"/>
          <w:cols w:equalWidth="0" w:num="2">
            <w:col w:w="4520" w:space="440"/>
            <w:col w:w="6500"/>
          </w:cols>
          <w:pgMar w:left="240" w:top="125" w:right="199" w:bottom="179" w:gutter="0" w:footer="0" w:header="0"/>
          <w:type w:val="continuous"/>
        </w:sect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79" w:gutter="0" w:footer="0" w:header="0"/>
          <w:type w:val="continuous"/>
        </w:sectPr>
      </w:pPr>
    </w:p>
    <w:bookmarkStart w:id="81" w:name="page82"/>
    <w:bookmarkEnd w:id="81"/>
    <w:p>
      <w:pPr>
        <w:ind w:left="320"/>
        <w:spacing w:after="0"/>
        <w:rPr>
          <w:sz w:val="20"/>
          <w:szCs w:val="20"/>
          <w:color w:val="auto"/>
        </w:rPr>
      </w:pPr>
      <w:r>
        <w:rPr>
          <w:rFonts w:ascii="Arial" w:cs="Arial" w:eastAsia="Arial" w:hAnsi="Arial"/>
          <w:sz w:val="18"/>
          <w:szCs w:val="18"/>
          <w:color w:val="auto"/>
        </w:rPr>
        <w:t>Settlement Currency: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Share Settlement: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Applicable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USD</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any Expiration Date or other Exchange Business Day, as displayed on Bloomberg Page “MU.N &lt;Equity&gt; AQR” (or any successor thereto) for the Counterparty with respect to the period between 9:30 a.m. to 4:00 p.m. (New York City time) on such day, as determined by Calculation Agent. If no price is available, or there is a Market Disruption Event on such Expiration Date or other Exchange Business Day, the Calculation Agent shall determine the VWAP Price in a commercially reasonable manner.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Settlement Date shall be the third Scheduled Trading Day after the Expiration Date for the Component (or, in respect of all or part of its obligation to deliver the Number of Shares to be Delivered, such other earlier date or dates Dealer shall determine in its sole discretion).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Net Share Settlement applies, on the Settlement Date for each Component, Dealer shall deliver to Counterparty a number of Shares equal to the sum of the Number of Shares to be Delivered for each Component to the account specified by Counterparty and cash in lieu of any fractional shares for each Component valued at the VWAP Price on the Expiration Date for such Component.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any Component, subject to the last sentence of Section 9.5 of the Equity Definitions:</w:t>
      </w:r>
    </w:p>
    <w:p>
      <w:pPr>
        <w:spacing w:after="0" w:line="248" w:lineRule="exact"/>
        <w:rPr>
          <w:sz w:val="20"/>
          <w:szCs w:val="20"/>
          <w:color w:val="auto"/>
        </w:rPr>
      </w:pPr>
    </w:p>
    <w:p>
      <w:pPr>
        <w:ind w:right="40" w:firstLine="4"/>
        <w:spacing w:after="0" w:line="257" w:lineRule="auto"/>
        <w:tabs>
          <w:tab w:leader="none" w:pos="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exceeds the Strike Price for such Component but is less than the Cap Price for such Component, a number of Shares equal to (i) the product of (A) the excess of such VWAP Price over such Strike Price, (B) the Number of Options for such Component and (C) the Option Entitlement,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(ii) such VWAP Price;</w:t>
      </w:r>
    </w:p>
    <w:p>
      <w:pPr>
        <w:spacing w:after="0" w:line="188" w:lineRule="exact"/>
        <w:rPr>
          <w:rFonts w:ascii="Arial" w:cs="Arial" w:eastAsia="Arial" w:hAnsi="Arial"/>
          <w:sz w:val="18"/>
          <w:szCs w:val="18"/>
          <w:color w:val="auto"/>
        </w:rPr>
      </w:pPr>
    </w:p>
    <w:p>
      <w:pPr>
        <w:ind w:firstLine="4"/>
        <w:spacing w:after="0" w:line="257" w:lineRule="auto"/>
        <w:tabs>
          <w:tab w:leader="none" w:pos="31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equals or exceeds the Cap Price for such Component, a number of Shares equal to (i) the product of (A) the excess of such Cap Price over the Strike Price for such Component, (B) the Number of Options for such Component and (C) the Option Entitlement,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such VWAP Price; or</w:t>
      </w:r>
    </w:p>
    <w:p>
      <w:pPr>
        <w:spacing w:after="0" w:line="188" w:lineRule="exact"/>
        <w:rPr>
          <w:rFonts w:ascii="Arial" w:cs="Arial" w:eastAsia="Arial" w:hAnsi="Arial"/>
          <w:sz w:val="18"/>
          <w:szCs w:val="18"/>
          <w:color w:val="auto"/>
        </w:rPr>
      </w:pPr>
    </w:p>
    <w:p>
      <w:pPr>
        <w:ind w:right="80" w:firstLine="4"/>
        <w:spacing w:after="0" w:line="308" w:lineRule="auto"/>
        <w:tabs>
          <w:tab w:leader="none" w:pos="3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the VWAP Price on the Expiration Date for such Component is less than or equal to the Strike Price for such Component, a number of Shares equal to zero.</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provisions of Sections 9.1(c), 9.8, 9.9, 9.10, 9.11 and 9.12 of the Equity Definitions will be applicable, as if Physical Settlement applied to the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Shares.</w:t>
      </w: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235585</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440"/>
          </w:cols>
          <w:pgMar w:left="580" w:top="382" w:right="259" w:bottom="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Settlement:</w:t>
      </w:r>
    </w:p>
    <w:p>
      <w:pPr>
        <w:spacing w:after="0" w:line="225"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Cash Settlement Payment Date:</w:t>
      </w:r>
      <w:r>
        <w:rPr>
          <w:sz w:val="20"/>
          <w:szCs w:val="20"/>
          <w:color w:val="auto"/>
        </w:rPr>
        <w:tab/>
      </w:r>
      <w:r>
        <w:rPr>
          <w:rFonts w:ascii="Arial" w:cs="Arial" w:eastAsia="Arial" w:hAnsi="Arial"/>
          <w:sz w:val="16"/>
          <w:szCs w:val="16"/>
          <w:color w:val="auto"/>
        </w:rPr>
        <w:t>The Cash Settlement Payment Date shall be the third Scheduled Trading Day after the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Expiration Date for each Component.</w:t>
      </w:r>
    </w:p>
    <w:p>
      <w:pPr>
        <w:spacing w:after="0" w:line="211"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Cash Settlement:</w:t>
      </w:r>
      <w:r>
        <w:rPr>
          <w:sz w:val="20"/>
          <w:szCs w:val="20"/>
          <w:color w:val="auto"/>
        </w:rPr>
        <w:tab/>
      </w:r>
      <w:r>
        <w:rPr>
          <w:rFonts w:ascii="Arial" w:cs="Arial" w:eastAsia="Arial" w:hAnsi="Arial"/>
          <w:sz w:val="16"/>
          <w:szCs w:val="16"/>
          <w:color w:val="auto"/>
        </w:rPr>
        <w:t>If Cash Settlement applies, on the relevant Cash Settlement Payment Date for such</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Component, Dealer shall pay to Counterparty an amount equal to the sum of the Option</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Cash Settlement Amount for each Component to the account specified by Counterparty.</w:t>
      </w:r>
    </w:p>
    <w:p>
      <w:pPr>
        <w:spacing w:after="0" w:line="234"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8"/>
          <w:szCs w:val="18"/>
          <w:color w:val="auto"/>
        </w:rPr>
        <w:t>Strike Price Differential:</w:t>
      </w:r>
      <w:r>
        <w:rPr>
          <w:sz w:val="20"/>
          <w:szCs w:val="20"/>
          <w:color w:val="auto"/>
        </w:rPr>
        <w:tab/>
      </w:r>
      <w:r>
        <w:rPr>
          <w:rFonts w:ascii="Arial" w:cs="Arial" w:eastAsia="Arial" w:hAnsi="Arial"/>
          <w:sz w:val="16"/>
          <w:szCs w:val="16"/>
          <w:color w:val="auto"/>
        </w:rPr>
        <w:t>For any Component:</w:t>
      </w:r>
    </w:p>
    <w:p>
      <w:pPr>
        <w:spacing w:after="0" w:line="225" w:lineRule="exact"/>
        <w:rPr>
          <w:sz w:val="20"/>
          <w:szCs w:val="20"/>
          <w:color w:val="auto"/>
        </w:rPr>
      </w:pPr>
    </w:p>
    <w:p>
      <w:pPr>
        <w:ind w:left="4620" w:right="60"/>
        <w:spacing w:after="0" w:line="286" w:lineRule="auto"/>
        <w:rPr>
          <w:sz w:val="20"/>
          <w:szCs w:val="20"/>
          <w:color w:val="auto"/>
        </w:rPr>
      </w:pPr>
      <w:r>
        <w:rPr>
          <w:rFonts w:ascii="Arial" w:cs="Arial" w:eastAsia="Arial" w:hAnsi="Arial"/>
          <w:sz w:val="17"/>
          <w:szCs w:val="17"/>
          <w:color w:val="auto"/>
        </w:rPr>
        <w:t>(i) if the VWAP Price on the Expiration Date for such Component exceeds the Strike Price for such Component but is less than the Cap Price for such Component, an amount equal to the excess of such VWAP Price over such Strike Price.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 if the VWAP Price on the Expiration Date for such Component equals or exceeds the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Cap Price for such Component, an amount equal to the excess of such Cap Price over the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Strike Price for such Component; or</w:t>
      </w:r>
    </w:p>
    <w:p>
      <w:pPr>
        <w:spacing w:after="0" w:line="211" w:lineRule="exact"/>
        <w:rPr>
          <w:sz w:val="20"/>
          <w:szCs w:val="20"/>
          <w:color w:val="auto"/>
        </w:rPr>
      </w:pPr>
    </w:p>
    <w:p>
      <w:pPr>
        <w:ind w:left="4620" w:right="80"/>
        <w:spacing w:after="0" w:line="277" w:lineRule="auto"/>
        <w:rPr>
          <w:sz w:val="20"/>
          <w:szCs w:val="20"/>
          <w:color w:val="auto"/>
        </w:rPr>
      </w:pPr>
      <w:r>
        <w:rPr>
          <w:rFonts w:ascii="Arial" w:cs="Arial" w:eastAsia="Arial" w:hAnsi="Arial"/>
          <w:sz w:val="18"/>
          <w:szCs w:val="18"/>
          <w:color w:val="auto"/>
        </w:rPr>
        <w:t>(iii) if the VWAP Price on the Expiration Date for such Component is less than or equal to the Strike Price for such Component, zero.</w:t>
      </w:r>
    </w:p>
    <w:p>
      <w:pPr>
        <w:sectPr>
          <w:pgSz w:w="11900" w:h="16838" w:orient="portrait"/>
          <w:cols w:equalWidth="0" w:num="1">
            <w:col w:w="11060"/>
          </w:cols>
          <w:pgMar w:left="580" w:top="382" w:right="259"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Share Adjustments:</w:t>
            </w:r>
          </w:p>
        </w:tc>
        <w:tc>
          <w:tcPr>
            <w:tcW w:w="4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8"/>
        </w:trPr>
        <w:tc>
          <w:tcPr>
            <w:tcW w:w="3960" w:type="dxa"/>
            <w:vAlign w:val="bottom"/>
            <w:gridSpan w:val="2"/>
          </w:tcPr>
          <w:p>
            <w:pPr>
              <w:ind w:left="660"/>
              <w:spacing w:after="0"/>
              <w:rPr>
                <w:sz w:val="20"/>
                <w:szCs w:val="20"/>
                <w:color w:val="auto"/>
              </w:rPr>
            </w:pPr>
            <w:r>
              <w:rPr>
                <w:rFonts w:ascii="Arial" w:cs="Arial" w:eastAsia="Arial" w:hAnsi="Arial"/>
                <w:sz w:val="18"/>
                <w:szCs w:val="18"/>
                <w:color w:val="auto"/>
              </w:rPr>
              <w:t>Method of Adjustment:</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Calculation Agent Adjustment; provided that under Section 11.2(e)(v) of the definition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of Potential Adjustment Event the word “repurchase” shall be replaced with the word</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“tender offer”.</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New Shares:</w:t>
            </w: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In the definition of “New Shares” in Section 12.1(i) of the Equity Definitions, the text in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subsection (i) shall be deleted in its entirety and replaced with: “publicly quoted, traded</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or listed on any of the New York Stock Exchange, the NASDAQ Global Select Market</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or the NASDAQ Global Market (or their respective successors)”.</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Consequences of Merger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Share-for-Share:</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Modified Calculation Agent Adjustment and, for the avoidance of doubt, if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9"/>
              </w:rPr>
              <w:t>consideration for the Shares includes (or, at the option of a holder of Shares, may</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2"/>
              </w:rPr>
              <w:t>include) shares of an entity or person not organized under the laws of the United States,</w:t>
            </w:r>
          </w:p>
        </w:tc>
      </w:tr>
      <w:tr>
        <w:trPr>
          <w:trHeight w:val="190"/>
        </w:trPr>
        <w:tc>
          <w:tcPr>
            <w:tcW w:w="1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500" w:type="dxa"/>
            <w:vAlign w:val="bottom"/>
            <w:gridSpan w:val="3"/>
          </w:tcPr>
          <w:p>
            <w:pPr>
              <w:ind w:left="1000"/>
              <w:spacing w:after="0" w:line="190" w:lineRule="exact"/>
              <w:rPr>
                <w:sz w:val="20"/>
                <w:szCs w:val="20"/>
                <w:color w:val="auto"/>
              </w:rPr>
            </w:pPr>
            <w:r>
              <w:rPr>
                <w:rFonts w:ascii="Arial" w:cs="Arial" w:eastAsia="Arial" w:hAnsi="Arial"/>
                <w:sz w:val="18"/>
                <w:szCs w:val="18"/>
                <w:color w:val="auto"/>
              </w:rPr>
              <w:t>any State thereof or the District of Columbia (“Foreign Issuer Shares”), then the</w:t>
            </w: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Calculation Agent may choose to apply Cancellation and Payment to that portion of the</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consideration comprising Foreign Issuer Shares.</w:t>
            </w: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Share-for-Other: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8"/>
              </w:rPr>
              <w:t>Cancellation and Payment (Calculation Agent Determination) on that portion of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Other Consideration that consists of cash; Modified Calculation Agent Adjustment 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remainder of the Other Consideration and, for the avoidance of doubt, if the Other</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Consideration includes (or, at the option of a holder of Shares, may include) Foreign</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Issuer Shares, then the Calculation Agent may</w:t>
            </w:r>
          </w:p>
        </w:tc>
      </w:tr>
      <w:tr>
        <w:trPr>
          <w:trHeight w:val="702"/>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6</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5"/>
        </w:trPr>
        <w:tc>
          <w:tcPr>
            <w:tcW w:w="114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4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r>
      <w:tr>
        <w:trPr>
          <w:trHeight w:val="563"/>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choose to apply Cancellation and Payment to that portion of the Other Consideration</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comprising Foreign Issuer Shares.</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Share-for-Combined:</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Component Adjustment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Tender Offer:</w:t>
            </w:r>
          </w:p>
        </w:tc>
        <w:tc>
          <w:tcPr>
            <w:tcW w:w="2820" w:type="dxa"/>
            <w:vAlign w:val="bottom"/>
          </w:tcPr>
          <w:p>
            <w:pPr>
              <w:spacing w:after="0"/>
              <w:rPr>
                <w:sz w:val="24"/>
                <w:szCs w:val="24"/>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Applicable; provided that (a) Section 12.1(d) of the Equity Definitions is hereby</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amended by replacing the words “10%” in the third line with “50%”.</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Consequences of Tender Offers: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Share-for-Share:</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Share-for-Other: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8"/>
              </w:rPr>
              <w:t>Cancellation and Payment (Calculation Agent Determination) on that portion of the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Other Consideration that consists of cash; Modified Calculation Agent Adjustment 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remainder of the Other Consideration and, for the avoidance of doubt, if the Other</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Consideration includes (or, at the option of a holder of Shares, may include) Foreign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0"/>
              </w:rPr>
              <w:t>Issuer Shares, then the Calculation Agent may choose to apply Cancellation and Payment</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to that portion of the Other Consideration comprising Foreign Issuer Shares.</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Share-for-Combined:</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Component Adjustment</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Nationalization, Insolvency or Delisting:</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Cancellation and Payment (Calculation Agent Determination); provided that in addition</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to the provisions of Section 12.6(a)(iii) of the Equity Definitions, it shall also constitute a</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Delisting if the Exchange is located in the United States and the Shares are not</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immediately re-listed, re-traded or re-quoted on any of the New York Stock Exchange,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the NASDAQ Global Select Market or the NASDAQ Global Market (or their respective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successors); if the Shares are immediately re-listed, re-traded or re-quoted on any such</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0"/>
              </w:rPr>
              <w:t>exchange or quotation system, such exchange or quotation system shall be deemed to be</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the Exchange.</w:t>
            </w: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Additional Disruption Events:</w:t>
            </w:r>
          </w:p>
        </w:tc>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1140" w:type="dxa"/>
            <w:vAlign w:val="bottom"/>
          </w:tcPr>
          <w:p>
            <w:pPr>
              <w:ind w:left="660"/>
              <w:spacing w:after="0"/>
              <w:rPr>
                <w:sz w:val="20"/>
                <w:szCs w:val="20"/>
                <w:color w:val="auto"/>
              </w:rPr>
            </w:pPr>
            <w:r>
              <w:rPr>
                <w:rFonts w:ascii="Arial" w:cs="Arial" w:eastAsia="Arial" w:hAnsi="Arial"/>
                <w:sz w:val="18"/>
                <w:szCs w:val="18"/>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Change in Law:</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Section 12.9(a)(ii) of the Equity Definitions is hereby amended</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6"/>
              </w:rPr>
              <w:t>by (i) replacing the phrase “the interpretation” in the third line thereof with the phrase</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“or announcement or statement of the formal or informal interpretation”, (ii)</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5"/>
              </w:rPr>
              <w:t>immediately following the word “that” in the sixth line thereof, adding the phrase “as a</w:t>
            </w: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w w:val="94"/>
              </w:rPr>
              <w:t>result of one or more of the circumstances listed in (A) and (B) above” and (iii) deleting</w:t>
            </w:r>
          </w:p>
        </w:tc>
      </w:tr>
      <w:tr>
        <w:trPr>
          <w:trHeight w:val="230"/>
        </w:trPr>
        <w:tc>
          <w:tcPr>
            <w:tcW w:w="1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clause (Y) thereof in its entirety.</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Failure to Deliver:</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Not Applicable</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(c)</w:t>
            </w:r>
          </w:p>
        </w:tc>
        <w:tc>
          <w:tcPr>
            <w:tcW w:w="2820" w:type="dxa"/>
            <w:vAlign w:val="bottom"/>
          </w:tcPr>
          <w:p>
            <w:pPr>
              <w:ind w:left="140"/>
              <w:spacing w:after="0"/>
              <w:rPr>
                <w:sz w:val="20"/>
                <w:szCs w:val="20"/>
                <w:color w:val="auto"/>
              </w:rPr>
            </w:pPr>
            <w:r>
              <w:rPr>
                <w:rFonts w:ascii="Arial" w:cs="Arial" w:eastAsia="Arial" w:hAnsi="Arial"/>
                <w:sz w:val="18"/>
                <w:szCs w:val="18"/>
                <w:color w:val="auto"/>
              </w:rPr>
              <w:t>Insolvency Filing:</w:t>
            </w:r>
          </w:p>
        </w:tc>
        <w:tc>
          <w:tcPr>
            <w:tcW w:w="7500" w:type="dxa"/>
            <w:vAlign w:val="bottom"/>
            <w:gridSpan w:val="3"/>
          </w:tcPr>
          <w:p>
            <w:pPr>
              <w:ind w:left="1000"/>
              <w:spacing w:after="0"/>
              <w:rPr>
                <w:sz w:val="20"/>
                <w:szCs w:val="20"/>
                <w:color w:val="auto"/>
              </w:rPr>
            </w:pPr>
            <w:r>
              <w:rPr>
                <w:rFonts w:ascii="Arial" w:cs="Arial" w:eastAsia="Arial" w:hAnsi="Arial"/>
                <w:sz w:val="18"/>
                <w:szCs w:val="18"/>
                <w:color w:val="auto"/>
              </w:rPr>
              <w:t>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-6021705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-6021705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180" w:type="dxa"/>
            <w:vAlign w:val="bottom"/>
          </w:tcPr>
          <w:p>
            <w:pPr>
              <w:ind w:left="660"/>
              <w:spacing w:after="0"/>
              <w:rPr>
                <w:sz w:val="20"/>
                <w:szCs w:val="20"/>
                <w:color w:val="auto"/>
              </w:rPr>
            </w:pPr>
            <w:r>
              <w:rPr>
                <w:rFonts w:ascii="Arial" w:cs="Arial" w:eastAsia="Arial" w:hAnsi="Arial"/>
                <w:sz w:val="18"/>
                <w:szCs w:val="18"/>
                <w:color w:val="auto"/>
              </w:rPr>
              <w:t>(d)</w:t>
            </w:r>
          </w:p>
        </w:tc>
        <w:tc>
          <w:tcPr>
            <w:tcW w:w="2920" w:type="dxa"/>
            <w:vAlign w:val="bottom"/>
          </w:tcPr>
          <w:p>
            <w:pPr>
              <w:ind w:left="100"/>
              <w:spacing w:after="0"/>
              <w:rPr>
                <w:sz w:val="20"/>
                <w:szCs w:val="20"/>
                <w:color w:val="auto"/>
              </w:rPr>
            </w:pPr>
            <w:r>
              <w:rPr>
                <w:rFonts w:ascii="Arial" w:cs="Arial" w:eastAsia="Arial" w:hAnsi="Arial"/>
                <w:sz w:val="18"/>
                <w:szCs w:val="18"/>
                <w:color w:val="auto"/>
              </w:rPr>
              <w:t>Hedging Disruption:</w:t>
            </w:r>
          </w:p>
        </w:tc>
        <w:tc>
          <w:tcPr>
            <w:tcW w:w="7360" w:type="dxa"/>
            <w:vAlign w:val="bottom"/>
          </w:tcPr>
          <w:p>
            <w:pPr>
              <w:ind w:left="860"/>
              <w:spacing w:after="0"/>
              <w:rPr>
                <w:sz w:val="20"/>
                <w:szCs w:val="20"/>
                <w:color w:val="auto"/>
              </w:rPr>
            </w:pPr>
            <w:r>
              <w:rPr>
                <w:rFonts w:ascii="Arial" w:cs="Arial" w:eastAsia="Arial" w:hAnsi="Arial"/>
                <w:sz w:val="18"/>
                <w:szCs w:val="18"/>
                <w:color w:val="auto"/>
              </w:rPr>
              <w:t>Applicable</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(e)</w:t>
            </w:r>
          </w:p>
        </w:tc>
        <w:tc>
          <w:tcPr>
            <w:tcW w:w="2920" w:type="dxa"/>
            <w:vAlign w:val="bottom"/>
          </w:tcPr>
          <w:p>
            <w:pPr>
              <w:ind w:left="100"/>
              <w:spacing w:after="0"/>
              <w:rPr>
                <w:sz w:val="20"/>
                <w:szCs w:val="20"/>
                <w:color w:val="auto"/>
              </w:rPr>
            </w:pPr>
            <w:r>
              <w:rPr>
                <w:rFonts w:ascii="Arial" w:cs="Arial" w:eastAsia="Arial" w:hAnsi="Arial"/>
                <w:sz w:val="18"/>
                <w:szCs w:val="18"/>
                <w:color w:val="auto"/>
              </w:rPr>
              <w:t>Increased Cost of Hedging:</w:t>
            </w:r>
          </w:p>
        </w:tc>
        <w:tc>
          <w:tcPr>
            <w:tcW w:w="7360" w:type="dxa"/>
            <w:vAlign w:val="bottom"/>
          </w:tcPr>
          <w:p>
            <w:pPr>
              <w:ind w:left="860"/>
              <w:spacing w:after="0"/>
              <w:rPr>
                <w:sz w:val="20"/>
                <w:szCs w:val="20"/>
                <w:color w:val="auto"/>
              </w:rPr>
            </w:pPr>
            <w:r>
              <w:rPr>
                <w:rFonts w:ascii="Arial" w:cs="Arial" w:eastAsia="Arial" w:hAnsi="Arial"/>
                <w:sz w:val="18"/>
                <w:szCs w:val="18"/>
                <w:color w:val="auto"/>
              </w:rPr>
              <w:t>Not Applicable</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w w:val="97"/>
              </w:rPr>
              <w:t>Hedging Party:</w:t>
            </w:r>
          </w:p>
        </w:tc>
        <w:tc>
          <w:tcPr>
            <w:tcW w:w="2920" w:type="dxa"/>
            <w:vAlign w:val="bottom"/>
          </w:tcPr>
          <w:p>
            <w:pPr>
              <w:spacing w:after="0"/>
              <w:rPr>
                <w:sz w:val="24"/>
                <w:szCs w:val="24"/>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Dealer</w:t>
            </w: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rPr>
              <w:t>Determining Party:</w:t>
            </w:r>
          </w:p>
        </w:tc>
        <w:tc>
          <w:tcPr>
            <w:tcW w:w="7360" w:type="dxa"/>
            <w:vAlign w:val="bottom"/>
          </w:tcPr>
          <w:p>
            <w:pPr>
              <w:ind w:left="860"/>
              <w:spacing w:after="0"/>
              <w:rPr>
                <w:sz w:val="20"/>
                <w:szCs w:val="20"/>
                <w:color w:val="auto"/>
              </w:rPr>
            </w:pPr>
            <w:r>
              <w:rPr>
                <w:rFonts w:ascii="Arial" w:cs="Arial" w:eastAsia="Arial" w:hAnsi="Arial"/>
                <w:sz w:val="18"/>
                <w:szCs w:val="18"/>
                <w:color w:val="auto"/>
              </w:rPr>
              <w:t>Dealer</w:t>
            </w:r>
          </w:p>
        </w:tc>
      </w:tr>
      <w:tr>
        <w:trPr>
          <w:trHeight w:val="702"/>
        </w:trPr>
        <w:tc>
          <w:tcPr>
            <w:tcW w:w="1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60" w:type="dxa"/>
            <w:vAlign w:val="bottom"/>
          </w:tcPr>
          <w:p>
            <w:pPr>
              <w:ind w:left="1560"/>
              <w:spacing w:after="0"/>
              <w:rPr>
                <w:sz w:val="20"/>
                <w:szCs w:val="20"/>
                <w:color w:val="auto"/>
              </w:rPr>
            </w:pPr>
            <w:r>
              <w:rPr>
                <w:rFonts w:ascii="Arial" w:cs="Arial" w:eastAsia="Arial" w:hAnsi="Arial"/>
                <w:sz w:val="18"/>
                <w:szCs w:val="18"/>
                <w:color w:val="auto"/>
              </w:rPr>
              <w:t>7</w:t>
            </w:r>
          </w:p>
        </w:tc>
      </w:tr>
      <w:tr>
        <w:trPr>
          <w:trHeight w:val="375"/>
        </w:trPr>
        <w:tc>
          <w:tcPr>
            <w:tcW w:w="118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73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71"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Agreements and Acknowledgements Regarding Hedging Activities: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452"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rPr>
          <w:sz w:val="20"/>
          <w:szCs w:val="20"/>
          <w:color w:val="auto"/>
        </w:rPr>
      </w:pPr>
      <w:r>
        <w:rPr>
          <w:rFonts w:ascii="Arial" w:cs="Arial" w:eastAsia="Arial" w:hAnsi="Arial"/>
          <w:sz w:val="16"/>
          <w:szCs w:val="16"/>
          <w:color w:val="auto"/>
        </w:rPr>
        <w:t>Additional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Dealer Payment Instructions: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Dealer.</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Counterparty Payment and Delivery Instructions: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Counterparty.</w:t>
      </w:r>
    </w:p>
    <w:p>
      <w:pPr>
        <w:spacing w:after="0" w:line="200" w:lineRule="exact"/>
        <w:rPr>
          <w:sz w:val="20"/>
          <w:szCs w:val="20"/>
          <w:color w:val="auto"/>
        </w:rPr>
      </w:pPr>
    </w:p>
    <w:p>
      <w:pPr>
        <w:sectPr>
          <w:pgSz w:w="11900" w:h="16838" w:orient="portrait"/>
          <w:cols w:equalWidth="0" w:num="2">
            <w:col w:w="4240" w:space="720"/>
            <w:col w:w="6500"/>
          </w:cols>
          <w:pgMar w:left="240" w:top="341" w:right="199" w:bottom="71" w:gutter="0" w:footer="0" w:header="0"/>
          <w:type w:val="continuous"/>
        </w:sectPr>
      </w:pPr>
    </w:p>
    <w:p>
      <w:pPr>
        <w:spacing w:after="0" w:line="102" w:lineRule="exact"/>
        <w:rPr>
          <w:sz w:val="20"/>
          <w:szCs w:val="20"/>
          <w:color w:val="auto"/>
        </w:rPr>
      </w:pPr>
    </w:p>
    <w:p>
      <w:pPr>
        <w:ind w:right="160" w:firstLine="656"/>
        <w:spacing w:after="0" w:line="273" w:lineRule="auto"/>
        <w:tabs>
          <w:tab w:leader="none" w:pos="974"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Calculation Agent</w:t>
      </w:r>
      <w:r>
        <w:rPr>
          <w:rFonts w:ascii="Arial" w:cs="Arial" w:eastAsia="Arial" w:hAnsi="Arial"/>
          <w:sz w:val="17"/>
          <w:szCs w:val="17"/>
          <w:color w:val="auto"/>
        </w:rPr>
        <w:t xml:space="preserve">: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determinations made by the Calculation Agent shall be made in good faith and in a commercially reasonable manner. Following any calculation by the Calculation Agent hereunder, upon a prior written request by Issuer, the Calculation Agent will provide to Counterparty by e-mail to the e-mail address provided by Counterparty in such a prior written request a report (in a commonly used file format for the storage and manipulation of financial data) displaying in reasonable detail the basis for such calculation;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transferee of the Transaction in accordance with the terms of this Confirmation shall act as Calculation Agent with respect to such transferred Transaction without the prior consent of Counterparty, such consent not to be unreasonably withheld.</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sz w:val="20"/>
          <w:szCs w:val="20"/>
          <w:color w:val="auto"/>
        </w:rPr>
      </w:pPr>
    </w:p>
    <w:p>
      <w:pPr>
        <w:ind w:left="1280" w:hanging="624"/>
        <w:spacing w:after="0"/>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Office of Dealer for this Transaction is: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Office of Counterparty for this Transaction is: 8000 S. Federal Bay, Boise, Idaho 83716-9632.</w:t>
      </w:r>
    </w:p>
    <w:p>
      <w:pPr>
        <w:spacing w:after="0" w:line="225" w:lineRule="exact"/>
        <w:rPr>
          <w:sz w:val="20"/>
          <w:szCs w:val="20"/>
          <w:color w:val="auto"/>
        </w:rPr>
      </w:pPr>
    </w:p>
    <w:p>
      <w:pPr>
        <w:ind w:left="980" w:hanging="324"/>
        <w:spacing w:after="0"/>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1280" w:hanging="624"/>
        <w:spacing w:after="0"/>
        <w:tabs>
          <w:tab w:leader="none" w:pos="1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460"/>
          </w:cols>
          <w:pgMar w:left="240" w:top="341" w:right="199" w:bottom="71" w:gutter="0" w:footer="0" w:header="0"/>
          <w:type w:val="continuous"/>
        </w:sectPr>
      </w:pP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2080" w:space="540"/>
            <w:col w:w="8840"/>
          </w:cols>
          <w:pgMar w:left="240" w:top="341" w:right="199" w:bottom="71" w:gutter="0" w:footer="0" w:header="0"/>
          <w:type w:val="continuous"/>
        </w:sectPr>
      </w:pPr>
    </w:p>
    <w:p>
      <w:pPr>
        <w:spacing w:after="0" w:line="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Wilson Sonsini Goodrich &amp; Rosati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 Fore,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493-9300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493-6811</w:t>
      </w:r>
    </w:p>
    <w:p>
      <w:pPr>
        <w:spacing w:after="0" w:line="200" w:lineRule="exact"/>
        <w:rPr>
          <w:sz w:val="20"/>
          <w:szCs w:val="20"/>
          <w:color w:val="auto"/>
        </w:rPr>
      </w:pPr>
    </w:p>
    <w:p>
      <w:pPr>
        <w:sectPr>
          <w:pgSz w:w="11900" w:h="16838" w:orient="portrait"/>
          <w:cols w:equalWidth="0" w:num="2">
            <w:col w:w="2380" w:space="240"/>
            <w:col w:w="8840"/>
          </w:cols>
          <w:pgMar w:left="240" w:top="341" w:right="199" w:bottom="71" w:gutter="0" w:footer="0" w:header="0"/>
          <w:type w:val="continuous"/>
        </w:sectPr>
      </w:pPr>
    </w:p>
    <w:p>
      <w:pPr>
        <w:spacing w:after="0" w:line="65" w:lineRule="exact"/>
        <w:rPr>
          <w:sz w:val="20"/>
          <w:szCs w:val="20"/>
          <w:color w:val="auto"/>
        </w:rPr>
      </w:pPr>
    </w:p>
    <w:p>
      <w:pPr>
        <w:ind w:left="1180" w:hanging="524"/>
        <w:spacing w:after="0"/>
        <w:tabs>
          <w:tab w:leader="none" w:pos="11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Address for notices or communications to Dealer shall be transmitted exclusively through Agent at the following address:</w:t>
      </w:r>
    </w:p>
    <w:p>
      <w:pPr>
        <w:sectPr>
          <w:pgSz w:w="11900" w:h="16838" w:orient="portrait"/>
          <w:cols w:equalWidth="0" w:num="1">
            <w:col w:w="11460"/>
          </w:cols>
          <w:pgMar w:left="240" w:top="341" w:right="199" w:bottom="71" w:gutter="0" w:footer="0" w:header="0"/>
          <w:type w:val="continuous"/>
        </w:sect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Credit Suisse, New York branch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10010-3629</w:t>
      </w:r>
    </w:p>
    <w:p>
      <w:pPr>
        <w:spacing w:after="0" w:line="200" w:lineRule="exact"/>
        <w:rPr>
          <w:sz w:val="20"/>
          <w:szCs w:val="20"/>
          <w:color w:val="auto"/>
        </w:rPr>
      </w:pPr>
    </w:p>
    <w:p>
      <w:pPr>
        <w:sectPr>
          <w:pgSz w:w="11900" w:h="16838" w:orient="portrait"/>
          <w:cols w:equalWidth="0" w:num="2">
            <w:col w:w="1900" w:space="720"/>
            <w:col w:w="8840"/>
          </w:cols>
          <w:pgMar w:left="240" w:top="341" w:right="199" w:bottom="71" w:gutter="0" w:footer="0" w:header="0"/>
          <w:type w:val="continuous"/>
        </w:sectPr>
      </w:pP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payments and deliveries:</w:t>
      </w:r>
    </w:p>
    <w:p>
      <w:pPr>
        <w:spacing w:after="0" w:line="18"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1940" w:type="dxa"/>
            <w:vAlign w:val="bottom"/>
          </w:tcPr>
          <w:p>
            <w:pPr>
              <w:ind w:left="20"/>
              <w:spacing w:after="0"/>
              <w:rPr>
                <w:sz w:val="20"/>
                <w:szCs w:val="20"/>
                <w:color w:val="auto"/>
              </w:rPr>
            </w:pPr>
            <w:r>
              <w:rPr>
                <w:rFonts w:ascii="Arial" w:cs="Arial" w:eastAsia="Arial" w:hAnsi="Arial"/>
                <w:sz w:val="18"/>
                <w:szCs w:val="18"/>
                <w:color w:val="auto"/>
                <w:w w:val="89"/>
              </w:rPr>
              <w:t>325 8678 / (212) 325 3213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Facsimile: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1940" w:type="dxa"/>
            <w:vAlign w:val="bottom"/>
          </w:tcPr>
          <w:p>
            <w:pPr>
              <w:ind w:left="20"/>
              <w:spacing w:after="0"/>
              <w:rPr>
                <w:sz w:val="20"/>
                <w:szCs w:val="20"/>
                <w:color w:val="auto"/>
              </w:rPr>
            </w:pPr>
            <w:r>
              <w:rPr>
                <w:rFonts w:ascii="Arial" w:cs="Arial" w:eastAsia="Arial" w:hAnsi="Arial"/>
                <w:sz w:val="18"/>
                <w:szCs w:val="18"/>
                <w:color w:val="auto"/>
              </w:rPr>
              <w:t>325 8175</w:t>
            </w: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all other communications:</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71" w:gutter="0" w:footer="0" w:header="0"/>
          <w:type w:val="continuous"/>
        </w:sectPr>
      </w:pPr>
    </w:p>
    <w:bookmarkStart w:id="84" w:name="page85"/>
    <w:bookmarkEnd w:id="84"/>
    <w:tbl>
      <w:tblPr>
        <w:tblLayout w:type="fixed"/>
        <w:tblInd w:w="128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4440" w:type="dxa"/>
            <w:vAlign w:val="bottom"/>
          </w:tcPr>
          <w:p>
            <w:pPr>
              <w:ind w:left="20"/>
              <w:spacing w:after="0"/>
              <w:rPr>
                <w:sz w:val="20"/>
                <w:szCs w:val="20"/>
                <w:color w:val="auto"/>
              </w:rPr>
            </w:pPr>
            <w:r>
              <w:rPr>
                <w:rFonts w:ascii="Arial" w:cs="Arial" w:eastAsia="Arial" w:hAnsi="Arial"/>
                <w:sz w:val="18"/>
                <w:szCs w:val="18"/>
                <w:color w:val="auto"/>
                <w:w w:val="90"/>
              </w:rPr>
              <w:t>325 8676 / (212) 538 5306 / (212) 538 1193 / (212) 538 6886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Facsimile:</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4440" w:type="dxa"/>
            <w:vAlign w:val="bottom"/>
          </w:tcPr>
          <w:p>
            <w:pPr>
              <w:ind w:left="20"/>
              <w:spacing w:after="0"/>
              <w:rPr>
                <w:sz w:val="20"/>
                <w:szCs w:val="20"/>
                <w:color w:val="auto"/>
              </w:rPr>
            </w:pPr>
            <w:r>
              <w:rPr>
                <w:rFonts w:ascii="Arial" w:cs="Arial" w:eastAsia="Arial" w:hAnsi="Arial"/>
                <w:sz w:val="18"/>
                <w:szCs w:val="18"/>
                <w:color w:val="auto"/>
              </w:rPr>
              <w:t>325 8173</w:t>
            </w:r>
          </w:p>
        </w:tc>
      </w:tr>
    </w:tbl>
    <w:p>
      <w:pPr>
        <w:spacing w:after="0" w:line="256" w:lineRule="exact"/>
        <w:rPr>
          <w:sz w:val="20"/>
          <w:szCs w:val="20"/>
          <w:color w:val="auto"/>
        </w:rPr>
      </w:pPr>
    </w:p>
    <w:p>
      <w:pPr>
        <w:ind w:left="980" w:hanging="324"/>
        <w:spacing w:after="0"/>
        <w:tabs>
          <w:tab w:leader="none" w:pos="98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right="700" w:firstLine="656"/>
        <w:spacing w:after="0" w:line="277" w:lineRule="auto"/>
        <w:tabs>
          <w:tab w:leader="none" w:pos="126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60" w:firstLine="645"/>
        <w:spacing w:after="0" w:line="255" w:lineRule="auto"/>
        <w:tabs>
          <w:tab w:leader="none" w:pos="193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93" w:lineRule="exact"/>
        <w:rPr>
          <w:rFonts w:ascii="Arial" w:cs="Arial" w:eastAsia="Arial" w:hAnsi="Arial"/>
          <w:sz w:val="18"/>
          <w:szCs w:val="18"/>
          <w:color w:val="auto"/>
        </w:rPr>
      </w:pPr>
    </w:p>
    <w:p>
      <w:pPr>
        <w:ind w:left="660" w:firstLine="645"/>
        <w:spacing w:after="0" w:line="279" w:lineRule="auto"/>
        <w:tabs>
          <w:tab w:leader="none" w:pos="1949" w:val="left"/>
        </w:tabs>
        <w:numPr>
          <w:ilvl w:val="1"/>
          <w:numId w:val="191"/>
        </w:numPr>
        <w:rPr>
          <w:rFonts w:ascii="Arial" w:cs="Arial" w:eastAsia="Arial" w:hAnsi="Arial"/>
          <w:sz w:val="17"/>
          <w:szCs w:val="17"/>
          <w:color w:val="auto"/>
        </w:rPr>
      </w:pPr>
      <w:r>
        <w:rPr>
          <w:rFonts w:ascii="Arial" w:cs="Arial" w:eastAsia="Arial" w:hAnsi="Arial"/>
          <w:sz w:val="17"/>
          <w:szCs w:val="17"/>
          <w:color w:val="auto"/>
        </w:rPr>
        <w:t>Counterparty intends the Transaction to qualify as an equity instrument for purposes of EITF Issue No. 00-19. Without limiting the generality of Section 13.1 of the Equity Definitions, Counterparty acknowledges that Dealer is not making any representations or warranties with respect to the treatment of the Transaction under any accounting standards including FASB Statements 128, 133 ( as amended), 149 or 150, EITF Issue No. 00-19, 01-6 or 03-6 (or any successor issue statements) or under FASB’s Liabilities &amp; Equity Project.</w:t>
      </w:r>
    </w:p>
    <w:p>
      <w:pPr>
        <w:spacing w:after="0" w:line="171" w:lineRule="exact"/>
        <w:rPr>
          <w:rFonts w:ascii="Arial" w:cs="Arial" w:eastAsia="Arial" w:hAnsi="Arial"/>
          <w:sz w:val="17"/>
          <w:szCs w:val="17"/>
          <w:color w:val="auto"/>
        </w:rPr>
      </w:pPr>
    </w:p>
    <w:p>
      <w:pPr>
        <w:ind w:left="660" w:right="480" w:firstLine="645"/>
        <w:spacing w:after="0" w:line="277" w:lineRule="auto"/>
        <w:tabs>
          <w:tab w:leader="none" w:pos="196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Prior to the Trade Date, Counterparty shall deliver to Dealer a resolution of Counterparty’s board of directors authorizing the Transaction and such other certificate or certificates as Dealer shall reasonably request.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5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3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195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60" w:right="140" w:firstLine="645"/>
        <w:spacing w:after="0" w:line="291" w:lineRule="auto"/>
        <w:tabs>
          <w:tab w:leader="none" w:pos="1962" w:val="left"/>
        </w:tabs>
        <w:numPr>
          <w:ilvl w:val="1"/>
          <w:numId w:val="191"/>
        </w:numPr>
        <w:rPr>
          <w:rFonts w:ascii="Arial" w:cs="Arial" w:eastAsia="Arial" w:hAnsi="Arial"/>
          <w:sz w:val="16"/>
          <w:szCs w:val="16"/>
          <w:color w:val="auto"/>
        </w:rPr>
      </w:pPr>
      <w:r>
        <w:rPr>
          <w:rFonts w:ascii="Arial" w:cs="Arial" w:eastAsia="Arial" w:hAnsi="Arial"/>
          <w:sz w:val="16"/>
          <w:szCs w:val="16"/>
          <w:color w:val="auto"/>
        </w:rPr>
        <w:t>On the Trade Date and on any Additional Premium Payment Date (A) the assets of Counterparty at their fair valuation exceed the liabilities of Counterparty, including contingent liabilities, (B) the capital of Counterparty is adequate to conduct the business of Counterparty and</w:t>
      </w:r>
    </w:p>
    <w:p>
      <w:pPr>
        <w:ind w:left="660" w:right="320"/>
        <w:spacing w:after="0" w:line="261" w:lineRule="auto"/>
        <w:rPr>
          <w:rFonts w:ascii="Arial" w:cs="Arial" w:eastAsia="Arial" w:hAnsi="Arial"/>
          <w:sz w:val="16"/>
          <w:szCs w:val="16"/>
          <w:color w:val="auto"/>
        </w:rPr>
      </w:pPr>
      <w:r>
        <w:rPr>
          <w:rFonts w:ascii="Arial" w:cs="Arial" w:eastAsia="Arial" w:hAnsi="Arial"/>
          <w:sz w:val="18"/>
          <w:szCs w:val="18"/>
          <w:color w:val="auto"/>
        </w:rPr>
        <w:t>(C) 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6"/>
          <w:szCs w:val="16"/>
          <w:color w:val="auto"/>
        </w:rPr>
      </w:pPr>
    </w:p>
    <w:p>
      <w:pPr>
        <w:ind w:left="660" w:right="20" w:firstLine="645"/>
        <w:spacing w:after="0" w:line="255" w:lineRule="auto"/>
        <w:tabs>
          <w:tab w:leader="none" w:pos="197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During each period starting on the first Expiration Date and ending on the last Expiration Date, in each case sharing a common Final Disruption Date (each a “</w:t>
      </w:r>
      <w:r>
        <w:rPr>
          <w:rFonts w:ascii="Arial" w:cs="Arial" w:eastAsia="Arial" w:hAnsi="Arial"/>
          <w:sz w:val="18"/>
          <w:szCs w:val="18"/>
          <w:u w:val="single" w:color="auto"/>
          <w:color w:val="auto"/>
        </w:rPr>
        <w:t>Settlement Period</w:t>
      </w:r>
      <w:r>
        <w:rPr>
          <w:rFonts w:ascii="Arial" w:cs="Arial" w:eastAsia="Arial" w:hAnsi="Arial"/>
          <w:sz w:val="18"/>
          <w:szCs w:val="18"/>
          <w:color w:val="auto"/>
        </w:rPr>
        <w:t>”), the Shares or securities that are convertible into, or exchangeable or exercisable for Shares shall not be, subject to a “restricted period,” as such term is defined in Regulation M under the Exchange Act (“</w:t>
      </w:r>
      <w:r>
        <w:rPr>
          <w:rFonts w:ascii="Arial" w:cs="Arial" w:eastAsia="Arial" w:hAnsi="Arial"/>
          <w:sz w:val="18"/>
          <w:szCs w:val="18"/>
          <w:u w:val="single" w:color="auto"/>
          <w:color w:val="auto"/>
        </w:rPr>
        <w:t>Regulation M</w:t>
      </w:r>
      <w:r>
        <w:rPr>
          <w:rFonts w:ascii="Arial" w:cs="Arial" w:eastAsia="Arial" w:hAnsi="Arial"/>
          <w:sz w:val="18"/>
          <w:szCs w:val="18"/>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relevant Settlement Period.</w:t>
      </w:r>
    </w:p>
    <w:p>
      <w:pPr>
        <w:spacing w:after="0" w:line="193" w:lineRule="exact"/>
        <w:rPr>
          <w:rFonts w:ascii="Arial" w:cs="Arial" w:eastAsia="Arial" w:hAnsi="Arial"/>
          <w:sz w:val="18"/>
          <w:szCs w:val="18"/>
          <w:color w:val="auto"/>
        </w:rPr>
      </w:pPr>
    </w:p>
    <w:p>
      <w:pPr>
        <w:jc w:val="both"/>
        <w:ind w:left="660" w:right="120" w:firstLine="645"/>
        <w:spacing w:after="0" w:line="264" w:lineRule="auto"/>
        <w:tabs>
          <w:tab w:leader="none" w:pos="198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During each Settlement Period, neither Counterparty nor any “affiliate” or “affiliated purchaser” (each as defined in Rule 10b-18 under the Exchange Act (“</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1" w:lineRule="exact"/>
        <w:rPr>
          <w:sz w:val="20"/>
          <w:szCs w:val="20"/>
          <w:color w:val="auto"/>
        </w:rPr>
      </w:pPr>
    </w:p>
    <w:p>
      <w:pPr>
        <w:ind w:right="260" w:firstLine="656"/>
        <w:spacing w:after="0" w:line="277" w:lineRule="auto"/>
        <w:tabs>
          <w:tab w:leader="none" w:pos="127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right="20" w:firstLine="656"/>
        <w:spacing w:after="0" w:line="287" w:lineRule="auto"/>
        <w:tabs>
          <w:tab w:leader="none" w:pos="126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by virtue of Section 4(2) thereof. Accordingly, Counterparty represents and warrants to Dealer and Dealer represents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without a view to the distribution or resale thereof, (iv) the assignment, transfer or other disposition of the Transaction has not been and will not be registered under the Securities Act and is restricted under this Confirmation, the Securities Act and state securities laws,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ectPr>
          <w:pgSz w:w="11900" w:h="16838" w:orient="portrait"/>
          <w:cols w:equalWidth="0" w:num="1">
            <w:col w:w="11420"/>
          </w:cols>
          <w:pgMar w:left="240" w:top="382" w:right="239" w:bottom="142" w:gutter="0" w:footer="0" w:header="0"/>
        </w:sectPr>
      </w:pPr>
    </w:p>
    <w:bookmarkStart w:id="85" w:name="page86"/>
    <w:bookmarkEnd w:id="85"/>
    <w:p>
      <w:pPr>
        <w:ind w:right="260" w:firstLine="656"/>
        <w:spacing w:after="0" w:line="291" w:lineRule="auto"/>
        <w:tabs>
          <w:tab w:leader="none" w:pos="127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and/or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is a “settlement payment,” as such term is defined in Section 741(8) of the Bankruptcy Code, and (ii) a “swap agreement,” as such term is defined in Section 101(53B) of the Bankruptcy Code, with respect to which each payment and delivery hereunder is a “transfer,” as such term is defined in Section 101(54) of the Bankruptcy Code, and (B) that Dealer is entitled to the protections afforded by, among other sections, Sections 362(b)(6), 362(b)(17), 546(e), 546(g), 555 and 560 of the Bankruptcy Code.</w:t>
      </w:r>
    </w:p>
    <w:p>
      <w:pPr>
        <w:spacing w:after="0" w:line="167" w:lineRule="exact"/>
        <w:rPr>
          <w:rFonts w:ascii="Arial" w:cs="Arial" w:eastAsia="Arial" w:hAnsi="Arial"/>
          <w:sz w:val="16"/>
          <w:szCs w:val="16"/>
          <w:color w:val="auto"/>
        </w:rPr>
      </w:pPr>
    </w:p>
    <w:p>
      <w:pPr>
        <w:ind w:right="20" w:firstLine="656"/>
        <w:spacing w:after="0" w:line="273" w:lineRule="auto"/>
        <w:tabs>
          <w:tab w:leader="none" w:pos="126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Counterparty hereby agrees and acknowledges that the Transaction has not been registered with the Securities and Exchange Commission or any state securities commission and that the Options are being written by Dealer to Counterparty in reliance upon exemptions from any such registration requirements. Counterparty acknowledges that all Options acquired from Dealer will be acquired for investment purposes only and not for the purpose of resale or other transfer except in compliance with the requirements of the Securities Act. Counterparty will not sell or otherwise transfer any Option or any interest therein except in compliance with the requirements of the Securities Act and any subsequent offer or sale of the Options will be solely for Counterparty’s account and not as part of a distribution that would be in violation of the Securities Act.</w:t>
      </w:r>
    </w:p>
    <w:p>
      <w:pPr>
        <w:spacing w:after="0" w:line="178" w:lineRule="exact"/>
        <w:rPr>
          <w:sz w:val="20"/>
          <w:szCs w:val="20"/>
          <w:color w:val="auto"/>
        </w:rPr>
      </w:pPr>
    </w:p>
    <w:p>
      <w:pPr>
        <w:ind w:right="80" w:firstLine="656"/>
        <w:spacing w:after="0" w:line="287" w:lineRule="auto"/>
        <w:tabs>
          <w:tab w:leader="none" w:pos="974"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on such day if following such repurchase, the Notice Percentage as determined on such day is greater by 0.5% than the Notice Percentage included in the immediately preceding Repurchase Notice (or, in the case of the first such Repurchase Notice or the first such Repurchase Notice after the initial Final Disruption Date, greater than 4.5%. The “</w:t>
      </w:r>
      <w:r>
        <w:rPr>
          <w:rFonts w:ascii="Arial" w:cs="Arial" w:eastAsia="Arial" w:hAnsi="Arial"/>
          <w:sz w:val="16"/>
          <w:szCs w:val="16"/>
          <w:u w:val="single" w:color="auto"/>
          <w:color w:val="auto"/>
        </w:rPr>
        <w:t>Notice Percentage</w:t>
      </w:r>
      <w:r>
        <w:rPr>
          <w:rFonts w:ascii="Arial" w:cs="Arial" w:eastAsia="Arial" w:hAnsi="Arial"/>
          <w:sz w:val="16"/>
          <w:szCs w:val="16"/>
          <w:color w:val="auto"/>
        </w:rPr>
        <w:t>” as of any day is the fraction (A) the numerator of which is the aggregate of the Number of Shares for all Components under this Transaction and all other Transactions and (B) the denominator of which is the number of Shares outstanding on such day. In the event that Counterparty fails to provide Dealer with a Repurchase Notice on the day and in the manner specified in this Section 7, then Counterparty to the extent permitted by law agrees to indemnify and hold harmless Dealer, its affiliates and their respective directors, officers, employees, agents and controlling persons (Dealer and each such person being an “Indemnified Person”)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which such Indemnified Person is subject, including without limitation, Section 16 of the Exchange Act), relating to or arising out of such failure.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In addition, Counterparty will reimburse any Indemnified Person for all reasonable expenses (including reasonable counsel fees and expenses) as they are incurred (after notice to Counterparty) in connection with the investigation of, preparation for or defense or settlement of any pending or threatened claim or any action, suit or proceeding (including any governmental or regulatory investigation) arising therefrom, whether or not such Indemnified Person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Issuer will not be liable under this indemnity provision to the extent any loss, claim, damage, liability or expense is found in a final judgment by a court to have resulted from Dealer’s gross negligence or willful misconduct.</w:t>
      </w:r>
    </w:p>
    <w:p>
      <w:pPr>
        <w:spacing w:after="0" w:line="193" w:lineRule="exact"/>
        <w:rPr>
          <w:sz w:val="20"/>
          <w:szCs w:val="20"/>
          <w:color w:val="auto"/>
        </w:rPr>
      </w:pPr>
    </w:p>
    <w:p>
      <w:pPr>
        <w:ind w:right="60" w:firstLine="656"/>
        <w:spacing w:after="0" w:line="267" w:lineRule="auto"/>
        <w:tabs>
          <w:tab w:leader="none" w:pos="974"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Transfer or Assignment</w:t>
      </w:r>
      <w:r>
        <w:rPr>
          <w:rFonts w:ascii="Arial" w:cs="Arial" w:eastAsia="Arial" w:hAnsi="Arial"/>
          <w:sz w:val="17"/>
          <w:szCs w:val="17"/>
          <w:color w:val="auto"/>
        </w:rPr>
        <w:t xml:space="preserve">. Neither party may transfer any of its rights or obligations under this Transaction without the prior written consent of the non-transferring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Equity Percentage exceeds 9%, Dealer may immediately, in its sole discretion, transfer or assign a number of Options sufficient to reduce the Equity Percentage to 8.5% to any third party with (or with a guarantor that has) a rating for its long-term, unsecured and unsubordinated indebtedness of AA or better by Standard &amp; Poor’s Ratings Services or its successor (“</w:t>
      </w:r>
      <w:r>
        <w:rPr>
          <w:rFonts w:ascii="Arial" w:cs="Arial" w:eastAsia="Arial" w:hAnsi="Arial"/>
          <w:sz w:val="17"/>
          <w:szCs w:val="17"/>
          <w:u w:val="single" w:color="auto"/>
          <w:color w:val="auto"/>
        </w:rPr>
        <w:t>S&amp;P</w:t>
      </w:r>
      <w:r>
        <w:rPr>
          <w:rFonts w:ascii="Arial" w:cs="Arial" w:eastAsia="Arial" w:hAnsi="Arial"/>
          <w:sz w:val="17"/>
          <w:szCs w:val="17"/>
          <w:color w:val="auto"/>
        </w:rPr>
        <w:t>”), or Aa2 or better by Moody’s Investors Service, Inc. (“</w:t>
      </w:r>
      <w:r>
        <w:rPr>
          <w:rFonts w:ascii="Arial" w:cs="Arial" w:eastAsia="Arial" w:hAnsi="Arial"/>
          <w:sz w:val="17"/>
          <w:szCs w:val="17"/>
          <w:u w:val="single" w:color="auto"/>
          <w:color w:val="auto"/>
        </w:rPr>
        <w:t>Moody’s</w:t>
      </w:r>
      <w:r>
        <w:rPr>
          <w:rFonts w:ascii="Arial" w:cs="Arial" w:eastAsia="Arial" w:hAnsi="Arial"/>
          <w:sz w:val="17"/>
          <w:szCs w:val="17"/>
          <w:color w:val="auto"/>
        </w:rPr>
        <w:t>”) or, if either S&amp;P or Moody’s ceases to rate such debt, at least an equivalent rating or better by a substitute agency rating mutually agreed by Counterparty and Dealer. If, in the discretion of Dealer, Dealer is unable to effect such transfer or assignment after its commercially reasonable efforts on pricing terms reasonably acceptable to Dealer, Dealer may designate any Scheduled Trading Day as an Early Termination Date and an Additional Termination Date shall be deemed to occur with respect to a portion (the “</w:t>
      </w:r>
      <w:r>
        <w:rPr>
          <w:rFonts w:ascii="Arial" w:cs="Arial" w:eastAsia="Arial" w:hAnsi="Arial"/>
          <w:sz w:val="17"/>
          <w:szCs w:val="17"/>
          <w:u w:val="single" w:color="auto"/>
          <w:color w:val="auto"/>
        </w:rPr>
        <w:t>Terminated Portion</w:t>
      </w:r>
      <w:r>
        <w:rPr>
          <w:rFonts w:ascii="Arial" w:cs="Arial" w:eastAsia="Arial" w:hAnsi="Arial"/>
          <w:sz w:val="17"/>
          <w:szCs w:val="17"/>
          <w:color w:val="auto"/>
        </w:rPr>
        <w:t>”) of this Transaction, allocated to Components as Dealer determines in its discretion, such that the Equity Percentage following such partial termination will be equal to or less than 8.5%. In the event that Dealer so designates an Early Termination Date with respect to a portion of this Transaction, a payment shall be made pursuant to Section 6 of the Agreement as if (i) an Early Termination Date had been designated in respect of a Transaction having terms identical to this Transaction and a Number of Options equal to the Terminated Portion, (ii) Counterparty shall be the Affected Party with respect to such partial termination and (iii) such portion of this Transaction shall be the only Affected Transaction. The “</w:t>
      </w:r>
      <w:r>
        <w:rPr>
          <w:rFonts w:ascii="Arial" w:cs="Arial" w:eastAsia="Arial" w:hAnsi="Arial"/>
          <w:sz w:val="17"/>
          <w:szCs w:val="17"/>
          <w:u w:val="single" w:color="auto"/>
          <w:color w:val="auto"/>
        </w:rPr>
        <w:t>Equity Percentage</w:t>
      </w:r>
      <w:r>
        <w:rPr>
          <w:rFonts w:ascii="Arial" w:cs="Arial" w:eastAsia="Arial" w:hAnsi="Arial"/>
          <w:sz w:val="17"/>
          <w:szCs w:val="17"/>
          <w:color w:val="auto"/>
        </w:rPr>
        <w:t>” as of any day is the fraction (A) the numerator of which is the number of Shares that Dealer or any of its affiliates that are subject to aggregation with Dealer beneficially own (within the meaning of Section 13 of the Exchange Act) on such day and (B) the denominator of which is the number of Shares outstanding on such day. Notwithstanding Section 7 of the Agreement, Counterparty may assign its rights and obligations under this Transaction, in whole or in part, on terms reasonably acceptable to both parties, without any payment being owed from Counterparty to Dealer.</w:t>
      </w:r>
    </w:p>
    <w:p>
      <w:pPr>
        <w:spacing w:after="0" w:line="192" w:lineRule="exact"/>
        <w:rPr>
          <w:rFonts w:ascii="Arial" w:cs="Arial" w:eastAsia="Arial" w:hAnsi="Arial"/>
          <w:sz w:val="17"/>
          <w:szCs w:val="17"/>
          <w:color w:val="auto"/>
        </w:rPr>
      </w:pPr>
    </w:p>
    <w:p>
      <w:pPr>
        <w:ind w:right="20" w:firstLine="656"/>
        <w:spacing w:after="0" w:line="257" w:lineRule="auto"/>
        <w:tabs>
          <w:tab w:leader="none" w:pos="974"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Extension of Settlement</w:t>
      </w:r>
      <w:r>
        <w:rPr>
          <w:rFonts w:ascii="Arial" w:cs="Arial" w:eastAsia="Arial" w:hAnsi="Arial"/>
          <w:sz w:val="18"/>
          <w:szCs w:val="18"/>
          <w:color w:val="auto"/>
        </w:rPr>
        <w:t>. Dealer may divide any Component into additional Components and designate the Expiration Date, the Final Disruption Date and the Number of Options for each such Component if Dealer determines, in its reasonable discretion, that such further division is necessary or advisable to preserve Dealer’s hedging activity hereunder in light of existing liquidity conditions or to enable Dealer to effect purchases of Shares in connection with its hedging activity hereunder in a manner that would, if Dealer were Counterparty or an affiliated purchaser of Counterparty, be compliant with applicable legal and regulatory requirements.</w:t>
      </w:r>
    </w:p>
    <w:p>
      <w:pPr>
        <w:spacing w:after="0" w:line="188" w:lineRule="exact"/>
        <w:rPr>
          <w:rFonts w:ascii="Arial" w:cs="Arial" w:eastAsia="Arial" w:hAnsi="Arial"/>
          <w:sz w:val="18"/>
          <w:szCs w:val="18"/>
          <w:color w:val="auto"/>
        </w:rPr>
      </w:pPr>
    </w:p>
    <w:p>
      <w:pPr>
        <w:ind w:right="260" w:firstLine="656"/>
        <w:spacing w:after="0" w:line="264" w:lineRule="auto"/>
        <w:tabs>
          <w:tab w:leader="none" w:pos="1078"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Counterparty may elect to terminate this Transaction, in whole or in part, prior to the relevant Expiration Date, on terms acceptable to both parties, and, if such termination occurs following the payment of the premiums for all Components, without any payment being owed from Counterparty to Dealer.</w:t>
      </w:r>
    </w:p>
    <w:p>
      <w:pPr>
        <w:spacing w:after="0" w:line="181" w:lineRule="exact"/>
        <w:rPr>
          <w:rFonts w:ascii="Arial" w:cs="Arial" w:eastAsia="Arial" w:hAnsi="Arial"/>
          <w:sz w:val="18"/>
          <w:szCs w:val="18"/>
          <w:color w:val="auto"/>
        </w:rPr>
      </w:pPr>
    </w:p>
    <w:p>
      <w:pPr>
        <w:ind w:right="100" w:firstLine="656"/>
        <w:spacing w:after="0" w:line="312" w:lineRule="auto"/>
        <w:tabs>
          <w:tab w:leader="none" w:pos="981"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w:t>
      </w:r>
    </w:p>
    <w:p>
      <w:pPr>
        <w:sectPr>
          <w:pgSz w:w="11900" w:h="16838" w:orient="portrait"/>
          <w:cols w:equalWidth="0" w:num="1">
            <w:col w:w="11420"/>
          </w:cols>
          <w:pgMar w:left="240" w:top="125" w:right="239" w:bottom="0" w:gutter="0" w:footer="0" w:header="0"/>
        </w:sectPr>
      </w:pPr>
    </w:p>
    <w:bookmarkStart w:id="86" w:name="page87"/>
    <w:bookmarkEnd w:id="86"/>
    <w:p>
      <w:pPr>
        <w:ind w:right="420"/>
        <w:spacing w:after="0" w:line="277" w:lineRule="auto"/>
        <w:rPr>
          <w:sz w:val="20"/>
          <w:szCs w:val="20"/>
          <w:color w:val="auto"/>
        </w:rPr>
      </w:pPr>
      <w:r>
        <w:rPr>
          <w:rFonts w:ascii="Arial" w:cs="Arial" w:eastAsia="Arial" w:hAnsi="Arial"/>
          <w:sz w:val="18"/>
          <w:szCs w:val="18"/>
          <w:color w:val="auto"/>
        </w:rPr>
        <w:t>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56"/>
        <w:spacing w:after="0" w:line="268" w:lineRule="auto"/>
        <w:tabs>
          <w:tab w:leader="none" w:pos="988"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Alternative Calculations and Payment on Early Termination and on Certain Extraordinary Events</w:t>
      </w:r>
      <w:r>
        <w:rPr>
          <w:rFonts w:ascii="Arial" w:cs="Arial" w:eastAsia="Arial" w:hAnsi="Arial"/>
          <w:sz w:val="17"/>
          <w:szCs w:val="17"/>
          <w:color w:val="auto"/>
        </w:rPr>
        <w:t>. If Dealer shall owe Counterparty any amount pursuant to Section 12.2 of the Equity Definitions and “Consequences of Merger Events” above, or Sections 12.3, 12.6, 12.7 or 12.9 of the Equity Definitions (except in the event of a Tender Offer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7"/>
          <w:szCs w:val="17"/>
          <w:u w:val="single" w:color="auto"/>
          <w:color w:val="auto"/>
        </w:rPr>
        <w:t>Payment Obligation</w:t>
      </w:r>
      <w:r>
        <w:rPr>
          <w:rFonts w:ascii="Arial" w:cs="Arial" w:eastAsia="Arial" w:hAnsi="Arial"/>
          <w:sz w:val="17"/>
          <w:szCs w:val="17"/>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between the hours of 9:00 A.M. and 4:00 P.M. New York City time on the Merger Date, Tender Offer Date, Announcement Date, Early Termination Date or other date of termination, as applicable (“</w:t>
      </w:r>
      <w:r>
        <w:rPr>
          <w:rFonts w:ascii="Arial" w:cs="Arial" w:eastAsia="Arial" w:hAnsi="Arial"/>
          <w:sz w:val="17"/>
          <w:szCs w:val="17"/>
          <w:u w:val="single" w:color="auto"/>
          <w:color w:val="auto"/>
        </w:rPr>
        <w:t>Notice of Share Termination</w:t>
      </w:r>
      <w:r>
        <w:rPr>
          <w:rFonts w:ascii="Arial" w:cs="Arial" w:eastAsia="Arial" w:hAnsi="Arial"/>
          <w:sz w:val="17"/>
          <w:szCs w:val="17"/>
          <w:color w:val="auto"/>
        </w:rPr>
        <w:t>”). Within a commercially reasonable period of time following receipt of a Notice of Share Termination, Dealer shall deliver to Counterparty a number of Share Termination Delivery Units having a cash value equal to the amount of such Payment Obligation (such number of Share Termination Delivery Units to be delivered to be determined by the Calculation Agent as the number of whole Share Termination Delivery Units that could be purchased over a commercially reasonable period of time with the cash equivalent of such payment obligation) (the “</w:t>
      </w:r>
      <w:r>
        <w:rPr>
          <w:rFonts w:ascii="Arial" w:cs="Arial" w:eastAsia="Arial" w:hAnsi="Arial"/>
          <w:sz w:val="17"/>
          <w:szCs w:val="17"/>
          <w:u w:val="single" w:color="auto"/>
          <w:color w:val="auto"/>
        </w:rPr>
        <w:t>Share 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Alternative</w:t>
      </w:r>
      <w:r>
        <w:rPr>
          <w:rFonts w:ascii="Arial" w:cs="Arial" w:eastAsia="Arial" w:hAnsi="Arial"/>
          <w:sz w:val="17"/>
          <w:szCs w:val="17"/>
          <w:color w:val="auto"/>
        </w:rPr>
        <w:t>”).</w:t>
      </w:r>
    </w:p>
    <w:p>
      <w:pPr>
        <w:spacing w:after="0" w:line="188" w:lineRule="exact"/>
        <w:rPr>
          <w:sz w:val="20"/>
          <w:szCs w:val="20"/>
          <w:color w:val="auto"/>
        </w:rPr>
      </w:pPr>
    </w:p>
    <w:p>
      <w:pPr>
        <w:ind w:left="2560" w:right="2300" w:hanging="2552"/>
        <w:spacing w:after="0" w:line="270" w:lineRule="auto"/>
        <w:rPr>
          <w:sz w:val="20"/>
          <w:szCs w:val="20"/>
          <w:color w:val="auto"/>
        </w:rPr>
      </w:pPr>
      <w:r>
        <w:rPr>
          <w:rFonts w:ascii="Arial" w:cs="Arial" w:eastAsia="Arial" w:hAnsi="Arial"/>
          <w:sz w:val="17"/>
          <w:szCs w:val="17"/>
          <w:color w:val="auto"/>
        </w:rPr>
        <w:t>Share Termination Delivery Unit: In the case of a Termination Event, Event of Default, Delisting or Additional Disruption Event, one Share or, in the case 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ectPr>
          <w:pgSz w:w="11900" w:h="16838" w:orient="portrait"/>
          <w:cols w:equalWidth="0" w:num="1">
            <w:col w:w="11420"/>
          </w:cols>
          <w:pgMar w:left="240" w:top="125" w:right="239" w:bottom="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1840" w:space="720"/>
            <w:col w:w="886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If Share Termination Alternative is applicable, the provisions of Sections 9.8, 9.9, 9.10,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9.11 and 9.12 of the Equity Definitions will be applicable as if Physical Settlement applied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termination of the Transaction, except that all references to “Shares” shall be read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references to “Share Termination Delivery Units”;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Agreement contained in Section 9.11 of the Equity Definitions shall be modified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excluding any representations therein relating to restrictions, obligations, limitations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under applicable securities laws as a result of the fact that Buyer is the issuer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any Share Termination Delivery Units (or any part thereof).</w:t>
      </w:r>
    </w:p>
    <w:p>
      <w:pPr>
        <w:spacing w:after="0" w:line="200" w:lineRule="exact"/>
        <w:rPr>
          <w:sz w:val="20"/>
          <w:szCs w:val="20"/>
          <w:color w:val="auto"/>
        </w:rPr>
      </w:pPr>
    </w:p>
    <w:p>
      <w:pPr>
        <w:sectPr>
          <w:pgSz w:w="11900" w:h="16838" w:orient="portrait"/>
          <w:cols w:equalWidth="0" w:num="2">
            <w:col w:w="2040" w:space="520"/>
            <w:col w:w="8860"/>
          </w:cols>
          <w:pgMar w:left="240" w:top="125" w:right="239" w:bottom="0" w:gutter="0" w:footer="0" w:header="0"/>
          <w:type w:val="continuous"/>
        </w:sectPr>
      </w:pP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Set-Off</w:t>
      </w:r>
      <w:r>
        <w:rPr>
          <w:rFonts w:ascii="Arial" w:cs="Arial" w:eastAsia="Arial" w:hAnsi="Arial"/>
          <w:sz w:val="18"/>
          <w:szCs w:val="18"/>
          <w:color w:val="auto"/>
        </w:rPr>
        <w:t>. The parties agree to amend Section 6 of the Agreement by replacing Section 6(f) in its entirety with the following:</w:t>
      </w:r>
    </w:p>
    <w:p>
      <w:pPr>
        <w:spacing w:after="0" w:line="225" w:lineRule="exact"/>
        <w:rPr>
          <w:sz w:val="20"/>
          <w:szCs w:val="20"/>
          <w:color w:val="auto"/>
        </w:rPr>
      </w:pPr>
    </w:p>
    <w:p>
      <w:pPr>
        <w:ind w:left="1300" w:right="420"/>
        <w:spacing w:after="0" w:line="272" w:lineRule="auto"/>
        <w:rPr>
          <w:sz w:val="20"/>
          <w:szCs w:val="20"/>
          <w:color w:val="auto"/>
        </w:rPr>
      </w:pPr>
      <w:r>
        <w:rPr>
          <w:rFonts w:ascii="Arial" w:cs="Arial" w:eastAsia="Arial" w:hAnsi="Arial"/>
          <w:sz w:val="17"/>
          <w:szCs w:val="17"/>
          <w:color w:val="auto"/>
        </w:rPr>
        <w:t>“(f) Upon the occurrence of an Event of Default or Termination Event with respect to a party who is the Defaulting Party or the Affected Party (“</w:t>
      </w:r>
      <w:r>
        <w:rPr>
          <w:rFonts w:ascii="Arial" w:cs="Arial" w:eastAsia="Arial" w:hAnsi="Arial"/>
          <w:sz w:val="17"/>
          <w:szCs w:val="17"/>
          <w:u w:val="single" w:color="auto"/>
          <w:color w:val="auto"/>
        </w:rPr>
        <w:t>X</w:t>
      </w:r>
      <w:r>
        <w:rPr>
          <w:rFonts w:ascii="Arial" w:cs="Arial" w:eastAsia="Arial" w:hAnsi="Arial"/>
          <w:sz w:val="17"/>
          <w:szCs w:val="17"/>
          <w:color w:val="auto"/>
        </w:rPr>
        <w:t>”), the other party (“</w:t>
      </w:r>
      <w:r>
        <w:rPr>
          <w:rFonts w:ascii="Arial" w:cs="Arial" w:eastAsia="Arial" w:hAnsi="Arial"/>
          <w:sz w:val="17"/>
          <w:szCs w:val="17"/>
          <w:u w:val="single" w:color="auto"/>
          <w:color w:val="auto"/>
        </w:rPr>
        <w:t>Y</w:t>
      </w:r>
      <w:r>
        <w:rPr>
          <w:rFonts w:ascii="Arial" w:cs="Arial" w:eastAsia="Arial" w:hAnsi="Arial"/>
          <w:sz w:val="17"/>
          <w:szCs w:val="17"/>
          <w:color w:val="auto"/>
        </w:rPr>
        <w:t>”) will have the right (but not be obliged) without prior notice to X or any other person to set-off or apply any obligation of X under an Equity Contract owed to Y (or any Affiliate of Y) (whether or not matured or contingent and whether or not arising under the Agreement, and regardless of the currency, place of payment or booking office of the obligation) against any obligation of Y (or any Affiliate of Y) under an Equity Contract owed to X (whether or not matured or contingent and whether or not arising under the Agreement, and regardless of the currency, place of payment or booking office of the obligation). Y will give notice to the other party of any set-off effected under this Section 6(f).</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Contract</w:t>
      </w:r>
      <w:r>
        <w:rPr>
          <w:rFonts w:ascii="Arial" w:cs="Arial" w:eastAsia="Arial" w:hAnsi="Arial"/>
          <w:sz w:val="17"/>
          <w:szCs w:val="17"/>
          <w:color w:val="auto"/>
        </w:rPr>
        <w:t>” shall mean for purposes of this Section 6(f) any transaction relating to Shares between X and Y (or any Affiliate of</w:t>
      </w:r>
    </w:p>
    <w:p>
      <w:pPr>
        <w:spacing w:after="0" w:line="35" w:lineRule="exact"/>
        <w:rPr>
          <w:sz w:val="20"/>
          <w:szCs w:val="20"/>
          <w:color w:val="auto"/>
        </w:rPr>
      </w:pPr>
    </w:p>
    <w:p>
      <w:pPr>
        <w:jc w:val="right"/>
        <w:ind w:left="5620" w:right="5620" w:hanging="4315"/>
        <w:spacing w:after="0" w:line="887" w:lineRule="auto"/>
        <w:tabs>
          <w:tab w:leader="none" w:pos="153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that qualifies as ‘equity’ under applicable accounting rules.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3" w:lineRule="exact"/>
        <w:rPr>
          <w:sz w:val="20"/>
          <w:szCs w:val="20"/>
          <w:color w:val="auto"/>
        </w:rPr>
      </w:pPr>
    </w:p>
    <w:p>
      <w:pPr>
        <w:ind w:left="1300" w:right="500"/>
        <w:spacing w:after="0" w:line="264" w:lineRule="auto"/>
        <w:rPr>
          <w:sz w:val="20"/>
          <w:szCs w:val="20"/>
          <w:color w:val="auto"/>
        </w:rPr>
      </w:pPr>
      <w:r>
        <w:rPr>
          <w:rFonts w:ascii="Arial" w:cs="Arial" w:eastAsia="Arial" w:hAnsi="Arial"/>
          <w:sz w:val="18"/>
          <w:szCs w:val="18"/>
          <w:color w:val="auto"/>
        </w:rPr>
        <w:t>Amounts (or the relevant portion of such amounts) subject to set-off may be converted by Y into the Termination Currency at the rate of exchange at which such party would be able, acting in a reasonable manner and in good faith, to purchase the relevant amount of such currency.</w:t>
      </w:r>
    </w:p>
    <w:p>
      <w:pPr>
        <w:spacing w:after="0" w:line="181" w:lineRule="exact"/>
        <w:rPr>
          <w:sz w:val="20"/>
          <w:szCs w:val="20"/>
          <w:color w:val="auto"/>
        </w:rPr>
      </w:pPr>
    </w:p>
    <w:p>
      <w:pPr>
        <w:ind w:left="1300" w:right="740"/>
        <w:spacing w:after="0" w:line="277" w:lineRule="auto"/>
        <w:rPr>
          <w:sz w:val="20"/>
          <w:szCs w:val="20"/>
          <w:color w:val="auto"/>
        </w:rPr>
      </w:pPr>
      <w:r>
        <w:rPr>
          <w:rFonts w:ascii="Arial" w:cs="Arial" w:eastAsia="Arial" w:hAnsi="Arial"/>
          <w:sz w:val="18"/>
          <w:szCs w:val="18"/>
          <w:color w:val="auto"/>
        </w:rPr>
        <w:t>If any obligation is unascertained, Y may in good faith estimate that obligation and set-off in respect of the estimate, subject to the relevant party accounting to the other when the obligation is ascertained.</w:t>
      </w:r>
    </w:p>
    <w:p>
      <w:pPr>
        <w:spacing w:after="0" w:line="170" w:lineRule="exact"/>
        <w:rPr>
          <w:sz w:val="20"/>
          <w:szCs w:val="20"/>
          <w:color w:val="auto"/>
        </w:rPr>
      </w:pPr>
    </w:p>
    <w:p>
      <w:pPr>
        <w:jc w:val="both"/>
        <w:ind w:left="1300" w:right="500"/>
        <w:spacing w:after="0" w:line="264" w:lineRule="auto"/>
        <w:rPr>
          <w:sz w:val="20"/>
          <w:szCs w:val="20"/>
          <w:color w:val="auto"/>
        </w:rPr>
      </w:pPr>
      <w:r>
        <w:rPr>
          <w:rFonts w:ascii="Arial" w:cs="Arial" w:eastAsia="Arial" w:hAnsi="Arial"/>
          <w:sz w:val="18"/>
          <w:szCs w:val="18"/>
          <w:color w:val="auto"/>
        </w:rPr>
        <w:t>Nothing in this Section 6(f) shall be effective to create a charge or other security interest. This Section 6(f) shall be without prejudice and in addition to any right of set-off, combination of accounts, lien or other right to which any party is at any time otherwise entitled (whether by operation of law, contract or otherwise).”</w:t>
      </w:r>
    </w:p>
    <w:p>
      <w:pPr>
        <w:spacing w:after="0" w:line="181" w:lineRule="exact"/>
        <w:rPr>
          <w:sz w:val="20"/>
          <w:szCs w:val="20"/>
          <w:color w:val="auto"/>
        </w:rPr>
      </w:pPr>
    </w:p>
    <w:p>
      <w:pPr>
        <w:ind w:right="100" w:firstLine="656"/>
        <w:spacing w:after="0" w:line="342" w:lineRule="auto"/>
        <w:tabs>
          <w:tab w:leader="none" w:pos="988"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Amendment to Equity Definitions.</w:t>
      </w:r>
      <w:r>
        <w:rPr>
          <w:rFonts w:ascii="Arial" w:cs="Arial" w:eastAsia="Arial" w:hAnsi="Arial"/>
          <w:sz w:val="16"/>
          <w:szCs w:val="16"/>
          <w:color w:val="auto"/>
        </w:rPr>
        <w:t xml:space="preserve"> Solely for purposes of applying the Equity Definitions and for purposes of this Confirmation, any reference in the Equity Definitions to a Strike Price shall be deemed to be a reference to either of the Strike Price or the Cap Price, or both, as appropriate.</w:t>
      </w:r>
    </w:p>
    <w:p>
      <w:pPr>
        <w:sectPr>
          <w:pgSz w:w="11900" w:h="16838" w:orient="portrait"/>
          <w:cols w:equalWidth="0" w:num="1">
            <w:col w:w="11420"/>
          </w:cols>
          <w:pgMar w:left="240" w:top="125" w:right="239" w:bottom="0" w:gutter="0" w:footer="0" w:header="0"/>
          <w:type w:val="continuous"/>
        </w:sectPr>
      </w:pPr>
    </w:p>
    <w:bookmarkStart w:id="87" w:name="page88"/>
    <w:bookmarkEnd w:id="87"/>
    <w:p>
      <w:pPr>
        <w:ind w:right="140" w:firstLine="656"/>
        <w:spacing w:after="0" w:line="312" w:lineRule="auto"/>
        <w:tabs>
          <w:tab w:leader="none" w:pos="988"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ind w:firstLine="656"/>
        <w:spacing w:after="0" w:line="268" w:lineRule="auto"/>
        <w:tabs>
          <w:tab w:leader="none" w:pos="988"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Unwind</w:t>
      </w:r>
      <w:r>
        <w:rPr>
          <w:rFonts w:ascii="Arial" w:cs="Arial" w:eastAsia="Arial" w:hAnsi="Arial"/>
          <w:sz w:val="17"/>
          <w:szCs w:val="17"/>
          <w:color w:val="auto"/>
        </w:rPr>
        <w:t>. In the event the sale of the Convertible Notes is not consummated with the initial purchasers pursuant to the Underwriting Agreement, for any reason by the close of business in New York on May 23, 2007 (or such later date as agreed upon by the parties which in no event shall be later than the third Scheduled Trading Day following May 17, 2007) (such date or such later date as agreed upon being the “</w:t>
      </w:r>
      <w:r>
        <w:rPr>
          <w:rFonts w:ascii="Arial" w:cs="Arial" w:eastAsia="Arial" w:hAnsi="Arial"/>
          <w:sz w:val="17"/>
          <w:szCs w:val="17"/>
          <w:u w:val="single" w:color="auto"/>
          <w:color w:val="auto"/>
        </w:rPr>
        <w:t>Accelerated Unwind Date</w:t>
      </w:r>
      <w:r>
        <w:rPr>
          <w:rFonts w:ascii="Arial" w:cs="Arial" w:eastAsia="Arial" w:hAnsi="Arial"/>
          <w:sz w:val="17"/>
          <w:szCs w:val="17"/>
          <w:color w:val="auto"/>
        </w:rPr>
        <w:t>”), this Transaction shall automatically terminate (the “</w:t>
      </w:r>
      <w:r>
        <w:rPr>
          <w:rFonts w:ascii="Arial" w:cs="Arial" w:eastAsia="Arial" w:hAnsi="Arial"/>
          <w:sz w:val="17"/>
          <w:szCs w:val="17"/>
          <w:u w:val="single" w:color="auto"/>
          <w:color w:val="auto"/>
        </w:rPr>
        <w:t>Accelerated Unwind</w:t>
      </w:r>
      <w:r>
        <w:rPr>
          <w:rFonts w:ascii="Arial" w:cs="Arial" w:eastAsia="Arial" w:hAnsi="Arial"/>
          <w:sz w:val="17"/>
          <w:szCs w:val="17"/>
          <w:color w:val="auto"/>
        </w:rPr>
        <w:t xml:space="preserve">”) on the Accelerated Unwind Date and (i) this Transaction and all of the respective rights and obligations of Dealer and Counterparty under this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this Transaction either prior to or after the Accelerated Unwind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 shall reimburse Dealer for any costs or expenses (including market losses) relating to the unwinding of its hedging activities in connection with the Transaction (including any loss or cost incurred as a result of its terminating, liquidating, obtaining or reestablishing any hedge or related trading position). The amount of any such reimbursement shall be determined by Dealer in its sole good faith discretion. Dealer shall notify Counterparty of such amount and Counterparty shall pay such amount in immediately available funds on the Early Unwind Date. Dealer and Counterparty represent and acknowledge to the other that upon an Accelerated Unwind and the satisfaction of counterparty’s payment obligation, if any, as specified in this Section 16, all obligations with respect to this Transaction shall be deemed fully and finally discharged.</w:t>
      </w:r>
    </w:p>
    <w:p>
      <w:pPr>
        <w:spacing w:after="0" w:line="187" w:lineRule="exact"/>
        <w:rPr>
          <w:rFonts w:ascii="Arial" w:cs="Arial" w:eastAsia="Arial" w:hAnsi="Arial"/>
          <w:sz w:val="17"/>
          <w:szCs w:val="17"/>
          <w:color w:val="auto"/>
        </w:rPr>
      </w:pPr>
    </w:p>
    <w:p>
      <w:pPr>
        <w:ind w:right="80" w:firstLine="656"/>
        <w:spacing w:after="0" w:line="257" w:lineRule="auto"/>
        <w:tabs>
          <w:tab w:leader="none" w:pos="988"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Counterparty understands and agrees that Agent will act as agent for both parties with respect to the Transaction. Agent is so acting solely in its capacity as agent for Counterparty and Dealer pursuant to instructions from Counterparty and Dealer. Agent shall have no responsibility or personal liability to either party arising from any failure by either party to pay or perform any obligation under the Transaction. Each party agrees to proceed solely against the other to collect or recover any amount owing to it or enforce any of its rights in connection with or as a result of the Transaction.</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Notwithstanding any provisions of the Agreement, all communications relating to the Transaction or the Agreement shall be transmitted exclusively through Agent at Credit Suisse, New York branch, Eleven Madison Avenue, New York, New York 10010-3629.</w:t>
      </w:r>
    </w:p>
    <w:p>
      <w:pPr>
        <w:spacing w:after="0" w:line="166" w:lineRule="exact"/>
        <w:rPr>
          <w:sz w:val="20"/>
          <w:szCs w:val="20"/>
          <w:color w:val="auto"/>
        </w:rPr>
      </w:pPr>
    </w:p>
    <w:p>
      <w:pPr>
        <w:ind w:left="5620" w:right="1620" w:hanging="4964"/>
        <w:spacing w:after="0" w:line="783" w:lineRule="auto"/>
        <w:tabs>
          <w:tab w:leader="none" w:pos="99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 Collateral by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No collateral is required to be posted by Counterparty in respect of this Transaction.</w:t>
      </w:r>
      <w:r>
        <w:rPr>
          <w:rFonts w:ascii="Arial" w:cs="Arial" w:eastAsia="Arial" w:hAnsi="Arial"/>
          <w:sz w:val="18"/>
          <w:szCs w:val="18"/>
          <w:color w:val="auto"/>
        </w:rPr>
        <w:t xml:space="preserve"> 13</w:t>
      </w:r>
    </w:p>
    <w:p>
      <w:pPr>
        <w:spacing w:after="0" w:line="260" w:lineRule="exact"/>
        <w:rPr>
          <w:rFonts w:ascii="Arial" w:cs="Arial" w:eastAsia="Arial" w:hAnsi="Arial"/>
          <w:sz w:val="18"/>
          <w:szCs w:val="18"/>
          <w:color w:val="auto"/>
        </w:rPr>
      </w:pPr>
    </w:p>
    <w:p>
      <w:pPr>
        <w:ind w:right="40" w:firstLine="656"/>
        <w:spacing w:after="0" w:line="285" w:lineRule="auto"/>
        <w:tabs>
          <w:tab w:leader="none" w:pos="988"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Disposition of Hedge Shares</w:t>
      </w:r>
      <w:r>
        <w:rPr>
          <w:rFonts w:ascii="Arial" w:cs="Arial" w:eastAsia="Arial" w:hAnsi="Arial"/>
          <w:sz w:val="16"/>
          <w:szCs w:val="16"/>
          <w:color w:val="auto"/>
        </w:rPr>
        <w:t xml:space="preserve">. Counterparty hereby agrees that if, in the reasonable judgment of counsel for the Dealer, the Shares (the “Hedge Shares”) acquired by Dealer for the purpose of hedging its obligations pursuant to the Transaction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customary in form for registered offerings of equity securities,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18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such Exchange Business Days, and in the amounts, as requested by Dealer.</w:t>
      </w:r>
    </w:p>
    <w:p>
      <w:pPr>
        <w:spacing w:after="0" w:line="388" w:lineRule="exact"/>
        <w:rPr>
          <w:rFonts w:ascii="Arial" w:cs="Arial" w:eastAsia="Arial" w:hAnsi="Arial"/>
          <w:sz w:val="16"/>
          <w:szCs w:val="16"/>
          <w:color w:val="auto"/>
        </w:rPr>
      </w:pPr>
    </w:p>
    <w:p>
      <w:pPr>
        <w:ind w:left="1000" w:hanging="344"/>
        <w:spacing w:after="0"/>
        <w:tabs>
          <w:tab w:leader="none" w:pos="1000"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Counterparty shall deliver an opinion of counsel, dated as of the Trade Date, in substantially the form attached hereto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Annex B.</w:t>
      </w:r>
    </w:p>
    <w:p>
      <w:pPr>
        <w:spacing w:after="0" w:line="206" w:lineRule="exact"/>
        <w:rPr>
          <w:rFonts w:ascii="Arial" w:cs="Arial" w:eastAsia="Arial" w:hAnsi="Arial"/>
          <w:sz w:val="16"/>
          <w:szCs w:val="16"/>
          <w:color w:val="auto"/>
        </w:rPr>
      </w:pPr>
    </w:p>
    <w:p>
      <w:pPr>
        <w:ind w:left="1000" w:hanging="344"/>
        <w:spacing w:after="0"/>
        <w:tabs>
          <w:tab w:leader="none" w:pos="100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COUNTERPARTY AND DEALER HEREBY IRREVOCABLY WAIVES (ON ITS OWN BEHALF</w:t>
      </w:r>
    </w:p>
    <w:p>
      <w:pPr>
        <w:spacing w:after="0" w:line="27"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 OR RELATING TO THE TRANSACTION OR THE ACTIONS OF DEALER OR ITS AFFILIATES OR COUNTERPARTY OR ITS AFFILIATES IN THE NEGOTIATION, PERFORMANCE OR ENFORCEMENT HEREOF.</w:t>
      </w:r>
    </w:p>
    <w:p>
      <w:pPr>
        <w:spacing w:after="0" w:line="185" w:lineRule="exact"/>
        <w:rPr>
          <w:rFonts w:ascii="Arial" w:cs="Arial" w:eastAsia="Arial" w:hAnsi="Arial"/>
          <w:sz w:val="18"/>
          <w:szCs w:val="18"/>
          <w:color w:val="auto"/>
        </w:rPr>
      </w:pPr>
    </w:p>
    <w:p>
      <w:pPr>
        <w:ind w:left="1000" w:hanging="344"/>
        <w:spacing w:after="0"/>
        <w:tabs>
          <w:tab w:leader="none" w:pos="100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AGREEMENT AND THIS CONFIRMATION SHALL BE GOVERNED BY THE LAWS OF THE STATE OF</w:t>
      </w:r>
    </w:p>
    <w:p>
      <w:pPr>
        <w:spacing w:after="0" w:line="27"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9" w:lineRule="exact"/>
        <w:rPr>
          <w:rFonts w:ascii="Arial" w:cs="Arial" w:eastAsia="Arial" w:hAnsi="Arial"/>
          <w:sz w:val="18"/>
          <w:szCs w:val="18"/>
          <w:color w:val="auto"/>
        </w:rPr>
      </w:pPr>
    </w:p>
    <w:p>
      <w:pPr>
        <w:ind w:right="120" w:firstLine="656"/>
        <w:spacing w:after="0" w:line="264" w:lineRule="auto"/>
        <w:tabs>
          <w:tab w:leader="none" w:pos="98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Regulatory Provisions</w:t>
      </w:r>
      <w:r>
        <w:rPr>
          <w:rFonts w:ascii="Arial" w:cs="Arial" w:eastAsia="Arial" w:hAnsi="Arial"/>
          <w:sz w:val="18"/>
          <w:szCs w:val="18"/>
          <w:color w:val="auto"/>
        </w:rPr>
        <w:t>. Counterparty represents and warrants that it has received and read and understands the Notice of Regulatory Treatment and the OTC Option Risk Disclosure Statement. Agent will furnish Counterparty upon written request a statement as to the source and amount of any remuneration received or to be received by Agent in connection with the Transaction evidenced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-5477510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Role of Agent:</w:t>
      </w:r>
    </w:p>
    <w:p>
      <w:pPr>
        <w:sectPr>
          <w:pgSz w:w="11900" w:h="16838" w:orient="portrait"/>
          <w:cols w:equalWidth="0" w:num="1">
            <w:col w:w="11420"/>
          </w:cols>
          <w:pgMar w:left="240" w:top="125" w:right="239" w:bottom="73" w:gutter="0" w:footer="0" w:header="0"/>
        </w:sectPr>
      </w:pPr>
    </w:p>
    <w:bookmarkStart w:id="88" w:name="page89"/>
    <w:bookmarkEnd w:id="88"/>
    <w:p>
      <w:pPr>
        <w:ind w:right="20" w:firstLine="656"/>
        <w:spacing w:after="0" w:line="308" w:lineRule="auto"/>
        <w:tabs>
          <w:tab w:leader="none" w:pos="126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Credit Suisse, New York branch, in its capacity as Agent will be responsible for (i) effecting this Transaction, and (ii) maintaining books and records relating to this Transaction in accordance with its standard practices and procedures and in accordance with applicable law.</w:t>
      </w:r>
    </w:p>
    <w:p>
      <w:pPr>
        <w:spacing w:after="0" w:line="146" w:lineRule="exact"/>
        <w:rPr>
          <w:rFonts w:ascii="Arial" w:cs="Arial" w:eastAsia="Arial" w:hAnsi="Arial"/>
          <w:sz w:val="17"/>
          <w:szCs w:val="17"/>
          <w:color w:val="auto"/>
        </w:rPr>
      </w:pPr>
    </w:p>
    <w:p>
      <w:pPr>
        <w:ind w:right="180" w:firstLine="656"/>
        <w:spacing w:after="0" w:line="264" w:lineRule="auto"/>
        <w:tabs>
          <w:tab w:leader="none" w:pos="127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Agent is acting in connection with this Transaction solely in its capacity as Agent for Dealer pursuant to instructions from Dealer. Agent shall have no responsibility or personal liability to Dealer or Issuer arising from any failure by Dealer or Issuer to pay or perform any obligations hereunder, or to monitor or enforce compliance by Dealer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or Issuer with any obligation hereunder, including, without limitation, any obligations to maintain collateral. Each of Dealer and Issuer agrees to proceed solely against the other to collect or recover any securities or monies owing to it in connection with or as a result of this Transaction. Agent shall otherwise have no liability in respect of this Transaction.</w:t>
      </w:r>
    </w:p>
    <w:p>
      <w:pPr>
        <w:spacing w:after="0" w:line="181" w:lineRule="exact"/>
        <w:rPr>
          <w:sz w:val="20"/>
          <w:szCs w:val="20"/>
          <w:color w:val="auto"/>
        </w:rPr>
      </w:pPr>
    </w:p>
    <w:p>
      <w:pPr>
        <w:ind w:left="1280" w:hanging="624"/>
        <w:spacing w:after="0"/>
        <w:tabs>
          <w:tab w:leader="none" w:pos="12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Dealer is regulated by The Securities and Futures Authority and has entered into this Transaction as principal.</w:t>
      </w:r>
    </w:p>
    <w:p>
      <w:pPr>
        <w:spacing w:after="0" w:line="225" w:lineRule="exact"/>
        <w:rPr>
          <w:rFonts w:ascii="Arial" w:cs="Arial" w:eastAsia="Arial" w:hAnsi="Arial"/>
          <w:sz w:val="18"/>
          <w:szCs w:val="18"/>
          <w:color w:val="auto"/>
        </w:rPr>
      </w:pPr>
    </w:p>
    <w:p>
      <w:pPr>
        <w:ind w:right="40" w:firstLine="656"/>
        <w:spacing w:after="0" w:line="264" w:lineRule="auto"/>
        <w:tabs>
          <w:tab w:leader="none" w:pos="127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Dealer and Issuer each represents and agrees (A) that this Transaction is not unsuitable for it in the light of such party’s financial situation, investment objectives and needs and (B) that it is entering into this Transaction in reliance upon such tax, accounting, regulatory, legal and financial advice as it deems necessary and not upon any view expressed by the other or the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this Transaction, by manually signing this Confirmation or this page hereof as evidence of agreement to such terms and providing the other information requested herein and immediately returning an executed copy to Agent at Credit Suisse, New York branch, Eleven Madison Avenue, New York, New York 10010-3629.</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CREDIT SUISSE INTERNATIONAL</w:t>
      </w:r>
    </w:p>
    <w:p>
      <w:pPr>
        <w:spacing w:after="0" w:line="200" w:lineRule="exact"/>
        <w:rPr>
          <w:sz w:val="20"/>
          <w:szCs w:val="20"/>
          <w:color w:val="auto"/>
        </w:rPr>
      </w:pPr>
    </w:p>
    <w:p>
      <w:pPr>
        <w:spacing w:after="0" w:line="245"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 Muir</w:t>
            </w:r>
          </w:p>
        </w:tc>
      </w:tr>
      <w:tr>
        <w:trPr>
          <w:trHeight w:val="195"/>
        </w:trPr>
        <w:tc>
          <w:tcPr>
            <w:tcW w:w="4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60"/>
              <w:spacing w:after="0" w:line="195" w:lineRule="exact"/>
              <w:rPr>
                <w:sz w:val="20"/>
                <w:szCs w:val="20"/>
                <w:color w:val="auto"/>
              </w:rPr>
            </w:pPr>
            <w:r>
              <w:rPr>
                <w:rFonts w:ascii="Arial" w:cs="Arial" w:eastAsia="Arial" w:hAnsi="Arial"/>
                <w:sz w:val="18"/>
                <w:szCs w:val="18"/>
                <w:color w:val="auto"/>
              </w:rPr>
              <w:t>Laura Muir</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60"/>
              <w:spacing w:after="0"/>
              <w:rPr>
                <w:sz w:val="20"/>
                <w:szCs w:val="20"/>
                <w:color w:val="auto"/>
              </w:rPr>
            </w:pPr>
            <w:r>
              <w:rPr>
                <w:rFonts w:ascii="Arial" w:cs="Arial" w:eastAsia="Arial" w:hAnsi="Arial"/>
                <w:sz w:val="18"/>
                <w:szCs w:val="18"/>
                <w:color w:val="auto"/>
              </w:rPr>
              <w:t>Authorised Signatory</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Sayedur Khan</w:t>
            </w:r>
          </w:p>
        </w:tc>
      </w:tr>
      <w:tr>
        <w:trPr>
          <w:trHeight w:val="195"/>
        </w:trPr>
        <w:tc>
          <w:tcPr>
            <w:tcW w:w="4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60"/>
              <w:spacing w:after="0" w:line="195" w:lineRule="exact"/>
              <w:rPr>
                <w:sz w:val="20"/>
                <w:szCs w:val="20"/>
                <w:color w:val="auto"/>
              </w:rPr>
            </w:pPr>
            <w:r>
              <w:rPr>
                <w:rFonts w:ascii="Arial" w:cs="Arial" w:eastAsia="Arial" w:hAnsi="Arial"/>
                <w:sz w:val="18"/>
                <w:szCs w:val="18"/>
                <w:color w:val="auto"/>
              </w:rPr>
              <w:t>Sayedur Khan</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60"/>
              <w:spacing w:after="0"/>
              <w:rPr>
                <w:sz w:val="20"/>
                <w:szCs w:val="20"/>
                <w:color w:val="auto"/>
              </w:rPr>
            </w:pPr>
            <w:r>
              <w:rPr>
                <w:rFonts w:ascii="Arial" w:cs="Arial" w:eastAsia="Arial" w:hAnsi="Arial"/>
                <w:sz w:val="18"/>
                <w:szCs w:val="18"/>
                <w:color w:val="auto"/>
              </w:rPr>
              <w:t>Authorised Signatory</w:t>
            </w:r>
          </w:p>
        </w:tc>
      </w:tr>
    </w:tbl>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CREDIT SUISSE, NEW YORK BRANCH,</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AS AGENT FOR CREDIT SUISSE</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INTERNATIONAL</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Yolanda Perez-Wilson</w:t>
      </w:r>
    </w:p>
    <w:p>
      <w:pPr>
        <w:spacing w:after="0" w:line="23" w:lineRule="exact"/>
        <w:rPr>
          <w:sz w:val="20"/>
          <w:szCs w:val="20"/>
          <w:color w:val="auto"/>
        </w:rPr>
      </w:pPr>
    </w:p>
    <w:tbl>
      <w:tblPr>
        <w:tblLayout w:type="fixed"/>
        <w:tblInd w:w="524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Yolanda Perez-Wilson</w:t>
            </w: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60"/>
              <w:spacing w:after="0"/>
              <w:rPr>
                <w:sz w:val="20"/>
                <w:szCs w:val="20"/>
                <w:color w:val="auto"/>
              </w:rPr>
            </w:pPr>
            <w:r>
              <w:rPr>
                <w:rFonts w:ascii="Arial" w:cs="Arial" w:eastAsia="Arial" w:hAnsi="Arial"/>
                <w:sz w:val="18"/>
                <w:szCs w:val="18"/>
                <w:color w:val="auto"/>
              </w:rPr>
              <w:t>Assistant Vice President</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Complex Product Support</w:t>
            </w:r>
          </w:p>
        </w:tc>
      </w:tr>
      <w:tr>
        <w:trPr>
          <w:trHeight w:val="432"/>
        </w:trPr>
        <w:tc>
          <w:tcPr>
            <w:tcW w:w="6180" w:type="dxa"/>
            <w:vAlign w:val="bottom"/>
            <w:gridSpan w:val="3"/>
          </w:tcPr>
          <w:p>
            <w:pPr>
              <w:spacing w:after="0"/>
              <w:rPr>
                <w:sz w:val="20"/>
                <w:szCs w:val="20"/>
                <w:color w:val="auto"/>
              </w:rPr>
            </w:pPr>
            <w:r>
              <w:rPr>
                <w:rFonts w:ascii="Arial" w:cs="Arial" w:eastAsia="Arial" w:hAnsi="Arial"/>
                <w:sz w:val="18"/>
                <w:szCs w:val="18"/>
                <w:color w:val="auto"/>
              </w:rPr>
              <w:t>By:  /s/ Christy Grant</w:t>
            </w:r>
          </w:p>
        </w:tc>
      </w:tr>
      <w:tr>
        <w:trPr>
          <w:trHeight w:val="195"/>
        </w:trPr>
        <w:tc>
          <w:tcPr>
            <w:tcW w:w="40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Christy Grant</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60"/>
              <w:spacing w:after="0"/>
              <w:rPr>
                <w:sz w:val="20"/>
                <w:szCs w:val="20"/>
                <w:color w:val="auto"/>
              </w:rPr>
            </w:pPr>
            <w:r>
              <w:rPr>
                <w:rFonts w:ascii="Arial" w:cs="Arial" w:eastAsia="Arial" w:hAnsi="Arial"/>
                <w:sz w:val="18"/>
                <w:szCs w:val="18"/>
                <w:color w:val="auto"/>
              </w:rPr>
              <w:t>Assistant Vice President Operations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 G. Stover, Jr.</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7012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of Finance and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329"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color w:val="auto"/>
        </w:rPr>
        <w:t>[Confirmation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1."/>
      <w:numFmt w:val="decimal"/>
      <w:start w:val="1"/>
    </w:lvl>
  </w:abstractNum>
  <w:abstractNum w:abstractNumId="2">
    <w:nsid w:val="555C55B5"/>
    <w:multiLevelType w:val="hybridMultilevel"/>
    <w:lvl w:ilvl="0">
      <w:lvlJc w:val="left"/>
      <w:lvlText w:val="(%1)"/>
      <w:numFmt w:val="lowerLetter"/>
      <w:start w:val="1"/>
    </w:lvl>
  </w:abstractNum>
  <w:abstractNum w:abstractNumId="3">
    <w:nsid w:val="3FA62ACA"/>
    <w:multiLevelType w:val="hybridMultilevel"/>
    <w:lvl w:ilvl="0">
      <w:lvlJc w:val="left"/>
      <w:lvlText w:val="(%1)"/>
      <w:numFmt w:val="lowerLetter"/>
      <w:start w:val="3"/>
    </w:lvl>
  </w:abstractNum>
  <w:abstractNum w:abstractNumId="4">
    <w:nsid w:val="14FCE74E"/>
    <w:multiLevelType w:val="hybridMultilevel"/>
    <w:lvl w:ilvl="0">
      <w:lvlJc w:val="left"/>
      <w:lvlText w:val="(%1)"/>
      <w:numFmt w:val="lowerLetter"/>
      <w:start w:val="5"/>
    </w:lvl>
  </w:abstractNum>
  <w:abstractNum w:abstractNumId="5">
    <w:nsid w:val="6A3DD3E8"/>
    <w:multiLevelType w:val="hybridMultilevel"/>
    <w:lvl w:ilvl="0">
      <w:lvlJc w:val="left"/>
      <w:lvlText w:val="(%1)"/>
      <w:numFmt w:val="lowerLetter"/>
      <w:start w:val="11"/>
    </w:lvl>
  </w:abstractNum>
  <w:abstractNum w:abstractNumId="6">
    <w:nsid w:val="71C91298"/>
    <w:multiLevelType w:val="hybridMultilevel"/>
    <w:lvl w:ilvl="0">
      <w:lvlJc w:val="left"/>
      <w:lvlText w:val="(%1)"/>
      <w:numFmt w:val="lowerLetter"/>
      <w:start w:val="15"/>
    </w:lvl>
  </w:abstractNum>
  <w:abstractNum w:abstractNumId="7">
    <w:nsid w:val="9DAF632"/>
    <w:multiLevelType w:val="hybridMultilevel"/>
    <w:lvl w:ilvl="0">
      <w:lvlJc w:val="left"/>
      <w:lvlText w:val="(%1)"/>
      <w:numFmt w:val="lowerLetter"/>
      <w:start w:val="20"/>
    </w:lvl>
  </w:abstractNum>
  <w:abstractNum w:abstractNumId="8">
    <w:nsid w:val="53299938"/>
    <w:multiLevelType w:val="hybridMultilevel"/>
    <w:lvl w:ilvl="0">
      <w:lvlJc w:val="left"/>
      <w:lvlText w:val="%1."/>
      <w:numFmt w:val="decimal"/>
      <w:start w:val="2"/>
    </w:lvl>
  </w:abstractNum>
  <w:abstractNum w:abstractNumId="9">
    <w:nsid w:val="1FBFE8E0"/>
    <w:multiLevelType w:val="hybridMultilevel"/>
    <w:lvl w:ilvl="0">
      <w:lvlJc w:val="left"/>
      <w:lvlText w:val="%1."/>
      <w:numFmt w:val="decimal"/>
      <w:start w:val="3"/>
    </w:lvl>
  </w:abstractNum>
  <w:abstractNum w:abstractNumId="10">
    <w:nsid w:val="5092CA79"/>
    <w:multiLevelType w:val="hybridMultilevel"/>
    <w:lvl w:ilvl="0">
      <w:lvlJc w:val="left"/>
      <w:lvlText w:val="%1."/>
      <w:numFmt w:val="decimal"/>
      <w:start w:val="5"/>
    </w:lvl>
  </w:abstractNum>
  <w:abstractNum w:abstractNumId="11">
    <w:nsid w:val="1D545C4D"/>
    <w:multiLevelType w:val="hybridMultilevel"/>
    <w:lvl w:ilvl="0">
      <w:lvlJc w:val="left"/>
      <w:lvlText w:val="(%1)"/>
      <w:numFmt w:val="lowerLetter"/>
      <w:start w:val="1"/>
    </w:lvl>
    <w:lvl w:ilvl="1">
      <w:lvlJc w:val="left"/>
      <w:lvlText w:val="(%2)"/>
      <w:numFmt w:val="lowerRoman"/>
      <w:start w:val="1"/>
    </w:lvl>
  </w:abstractNum>
  <w:abstractNum w:abstractNumId="12">
    <w:nsid w:val="59ADEA3D"/>
    <w:multiLevelType w:val="hybridMultilevel"/>
    <w:lvl w:ilvl="0">
      <w:lvlJc w:val="left"/>
      <w:lvlText w:val="(%1)"/>
      <w:numFmt w:val="lowerLetter"/>
      <w:start w:val="3"/>
    </w:lvl>
  </w:abstractNum>
  <w:abstractNum w:abstractNumId="13">
    <w:nsid w:val="288F1A34"/>
    <w:multiLevelType w:val="hybridMultilevel"/>
    <w:lvl w:ilvl="0">
      <w:lvlJc w:val="left"/>
      <w:lvlText w:val="(%1)"/>
      <w:numFmt w:val="lowerLetter"/>
      <w:start w:val="8"/>
    </w:lvl>
  </w:abstractNum>
  <w:abstractNum w:abstractNumId="14">
    <w:nsid w:val="2A155DBC"/>
    <w:multiLevelType w:val="hybridMultilevel"/>
    <w:lvl w:ilvl="0">
      <w:lvlJc w:val="left"/>
      <w:lvlText w:val="%1."/>
      <w:numFmt w:val="decimal"/>
      <w:start w:val="6"/>
    </w:lvl>
  </w:abstractNum>
  <w:abstractNum w:abstractNumId="15">
    <w:nsid w:val="1D9F6E5F"/>
    <w:multiLevelType w:val="hybridMultilevel"/>
    <w:lvl w:ilvl="0">
      <w:lvlJc w:val="left"/>
      <w:lvlText w:val="(%1)"/>
      <w:numFmt w:val="lowerLetter"/>
      <w:start w:val="1"/>
    </w:lvl>
  </w:abstractNum>
  <w:abstractNum w:abstractNumId="16">
    <w:nsid w:val="97E1B4E"/>
    <w:multiLevelType w:val="hybridMultilevel"/>
    <w:lvl w:ilvl="0">
      <w:lvlJc w:val="left"/>
      <w:lvlText w:val="(%1)"/>
      <w:numFmt w:val="lowerLetter"/>
      <w:start w:val="3"/>
    </w:lvl>
  </w:abstractNum>
  <w:abstractNum w:abstractNumId="17">
    <w:nsid w:val="51088277"/>
    <w:multiLevelType w:val="hybridMultilevel"/>
    <w:lvl w:ilvl="0">
      <w:lvlJc w:val="left"/>
      <w:lvlText w:val="(%1)"/>
      <w:numFmt w:val="lowerLetter"/>
      <w:start w:val="5"/>
    </w:lvl>
  </w:abstractNum>
  <w:abstractNum w:abstractNumId="18">
    <w:nsid w:val="1CA0C5FA"/>
    <w:multiLevelType w:val="hybridMultilevel"/>
    <w:lvl w:ilvl="0">
      <w:lvlJc w:val="left"/>
      <w:lvlText w:val="(%1)"/>
      <w:numFmt w:val="lowerLetter"/>
      <w:start w:val="7"/>
    </w:lvl>
  </w:abstractNum>
  <w:abstractNum w:abstractNumId="19">
    <w:nsid w:val="53584BCB"/>
    <w:multiLevelType w:val="hybridMultilevel"/>
    <w:lvl w:ilvl="0">
      <w:lvlJc w:val="left"/>
      <w:lvlText w:val="(%1)"/>
      <w:numFmt w:val="lowerLetter"/>
      <w:start w:val="10"/>
    </w:lvl>
  </w:abstractNum>
  <w:abstractNum w:abstractNumId="20">
    <w:nsid w:val="415E286C"/>
    <w:multiLevelType w:val="hybridMultilevel"/>
    <w:lvl w:ilvl="0">
      <w:lvlJc w:val="left"/>
      <w:lvlText w:val="(%1)"/>
      <w:numFmt w:val="lowerLetter"/>
      <w:start w:val="12"/>
    </w:lvl>
  </w:abstractNum>
  <w:abstractNum w:abstractNumId="21">
    <w:nsid w:val="7C58FD05"/>
    <w:multiLevelType w:val="hybridMultilevel"/>
    <w:lvl w:ilvl="0">
      <w:lvlJc w:val="left"/>
      <w:lvlText w:val="(%1)"/>
      <w:numFmt w:val="lowerLetter"/>
      <w:start w:val="13"/>
    </w:lvl>
  </w:abstractNum>
  <w:abstractNum w:abstractNumId="22">
    <w:nsid w:val="23D86AAC"/>
    <w:multiLevelType w:val="hybridMultilevel"/>
    <w:lvl w:ilvl="0">
      <w:lvlJc w:val="left"/>
      <w:lvlText w:val="%1."/>
      <w:numFmt w:val="decimal"/>
      <w:start w:val="7"/>
    </w:lvl>
  </w:abstractNum>
  <w:abstractNum w:abstractNumId="23">
    <w:nsid w:val="45E6D486"/>
    <w:multiLevelType w:val="hybridMultilevel"/>
    <w:lvl w:ilvl="0">
      <w:lvlJc w:val="left"/>
      <w:lvlText w:val="%1."/>
      <w:numFmt w:val="decimal"/>
      <w:start w:val="8"/>
    </w:lvl>
  </w:abstractNum>
  <w:abstractNum w:abstractNumId="24">
    <w:nsid w:val="5C10FE21"/>
    <w:multiLevelType w:val="hybridMultilevel"/>
    <w:lvl w:ilvl="0">
      <w:lvlJc w:val="left"/>
      <w:lvlText w:val="(%1)"/>
      <w:numFmt w:val="lowerLetter"/>
      <w:start w:val="2"/>
    </w:lvl>
  </w:abstractNum>
  <w:abstractNum w:abstractNumId="25">
    <w:nsid w:val="E7FFA2B"/>
    <w:multiLevelType w:val="hybridMultilevel"/>
    <w:lvl w:ilvl="0">
      <w:lvlJc w:val="left"/>
      <w:lvlText w:val="(%1)"/>
      <w:numFmt w:val="lowerLetter"/>
      <w:start w:val="4"/>
    </w:lvl>
  </w:abstractNum>
  <w:abstractNum w:abstractNumId="26">
    <w:nsid w:val="3C5991AA"/>
    <w:multiLevelType w:val="hybridMultilevel"/>
    <w:lvl w:ilvl="0">
      <w:lvlJc w:val="left"/>
      <w:lvlText w:val="(%1)"/>
      <w:numFmt w:val="lowerLetter"/>
      <w:start w:val="35"/>
    </w:lvl>
    <w:lvl w:ilvl="1">
      <w:lvlJc w:val="left"/>
      <w:lvlText w:val="(%2)"/>
      <w:numFmt w:val="lowerLetter"/>
      <w:start w:val="5"/>
    </w:lvl>
  </w:abstractNum>
  <w:abstractNum w:abstractNumId="27">
    <w:nsid w:val="4BD8591A"/>
    <w:multiLevelType w:val="hybridMultilevel"/>
    <w:lvl w:ilvl="0">
      <w:lvlJc w:val="left"/>
      <w:lvlText w:val="(%1)"/>
      <w:numFmt w:val="lowerLetter"/>
      <w:start w:val="6"/>
    </w:lvl>
  </w:abstractNum>
  <w:abstractNum w:abstractNumId="28">
    <w:nsid w:val="78DF6A55"/>
    <w:multiLevelType w:val="hybridMultilevel"/>
    <w:lvl w:ilvl="0">
      <w:lvlJc w:val="left"/>
      <w:lvlText w:val="%1."/>
      <w:numFmt w:val="decimal"/>
      <w:start w:val="9"/>
    </w:lvl>
  </w:abstractNum>
  <w:abstractNum w:abstractNumId="29">
    <w:nsid w:val="39B7AAA2"/>
    <w:multiLevelType w:val="hybridMultilevel"/>
    <w:lvl w:ilvl="0">
      <w:lvlJc w:val="left"/>
      <w:lvlText w:val="%1."/>
      <w:numFmt w:val="decimal"/>
      <w:start w:val="11"/>
    </w:lvl>
  </w:abstractNum>
  <w:abstractNum w:abstractNumId="30">
    <w:nsid w:val="2B0D8DBE"/>
    <w:multiLevelType w:val="hybridMultilevel"/>
    <w:lvl w:ilvl="0">
      <w:lvlJc w:val="left"/>
      <w:lvlText w:val="(%1)"/>
      <w:numFmt w:val="lowerLetter"/>
      <w:start w:val="2"/>
    </w:lvl>
  </w:abstractNum>
  <w:abstractNum w:abstractNumId="31">
    <w:nsid w:val="6C80EC70"/>
    <w:multiLevelType w:val="hybridMultilevel"/>
    <w:lvl w:ilvl="0">
      <w:lvlJc w:val="left"/>
      <w:lvlText w:val="%1."/>
      <w:numFmt w:val="decimal"/>
      <w:start w:val="12"/>
    </w:lvl>
  </w:abstractNum>
  <w:abstractNum w:abstractNumId="32">
    <w:nsid w:val="379E21B5"/>
    <w:multiLevelType w:val="hybridMultilevel"/>
    <w:lvl w:ilvl="0">
      <w:lvlJc w:val="left"/>
      <w:lvlText w:val="(%1)"/>
      <w:numFmt w:val="lowerLetter"/>
      <w:start w:val="2"/>
    </w:lvl>
  </w:abstractNum>
  <w:abstractNum w:abstractNumId="33">
    <w:nsid w:val="69E373"/>
    <w:multiLevelType w:val="hybridMultilevel"/>
    <w:lvl w:ilvl="0">
      <w:lvlJc w:val="left"/>
      <w:lvlText w:val="(%1)"/>
      <w:numFmt w:val="lowerLetter"/>
      <w:start w:val="1"/>
    </w:lvl>
  </w:abstractNum>
  <w:abstractNum w:abstractNumId="34">
    <w:nsid w:val="2C27173B"/>
    <w:multiLevelType w:val="hybridMultilevel"/>
    <w:lvl w:ilvl="0">
      <w:lvlJc w:val="left"/>
      <w:lvlText w:val="(%1)"/>
      <w:numFmt w:val="lowerLetter"/>
      <w:start w:val="4"/>
    </w:lvl>
  </w:abstractNum>
  <w:abstractNum w:abstractNumId="35">
    <w:nsid w:val="4C9B0904"/>
    <w:multiLevelType w:val="hybridMultilevel"/>
    <w:lvl w:ilvl="0">
      <w:lvlJc w:val="left"/>
      <w:lvlText w:val="(%1)"/>
      <w:numFmt w:val="lowerLetter"/>
      <w:start w:val="5"/>
    </w:lvl>
  </w:abstractNum>
  <w:abstractNum w:abstractNumId="36">
    <w:nsid w:val="6AA7B75C"/>
    <w:multiLevelType w:val="hybridMultilevel"/>
    <w:lvl w:ilvl="0">
      <w:lvlJc w:val="left"/>
      <w:lvlText w:val="(%1)"/>
      <w:numFmt w:val="lowerLetter"/>
      <w:start w:val="1"/>
    </w:lvl>
  </w:abstractNum>
  <w:abstractNum w:abstractNumId="37">
    <w:nsid w:val="1DF029D3"/>
    <w:multiLevelType w:val="hybridMultilevel"/>
    <w:lvl w:ilvl="0">
      <w:lvlJc w:val="left"/>
      <w:lvlText w:val="(%1)"/>
      <w:numFmt w:val="lowerLetter"/>
      <w:start w:val="9"/>
    </w:lvl>
    <w:lvl w:ilvl="1">
      <w:lvlJc w:val="left"/>
      <w:lvlText w:val="(%2)"/>
      <w:numFmt w:val="lowerLetter"/>
      <w:start w:val="3"/>
    </w:lvl>
  </w:abstractNum>
  <w:abstractNum w:abstractNumId="38">
    <w:nsid w:val="5675FF36"/>
    <w:multiLevelType w:val="hybridMultilevel"/>
    <w:lvl w:ilvl="0">
      <w:lvlJc w:val="left"/>
      <w:lvlText w:val="(%1)"/>
      <w:numFmt w:val="lowerLetter"/>
      <w:start w:val="2"/>
    </w:lvl>
  </w:abstractNum>
  <w:abstractNum w:abstractNumId="39">
    <w:nsid w:val="3DD15094"/>
    <w:multiLevelType w:val="hybridMultilevel"/>
    <w:lvl w:ilvl="0">
      <w:lvlJc w:val="left"/>
      <w:lvlText w:val="(%1)"/>
      <w:numFmt w:val="lowerRoman"/>
      <w:start w:val="1"/>
    </w:lvl>
  </w:abstractNum>
  <w:abstractNum w:abstractNumId="40">
    <w:nsid w:val="3DB012B3"/>
    <w:multiLevelType w:val="hybridMultilevel"/>
    <w:lvl w:ilvl="0">
      <w:lvlJc w:val="left"/>
      <w:lvlText w:val="(%1)"/>
      <w:numFmt w:val="upperLetter"/>
      <w:start w:val="1"/>
    </w:lvl>
  </w:abstractNum>
  <w:abstractNum w:abstractNumId="41">
    <w:nsid w:val="2708C9AF"/>
    <w:multiLevelType w:val="hybridMultilevel"/>
    <w:lvl w:ilvl="0">
      <w:lvlJc w:val="left"/>
      <w:lvlText w:val="(%1)"/>
      <w:numFmt w:val="upperLetter"/>
      <w:start w:val="2"/>
    </w:lvl>
  </w:abstractNum>
  <w:abstractNum w:abstractNumId="42">
    <w:nsid w:val="5B25ACE2"/>
    <w:multiLevelType w:val="hybridMultilevel"/>
    <w:lvl w:ilvl="0">
      <w:lvlJc w:val="left"/>
      <w:lvlText w:val="(%1)"/>
      <w:numFmt w:val="lowerLetter"/>
      <w:start w:val="2"/>
    </w:lvl>
    <w:lvl w:ilvl="1">
      <w:lvlJc w:val="left"/>
      <w:lvlText w:val="(%2)"/>
      <w:numFmt w:val="lowerRoman"/>
      <w:start w:val="1"/>
    </w:lvl>
  </w:abstractNum>
  <w:abstractNum w:abstractNumId="43">
    <w:nsid w:val="175DFCF0"/>
    <w:multiLevelType w:val="hybridMultilevel"/>
    <w:lvl w:ilvl="0">
      <w:lvlJc w:val="left"/>
      <w:lvlText w:val="(%1)"/>
      <w:numFmt w:val="lowerRoman"/>
      <w:start w:val="1"/>
    </w:lvl>
  </w:abstractNum>
  <w:abstractNum w:abstractNumId="44">
    <w:nsid w:val="4F97E3E4"/>
    <w:multiLevelType w:val="hybridMultilevel"/>
    <w:lvl w:ilvl="0">
      <w:lvlJc w:val="left"/>
      <w:lvlText w:val="(%1)"/>
      <w:numFmt w:val="lowerLetter"/>
      <w:start w:val="2"/>
    </w:lvl>
    <w:lvl w:ilvl="1">
      <w:lvlJc w:val="left"/>
      <w:lvlText w:val="(%2)"/>
      <w:numFmt w:val="lowerRoman"/>
      <w:start w:val="1"/>
    </w:lvl>
  </w:abstractNum>
  <w:abstractNum w:abstractNumId="45">
    <w:nsid w:val="53B0A9E"/>
    <w:multiLevelType w:val="hybridMultilevel"/>
    <w:lvl w:ilvl="0">
      <w:lvlJc w:val="left"/>
      <w:lvlText w:val="(%1)"/>
      <w:numFmt w:val="lowerLetter"/>
      <w:start w:val="1"/>
    </w:lvl>
  </w:abstractNum>
  <w:abstractNum w:abstractNumId="46">
    <w:nsid w:val="34FD6B4F"/>
    <w:multiLevelType w:val="hybridMultilevel"/>
    <w:lvl w:ilvl="0">
      <w:lvlJc w:val="left"/>
      <w:lvlText w:val="(%1)"/>
      <w:numFmt w:val="lowerLetter"/>
      <w:start w:val="2"/>
    </w:lvl>
  </w:abstractNum>
  <w:abstractNum w:abstractNumId="47">
    <w:nsid w:val="5915FF32"/>
    <w:multiLevelType w:val="hybridMultilevel"/>
    <w:lvl w:ilvl="0">
      <w:lvlJc w:val="left"/>
      <w:lvlText w:val="(%1)"/>
      <w:numFmt w:val="lowerLetter"/>
      <w:start w:val="2"/>
    </w:lvl>
  </w:abstractNum>
  <w:abstractNum w:abstractNumId="48">
    <w:nsid w:val="56438D15"/>
    <w:multiLevelType w:val="hybridMultilevel"/>
    <w:lvl w:ilvl="0">
      <w:lvlJc w:val="left"/>
      <w:lvlText w:val="(%1)"/>
      <w:numFmt w:val="lowerLetter"/>
      <w:start w:val="4"/>
    </w:lvl>
  </w:abstractNum>
  <w:abstractNum w:abstractNumId="49">
    <w:nsid w:val="519E3149"/>
    <w:multiLevelType w:val="hybridMultilevel"/>
    <w:lvl w:ilvl="0">
      <w:lvlJc w:val="left"/>
      <w:lvlText w:val="(%1)"/>
      <w:numFmt w:val="lowerLetter"/>
      <w:start w:val="1"/>
    </w:lvl>
  </w:abstractNum>
  <w:abstractNum w:abstractNumId="50">
    <w:nsid w:val="2C6E4AFD"/>
    <w:multiLevelType w:val="hybridMultilevel"/>
    <w:lvl w:ilvl="0">
      <w:lvlJc w:val="left"/>
      <w:lvlText w:val="(%1)"/>
      <w:numFmt w:val="lowerRoman"/>
      <w:start w:val="1"/>
    </w:lvl>
  </w:abstractNum>
  <w:abstractNum w:abstractNumId="51">
    <w:nsid w:val="17A1B582"/>
    <w:multiLevelType w:val="hybridMultilevel"/>
    <w:lvl w:ilvl="0">
      <w:lvlJc w:val="left"/>
      <w:lvlText w:val="%1"/>
      <w:numFmt w:val="lowerLetter"/>
      <w:start w:val="1"/>
    </w:lvl>
    <w:lvl w:ilvl="1">
      <w:lvlJc w:val="left"/>
      <w:lvlText w:val="(%2)"/>
      <w:numFmt w:val="lowerRoman"/>
      <w:start w:val="4"/>
    </w:lvl>
  </w:abstractNum>
  <w:abstractNum w:abstractNumId="52">
    <w:nsid w:val="4DF72E4E"/>
    <w:multiLevelType w:val="hybridMultilevel"/>
    <w:lvl w:ilvl="0">
      <w:lvlJc w:val="left"/>
      <w:lvlText w:val="(%1)"/>
      <w:numFmt w:val="lowerLetter"/>
      <w:start w:val="2"/>
    </w:lvl>
    <w:lvl w:ilvl="1">
      <w:lvlJc w:val="left"/>
      <w:lvlText w:val="%2"/>
      <w:numFmt w:val="lowerRoman"/>
      <w:start w:val="1"/>
    </w:lvl>
  </w:abstractNum>
  <w:abstractNum w:abstractNumId="53">
    <w:nsid w:val="5046B5A9"/>
    <w:multiLevelType w:val="hybridMultilevel"/>
    <w:lvl w:ilvl="0">
      <w:lvlJc w:val="left"/>
      <w:lvlText w:val="(%1)"/>
      <w:numFmt w:val="lowerLetter"/>
      <w:start w:val="1"/>
    </w:lvl>
  </w:abstractNum>
  <w:abstractNum w:abstractNumId="54">
    <w:nsid w:val="5D888A08"/>
    <w:multiLevelType w:val="hybridMultilevel"/>
    <w:lvl w:ilvl="0">
      <w:lvlJc w:val="left"/>
      <w:lvlText w:val="%1"/>
      <w:numFmt w:val="lowerLetter"/>
      <w:start w:val="1"/>
    </w:lvl>
    <w:lvl w:ilvl="1">
      <w:lvlJc w:val="left"/>
      <w:lvlText w:val="(%2)"/>
      <w:numFmt w:val="lowerLetter"/>
      <w:start w:val="8"/>
    </w:lvl>
  </w:abstractNum>
  <w:abstractNum w:abstractNumId="55">
    <w:nsid w:val="2A082C70"/>
    <w:multiLevelType w:val="hybridMultilevel"/>
    <w:lvl w:ilvl="0">
      <w:lvlJc w:val="left"/>
      <w:lvlText w:val="(%1)"/>
      <w:numFmt w:val="lowerLetter"/>
      <w:start w:val="35"/>
    </w:lvl>
    <w:lvl w:ilvl="1">
      <w:lvlJc w:val="left"/>
      <w:lvlText w:val="(%2)"/>
      <w:numFmt w:val="lowerLetter"/>
      <w:start w:val="9"/>
    </w:lvl>
  </w:abstractNum>
  <w:abstractNum w:abstractNumId="56">
    <w:nsid w:val="5EC6AFD4"/>
    <w:multiLevelType w:val="hybridMultilevel"/>
    <w:lvl w:ilvl="0">
      <w:lvlJc w:val="left"/>
      <w:lvlText w:val="(%1)"/>
      <w:numFmt w:val="lowerRoman"/>
      <w:start w:val="1"/>
    </w:lvl>
  </w:abstractNum>
  <w:abstractNum w:abstractNumId="57">
    <w:nsid w:val="19E21BB2"/>
    <w:multiLevelType w:val="hybridMultilevel"/>
    <w:lvl w:ilvl="0">
      <w:lvlJc w:val="left"/>
      <w:lvlText w:val="(%1)"/>
      <w:numFmt w:val="lowerRoman"/>
      <w:start w:val="1"/>
    </w:lvl>
  </w:abstractNum>
  <w:abstractNum w:abstractNumId="58">
    <w:nsid w:val="75E0858A"/>
    <w:multiLevelType w:val="hybridMultilevel"/>
    <w:lvl w:ilvl="0">
      <w:lvlJc w:val="left"/>
      <w:lvlText w:val="(%1)"/>
      <w:numFmt w:val="lowerLetter"/>
      <w:start w:val="23"/>
    </w:lvl>
  </w:abstractNum>
  <w:abstractNum w:abstractNumId="59">
    <w:nsid w:val="57A61A29"/>
    <w:multiLevelType w:val="hybridMultilevel"/>
    <w:lvl w:ilvl="0">
      <w:lvlJc w:val="left"/>
      <w:lvlText w:val="(%1)"/>
      <w:numFmt w:val="lowerLetter"/>
      <w:start w:val="2"/>
    </w:lvl>
  </w:abstractNum>
  <w:abstractNum w:abstractNumId="60">
    <w:nsid w:val="5399C654"/>
    <w:multiLevelType w:val="hybridMultilevel"/>
    <w:lvl w:ilvl="0">
      <w:lvlJc w:val="left"/>
      <w:lvlText w:val="(%1)"/>
      <w:numFmt w:val="lowerLetter"/>
      <w:start w:val="1"/>
    </w:lvl>
  </w:abstractNum>
  <w:abstractNum w:abstractNumId="61">
    <w:nsid w:val="20EE1348"/>
    <w:multiLevelType w:val="hybridMultilevel"/>
    <w:lvl w:ilvl="0">
      <w:lvlJc w:val="left"/>
      <w:lvlText w:val="(%1)"/>
      <w:numFmt w:val="lowerLetter"/>
      <w:start w:val="2"/>
    </w:lvl>
  </w:abstractNum>
  <w:abstractNum w:abstractNumId="62">
    <w:nsid w:val="4427069A"/>
    <w:multiLevelType w:val="hybridMultilevel"/>
    <w:lvl w:ilvl="0">
      <w:lvlJc w:val="left"/>
      <w:lvlText w:val="(%1)"/>
      <w:numFmt w:val="lowerLetter"/>
      <w:start w:val="2"/>
    </w:lvl>
  </w:abstractNum>
  <w:abstractNum w:abstractNumId="63">
    <w:nsid w:val="B37E80A"/>
    <w:multiLevelType w:val="hybridMultilevel"/>
    <w:lvl w:ilvl="0">
      <w:lvlJc w:val="left"/>
      <w:lvlText w:val="(%1)"/>
      <w:numFmt w:val="lowerRoman"/>
      <w:start w:val="1"/>
    </w:lvl>
  </w:abstractNum>
  <w:abstractNum w:abstractNumId="64">
    <w:nsid w:val="2157F6BC"/>
    <w:multiLevelType w:val="hybridMultilevel"/>
    <w:lvl w:ilvl="0">
      <w:lvlJc w:val="left"/>
      <w:lvlText w:val="(%1)"/>
      <w:numFmt w:val="lowerRoman"/>
      <w:start w:val="2"/>
    </w:lvl>
  </w:abstractNum>
  <w:abstractNum w:abstractNumId="65">
    <w:nsid w:val="704E1DD5"/>
    <w:multiLevelType w:val="hybridMultilevel"/>
    <w:lvl w:ilvl="0">
      <w:lvlJc w:val="left"/>
      <w:lvlText w:val="(%1)"/>
      <w:numFmt w:val="lowerLetter"/>
      <w:start w:val="2"/>
    </w:lvl>
  </w:abstractNum>
  <w:abstractNum w:abstractNumId="66">
    <w:nsid w:val="57D2F10E"/>
    <w:multiLevelType w:val="hybridMultilevel"/>
    <w:lvl w:ilvl="0">
      <w:lvlJc w:val="left"/>
      <w:lvlText w:val="(%1)"/>
      <w:numFmt w:val="lowerLetter"/>
      <w:start w:val="2"/>
    </w:lvl>
    <w:lvl w:ilvl="1">
      <w:lvlJc w:val="left"/>
      <w:lvlText w:val="(%2)"/>
      <w:numFmt w:val="lowerRoman"/>
      <w:start w:val="1"/>
    </w:lvl>
  </w:abstractNum>
  <w:abstractNum w:abstractNumId="67">
    <w:nsid w:val="BFFAE18"/>
    <w:multiLevelType w:val="hybridMultilevel"/>
    <w:lvl w:ilvl="0">
      <w:lvlJc w:val="left"/>
      <w:lvlText w:val="(%1)"/>
      <w:numFmt w:val="lowerLetter"/>
      <w:start w:val="1"/>
    </w:lvl>
  </w:abstractNum>
  <w:abstractNum w:abstractNumId="68">
    <w:nsid w:val="E3E47A8"/>
    <w:multiLevelType w:val="hybridMultilevel"/>
    <w:lvl w:ilvl="0">
      <w:lvlJc w:val="left"/>
      <w:lvlText w:val="(%1)"/>
      <w:numFmt w:val="lowerLetter"/>
      <w:start w:val="2"/>
    </w:lvl>
    <w:lvl w:ilvl="1">
      <w:lvlJc w:val="left"/>
      <w:lvlText w:val="(%2)"/>
      <w:numFmt w:val="lowerLetter"/>
      <w:start w:val="9"/>
    </w:lvl>
  </w:abstractNum>
  <w:abstractNum w:abstractNumId="69">
    <w:nsid w:val="2E48F044"/>
    <w:multiLevelType w:val="hybridMultilevel"/>
    <w:lvl w:ilvl="0">
      <w:lvlJc w:val="left"/>
      <w:lvlText w:val="%1"/>
      <w:numFmt w:val="lowerLetter"/>
      <w:start w:val="1"/>
    </w:lvl>
    <w:lvl w:ilvl="1">
      <w:lvlJc w:val="left"/>
      <w:lvlText w:val="(%2)"/>
      <w:numFmt w:val="lowerRoman"/>
      <w:start w:val="2"/>
    </w:lvl>
  </w:abstractNum>
  <w:abstractNum w:abstractNumId="70">
    <w:nsid w:val="49D0FEAC"/>
    <w:multiLevelType w:val="hybridMultilevel"/>
    <w:lvl w:ilvl="0">
      <w:lvlJc w:val="left"/>
      <w:lvlText w:val="(%1)"/>
      <w:numFmt w:val="lowerLetter"/>
      <w:start w:val="3"/>
    </w:lvl>
    <w:lvl w:ilvl="1">
      <w:lvlJc w:val="left"/>
      <w:lvlText w:val="%2"/>
      <w:numFmt w:val="lowerRoman"/>
      <w:start w:val="1"/>
    </w:lvl>
  </w:abstractNum>
  <w:abstractNum w:abstractNumId="71">
    <w:nsid w:val="4BEE5A5B"/>
    <w:multiLevelType w:val="hybridMultilevel"/>
    <w:lvl w:ilvl="0">
      <w:lvlJc w:val="left"/>
      <w:lvlText w:val="(%1)"/>
      <w:numFmt w:val="lowerLetter"/>
      <w:start w:val="2"/>
    </w:lvl>
  </w:abstractNum>
  <w:abstractNum w:abstractNumId="72">
    <w:nsid w:val="5551B9F3"/>
    <w:multiLevelType w:val="hybridMultilevel"/>
    <w:lvl w:ilvl="0">
      <w:lvlJc w:val="left"/>
      <w:lvlText w:val="(%1)"/>
      <w:numFmt w:val="lowerLetter"/>
      <w:start w:val="2"/>
    </w:lvl>
    <w:lvl w:ilvl="1">
      <w:lvlJc w:val="left"/>
      <w:lvlText w:val="(%2)"/>
      <w:numFmt w:val="lowerRoman"/>
      <w:start w:val="1"/>
    </w:lvl>
  </w:abstractNum>
  <w:abstractNum w:abstractNumId="73">
    <w:nsid w:val="24F6AB8E"/>
    <w:multiLevelType w:val="hybridMultilevel"/>
    <w:lvl w:ilvl="0">
      <w:lvlJc w:val="left"/>
      <w:lvlText w:val="(%1)"/>
      <w:numFmt w:val="lowerRoman"/>
      <w:start w:val="3"/>
    </w:lvl>
  </w:abstractNum>
  <w:abstractNum w:abstractNumId="74">
    <w:nsid w:val="634C574C"/>
    <w:multiLevelType w:val="hybridMultilevel"/>
    <w:lvl w:ilvl="0">
      <w:lvlJc w:val="left"/>
      <w:lvlText w:val="(%1)"/>
      <w:numFmt w:val="lowerRoman"/>
      <w:start w:val="6"/>
    </w:lvl>
  </w:abstractNum>
  <w:abstractNum w:abstractNumId="75">
    <w:nsid w:val="24E99DD7"/>
    <w:multiLevelType w:val="hybridMultilevel"/>
    <w:lvl w:ilvl="0">
      <w:lvlJc w:val="left"/>
      <w:lvlText w:val="(%1)"/>
      <w:numFmt w:val="lowerLetter"/>
      <w:start w:val="4"/>
    </w:lvl>
  </w:abstractNum>
  <w:abstractNum w:abstractNumId="76">
    <w:nsid w:val="2A31B62D"/>
    <w:multiLevelType w:val="hybridMultilevel"/>
    <w:lvl w:ilvl="0">
      <w:lvlJc w:val="left"/>
      <w:lvlText w:val="(%1)"/>
      <w:numFmt w:val="lowerLetter"/>
      <w:start w:val="5"/>
    </w:lvl>
  </w:abstractNum>
  <w:abstractNum w:abstractNumId="77">
    <w:nsid w:val="1849C29B"/>
    <w:multiLevelType w:val="hybridMultilevel"/>
    <w:lvl w:ilvl="0">
      <w:lvlJc w:val="left"/>
      <w:lvlText w:val="(%1)"/>
      <w:numFmt w:val="lowerRoman"/>
      <w:start w:val="2"/>
    </w:lvl>
  </w:abstractNum>
  <w:abstractNum w:abstractNumId="78">
    <w:nsid w:val="7DFF9D09"/>
    <w:multiLevelType w:val="hybridMultilevel"/>
    <w:lvl w:ilvl="0">
      <w:lvlJc w:val="left"/>
      <w:lvlText w:val="(%1)"/>
      <w:numFmt w:val="lowerLetter"/>
      <w:start w:val="6"/>
    </w:lvl>
  </w:abstractNum>
  <w:abstractNum w:abstractNumId="79">
    <w:nsid w:val="754342"/>
    <w:multiLevelType w:val="hybridMultilevel"/>
    <w:lvl w:ilvl="0">
      <w:lvlJc w:val="left"/>
      <w:lvlText w:val="(%1)"/>
      <w:numFmt w:val="lowerLetter"/>
      <w:start w:val="7"/>
    </w:lvl>
  </w:abstractNum>
  <w:abstractNum w:abstractNumId="80">
    <w:nsid w:val="69E7F3E5"/>
    <w:multiLevelType w:val="hybridMultilevel"/>
    <w:lvl w:ilvl="0">
      <w:lvlJc w:val="left"/>
      <w:lvlText w:val="(%1)"/>
      <w:numFmt w:val="lowerLetter"/>
      <w:start w:val="2"/>
    </w:lvl>
  </w:abstractNum>
  <w:abstractNum w:abstractNumId="81">
    <w:nsid w:val="2A6DE80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82">
    <w:nsid w:val="1816F8C4"/>
    <w:multiLevelType w:val="hybridMultilevel"/>
    <w:lvl w:ilvl="0">
      <w:lvlJc w:val="left"/>
      <w:lvlText w:val="(%1)"/>
      <w:numFmt w:val="upperLetter"/>
      <w:start w:val="2"/>
    </w:lvl>
    <w:lvl w:ilvl="1">
      <w:lvlJc w:val="left"/>
      <w:lvlText w:val="(%2)"/>
      <w:numFmt w:val="lowerLetter"/>
      <w:start w:val="2"/>
    </w:lvl>
    <w:lvl w:ilvl="2">
      <w:lvlJc w:val="left"/>
      <w:lvlText w:val="(%3)"/>
      <w:numFmt w:val="decimal"/>
      <w:start w:val="2"/>
    </w:lvl>
  </w:abstractNum>
  <w:abstractNum w:abstractNumId="83">
    <w:nsid w:val="37DF2233"/>
    <w:multiLevelType w:val="hybridMultilevel"/>
    <w:lvl w:ilvl="0">
      <w:lvlJc w:val="left"/>
      <w:lvlText w:val="(%1)"/>
      <w:numFmt w:val="lowerLetter"/>
      <w:start w:val="5"/>
    </w:lvl>
  </w:abstractNum>
  <w:abstractNum w:abstractNumId="84">
    <w:nsid w:val="7AB49DAF"/>
    <w:multiLevelType w:val="hybridMultilevel"/>
    <w:lvl w:ilvl="0">
      <w:lvlJc w:val="left"/>
      <w:lvlText w:val="(%1)"/>
      <w:numFmt w:val="lowerLetter"/>
      <w:start w:val="6"/>
    </w:lvl>
  </w:abstractNum>
  <w:abstractNum w:abstractNumId="85">
    <w:nsid w:val="759F82CD"/>
    <w:multiLevelType w:val="hybridMultilevel"/>
    <w:lvl w:ilvl="0">
      <w:lvlJc w:val="left"/>
      <w:lvlText w:val="(%1)"/>
      <w:numFmt w:val="lowerRoman"/>
      <w:start w:val="1"/>
    </w:lvl>
  </w:abstractNum>
  <w:abstractNum w:abstractNumId="86">
    <w:nsid w:val="61E74EA3"/>
    <w:multiLevelType w:val="hybridMultilevel"/>
    <w:lvl w:ilvl="0">
      <w:lvlJc w:val="left"/>
      <w:lvlText w:val="(%1)"/>
      <w:numFmt w:val="lowerRoman"/>
      <w:start w:val="2"/>
    </w:lvl>
  </w:abstractNum>
  <w:abstractNum w:abstractNumId="87">
    <w:nsid w:val="597B4D84"/>
    <w:multiLevelType w:val="hybridMultilevel"/>
    <w:lvl w:ilvl="0">
      <w:lvlJc w:val="left"/>
      <w:lvlText w:val="(%1)"/>
      <w:numFmt w:val="lowerLetter"/>
      <w:start w:val="2"/>
    </w:lvl>
  </w:abstractNum>
  <w:abstractNum w:abstractNumId="88">
    <w:nsid w:val="F819E7F"/>
    <w:multiLevelType w:val="hybridMultilevel"/>
    <w:lvl w:ilvl="0">
      <w:lvlJc w:val="left"/>
      <w:lvlText w:val="(%1)"/>
      <w:numFmt w:val="lowerLetter"/>
      <w:start w:val="24"/>
    </w:lvl>
  </w:abstractNum>
  <w:abstractNum w:abstractNumId="89">
    <w:nsid w:val="57C7D42D"/>
    <w:multiLevelType w:val="hybridMultilevel"/>
    <w:lvl w:ilvl="0">
      <w:lvlJc w:val="left"/>
      <w:lvlText w:val="(%1)"/>
      <w:numFmt w:val="lowerLetter"/>
      <w:start w:val="1"/>
    </w:lvl>
    <w:lvl w:ilvl="1">
      <w:lvlJc w:val="left"/>
      <w:lvlText w:val="(%2)"/>
      <w:numFmt w:val="lowerRoman"/>
      <w:start w:val="1"/>
    </w:lvl>
  </w:abstractNum>
  <w:abstractNum w:abstractNumId="90">
    <w:nsid w:val="312167AD"/>
    <w:multiLevelType w:val="hybridMultilevel"/>
    <w:lvl w:ilvl="0">
      <w:lvlJc w:val="left"/>
      <w:lvlText w:val="(%1)"/>
      <w:numFmt w:val="lowerLetter"/>
      <w:start w:val="2"/>
    </w:lvl>
    <w:lvl w:ilvl="1">
      <w:lvlJc w:val="left"/>
      <w:lvlText w:val="(%2)"/>
      <w:numFmt w:val="lowerLetter"/>
      <w:start w:val="24"/>
    </w:lvl>
  </w:abstractNum>
  <w:abstractNum w:abstractNumId="91">
    <w:nsid w:val="631B64D4"/>
    <w:multiLevelType w:val="hybridMultilevel"/>
    <w:lvl w:ilvl="0">
      <w:lvlJc w:val="left"/>
      <w:lvlText w:val="(%1)"/>
      <w:numFmt w:val="lowerLetter"/>
      <w:start w:val="3"/>
    </w:lvl>
  </w:abstractNum>
  <w:abstractNum w:abstractNumId="92">
    <w:nsid w:val="78B5E776"/>
    <w:multiLevelType w:val="hybridMultilevel"/>
    <w:lvl w:ilvl="0">
      <w:lvlJc w:val="left"/>
      <w:lvlText w:val="(%1)"/>
      <w:numFmt w:val="lowerLetter"/>
      <w:start w:val="24"/>
    </w:lvl>
  </w:abstractNum>
  <w:abstractNum w:abstractNumId="93">
    <w:nsid w:val="75486E47"/>
    <w:multiLevelType w:val="hybridMultilevel"/>
    <w:lvl w:ilvl="0">
      <w:lvlJc w:val="left"/>
      <w:lvlText w:val="(%1)"/>
      <w:numFmt w:val="lowerRoman"/>
      <w:start w:val="10"/>
    </w:lvl>
  </w:abstractNum>
  <w:abstractNum w:abstractNumId="94">
    <w:nsid w:val="6E534CDE"/>
    <w:multiLevelType w:val="hybridMultilevel"/>
    <w:lvl w:ilvl="0">
      <w:lvlJc w:val="left"/>
      <w:lvlText w:val="(%1)"/>
      <w:numFmt w:val="lowerLetter"/>
      <w:start w:val="25"/>
    </w:lvl>
  </w:abstractNum>
  <w:abstractNum w:abstractNumId="95">
    <w:nsid w:val="1A0DDE32"/>
    <w:multiLevelType w:val="hybridMultilevel"/>
    <w:lvl w:ilvl="0">
      <w:lvlJc w:val="left"/>
      <w:lvlText w:val="(%1)"/>
      <w:numFmt w:val="lowerLetter"/>
      <w:start w:val="1"/>
    </w:lvl>
  </w:abstractNum>
  <w:abstractNum w:abstractNumId="96">
    <w:nsid w:val="65968C1C"/>
    <w:multiLevelType w:val="hybridMultilevel"/>
    <w:lvl w:ilvl="0">
      <w:lvlJc w:val="left"/>
      <w:lvlText w:val="(%1)"/>
      <w:numFmt w:val="lowerLetter"/>
      <w:start w:val="25"/>
    </w:lvl>
  </w:abstractNum>
  <w:abstractNum w:abstractNumId="97">
    <w:nsid w:val="46263DEC"/>
    <w:multiLevelType w:val="hybridMultilevel"/>
    <w:lvl w:ilvl="0">
      <w:lvlJc w:val="left"/>
      <w:lvlText w:val="(%1)"/>
      <w:numFmt w:val="lowerLetter"/>
      <w:start w:val="2"/>
    </w:lvl>
  </w:abstractNum>
  <w:abstractNum w:abstractNumId="98">
    <w:nsid w:val="260D8C4A"/>
    <w:multiLevelType w:val="hybridMultilevel"/>
    <w:lvl w:ilvl="0">
      <w:lvlJc w:val="left"/>
      <w:lvlText w:val="(%1)"/>
      <w:numFmt w:val="lowerLetter"/>
      <w:start w:val="4"/>
    </w:lvl>
  </w:abstractNum>
  <w:abstractNum w:abstractNumId="99">
    <w:nsid w:val="73D4D3C4"/>
    <w:multiLevelType w:val="hybridMultilevel"/>
    <w:lvl w:ilvl="0">
      <w:lvlJc w:val="left"/>
      <w:lvlText w:val="(%1)"/>
      <w:numFmt w:val="lowerLetter"/>
      <w:start w:val="6"/>
    </w:lvl>
  </w:abstractNum>
  <w:abstractNum w:abstractNumId="100">
    <w:nsid w:val="746F2E30"/>
    <w:multiLevelType w:val="hybridMultilevel"/>
    <w:lvl w:ilvl="0">
      <w:lvlJc w:val="left"/>
      <w:lvlText w:val="(%1)"/>
      <w:numFmt w:val="lowerLetter"/>
      <w:start w:val="2"/>
    </w:lvl>
  </w:abstractNum>
  <w:abstractNum w:abstractNumId="101">
    <w:nsid w:val="6FDE8AF6"/>
    <w:multiLevelType w:val="hybridMultilevel"/>
    <w:lvl w:ilvl="0">
      <w:lvlJc w:val="left"/>
      <w:lvlText w:val="(%1)"/>
      <w:numFmt w:val="lowerLetter"/>
      <w:start w:val="1"/>
    </w:lvl>
  </w:abstractNum>
  <w:abstractNum w:abstractNumId="102">
    <w:nsid w:val="3FC32E20"/>
    <w:multiLevelType w:val="hybridMultilevel"/>
    <w:lvl w:ilvl="0">
      <w:lvlJc w:val="left"/>
      <w:lvlText w:val="(%1)"/>
      <w:numFmt w:val="lowerLetter"/>
      <w:start w:val="3"/>
    </w:lvl>
  </w:abstractNum>
  <w:abstractNum w:abstractNumId="103">
    <w:nsid w:val="49C0E823"/>
    <w:multiLevelType w:val="hybridMultilevel"/>
    <w:lvl w:ilvl="0">
      <w:lvlJc w:val="left"/>
      <w:lvlText w:val="(%1)"/>
      <w:numFmt w:val="lowerRoman"/>
      <w:start w:val="1"/>
    </w:lvl>
  </w:abstractNum>
  <w:abstractNum w:abstractNumId="104">
    <w:nsid w:val="14D53685"/>
    <w:multiLevelType w:val="hybridMultilevel"/>
    <w:lvl w:ilvl="0">
      <w:lvlJc w:val="left"/>
      <w:lvlText w:val="(%1)"/>
      <w:numFmt w:val="lowerRoman"/>
      <w:start w:val="6"/>
    </w:lvl>
  </w:abstractNum>
  <w:abstractNum w:abstractNumId="105">
    <w:nsid w:val="230F856C"/>
    <w:multiLevelType w:val="hybridMultilevel"/>
    <w:lvl w:ilvl="0">
      <w:lvlJc w:val="left"/>
      <w:lvlText w:val="(%1)"/>
      <w:numFmt w:val="lowerLetter"/>
      <w:start w:val="1"/>
    </w:lvl>
  </w:abstractNum>
  <w:abstractNum w:abstractNumId="106">
    <w:nsid w:val="6EAA85FB"/>
    <w:multiLevelType w:val="hybridMultilevel"/>
    <w:lvl w:ilvl="0">
      <w:lvlJc w:val="left"/>
      <w:lvlText w:val="(%1)"/>
      <w:numFmt w:val="lowerLetter"/>
      <w:start w:val="1"/>
    </w:lvl>
    <w:lvl w:ilvl="1">
      <w:lvlJc w:val="left"/>
      <w:lvlText w:val="(%2)"/>
      <w:numFmt w:val="lowerLetter"/>
      <w:start w:val="9"/>
    </w:lvl>
  </w:abstractNum>
  <w:abstractNum w:abstractNumId="107">
    <w:nsid w:val="3F06ECB2"/>
    <w:multiLevelType w:val="hybridMultilevel"/>
    <w:lvl w:ilvl="0">
      <w:lvlJc w:val="left"/>
      <w:lvlText w:val="(%1)"/>
      <w:numFmt w:val="lowerLetter"/>
      <w:start w:val="3"/>
    </w:lvl>
  </w:abstractNum>
  <w:abstractNum w:abstractNumId="108">
    <w:nsid w:val="3B594807"/>
    <w:multiLevelType w:val="hybridMultilevel"/>
    <w:lvl w:ilvl="0">
      <w:lvlJc w:val="left"/>
      <w:lvlText w:val="(%1)"/>
      <w:numFmt w:val="lowerRoman"/>
      <w:start w:val="2"/>
    </w:lvl>
  </w:abstractNum>
  <w:abstractNum w:abstractNumId="109">
    <w:nsid w:val="6CAA2304"/>
    <w:multiLevelType w:val="hybridMultilevel"/>
    <w:lvl w:ilvl="0">
      <w:lvlJc w:val="left"/>
      <w:lvlText w:val="(%1)"/>
      <w:numFmt w:val="lowerLetter"/>
      <w:start w:val="2"/>
    </w:lvl>
  </w:abstractNum>
  <w:abstractNum w:abstractNumId="110">
    <w:nsid w:val="3F7C2FF4"/>
    <w:multiLevelType w:val="hybridMultilevel"/>
    <w:lvl w:ilvl="0">
      <w:lvlJc w:val="left"/>
      <w:lvlText w:val="(%1)"/>
      <w:numFmt w:val="lowerLetter"/>
      <w:start w:val="3"/>
    </w:lvl>
  </w:abstractNum>
  <w:abstractNum w:abstractNumId="111">
    <w:nsid w:val="25413BEC"/>
    <w:multiLevelType w:val="hybridMultilevel"/>
    <w:lvl w:ilvl="0">
      <w:lvlJc w:val="left"/>
      <w:lvlText w:val="(%1)"/>
      <w:numFmt w:val="decimal"/>
      <w:start w:val="1"/>
    </w:lvl>
  </w:abstractNum>
  <w:abstractNum w:abstractNumId="112">
    <w:nsid w:val="17180B0B"/>
    <w:multiLevelType w:val="hybridMultilevel"/>
    <w:lvl w:ilvl="0">
      <w:lvlJc w:val="left"/>
      <w:lvlText w:val="(%1)"/>
      <w:numFmt w:val="decimal"/>
      <w:start w:val="1"/>
    </w:lvl>
  </w:abstractNum>
  <w:abstractNum w:abstractNumId="113">
    <w:nsid w:val="579328B9"/>
    <w:multiLevelType w:val="hybridMultilevel"/>
    <w:lvl w:ilvl="0">
      <w:lvlJc w:val="left"/>
      <w:lvlText w:val="(%1)"/>
      <w:numFmt w:val="decimal"/>
      <w:start w:val="2"/>
    </w:lvl>
  </w:abstractNum>
  <w:abstractNum w:abstractNumId="114">
    <w:nsid w:val="5D205E20"/>
    <w:multiLevelType w:val="hybridMultilevel"/>
    <w:lvl w:ilvl="0">
      <w:lvlJc w:val="left"/>
      <w:lvlText w:val="(%1)"/>
      <w:numFmt w:val="decimal"/>
      <w:start w:val="3"/>
    </w:lvl>
  </w:abstractNum>
  <w:abstractNum w:abstractNumId="115">
    <w:nsid w:val="11CCA8BA"/>
    <w:multiLevelType w:val="hybridMultilevel"/>
    <w:lvl w:ilvl="0">
      <w:lvlJc w:val="left"/>
      <w:lvlText w:val="*"/>
      <w:numFmt w:val="bullet"/>
      <w:start w:val="1"/>
    </w:lvl>
  </w:abstractNum>
  <w:abstractNum w:abstractNumId="116">
    <w:nsid w:val="4D32AB86"/>
    <w:multiLevelType w:val="hybridMultilevel"/>
    <w:lvl w:ilvl="0">
      <w:lvlJc w:val="left"/>
      <w:lvlText w:val="%1."/>
      <w:numFmt w:val="decimal"/>
      <w:start w:val="1"/>
    </w:lvl>
  </w:abstractNum>
  <w:abstractNum w:abstractNumId="117">
    <w:nsid w:val="3F07ACC3"/>
    <w:multiLevelType w:val="hybridMultilevel"/>
    <w:lvl w:ilvl="0">
      <w:lvlJc w:val="left"/>
      <w:lvlText w:val="%1."/>
      <w:numFmt w:val="decimal"/>
      <w:start w:val="2"/>
    </w:lvl>
  </w:abstractNum>
  <w:abstractNum w:abstractNumId="118">
    <w:nsid w:val="6B47F63E"/>
    <w:multiLevelType w:val="hybridMultilevel"/>
    <w:lvl w:ilvl="0">
      <w:lvlJc w:val="left"/>
      <w:lvlText w:val="%1."/>
      <w:numFmt w:val="decimal"/>
      <w:start w:val="3"/>
    </w:lvl>
  </w:abstractNum>
  <w:abstractNum w:abstractNumId="119">
    <w:nsid w:val="5CB44A05"/>
    <w:multiLevelType w:val="hybridMultilevel"/>
    <w:lvl w:ilvl="0">
      <w:lvlJc w:val="left"/>
      <w:lvlText w:val="%1."/>
      <w:numFmt w:val="decimal"/>
      <w:start w:val="4"/>
    </w:lvl>
  </w:abstractNum>
  <w:abstractNum w:abstractNumId="120">
    <w:nsid w:val="16CF80F1"/>
    <w:multiLevelType w:val="hybridMultilevel"/>
    <w:lvl w:ilvl="0">
      <w:lvlJc w:val="left"/>
      <w:lvlText w:val="%1."/>
      <w:numFmt w:val="decimal"/>
      <w:start w:val="5"/>
    </w:lvl>
  </w:abstractNum>
  <w:abstractNum w:abstractNumId="121">
    <w:nsid w:val="1C695DEC"/>
    <w:multiLevelType w:val="hybridMultilevel"/>
    <w:lvl w:ilvl="0">
      <w:lvlJc w:val="left"/>
      <w:lvlText w:val="%1."/>
      <w:numFmt w:val="decimal"/>
      <w:start w:val="6"/>
    </w:lvl>
  </w:abstractNum>
  <w:abstractNum w:abstractNumId="122">
    <w:nsid w:val="3FCFAED9"/>
    <w:multiLevelType w:val="hybridMultilevel"/>
    <w:lvl w:ilvl="0">
      <w:lvlJc w:val="left"/>
      <w:lvlText w:val="%1."/>
      <w:numFmt w:val="decimal"/>
      <w:start w:val="7"/>
    </w:lvl>
  </w:abstractNum>
  <w:abstractNum w:abstractNumId="123">
    <w:nsid w:val="F856867"/>
    <w:multiLevelType w:val="hybridMultilevel"/>
    <w:lvl w:ilvl="0">
      <w:lvlJc w:val="left"/>
      <w:lvlText w:val="%1."/>
      <w:numFmt w:val="decimal"/>
      <w:start w:val="8"/>
    </w:lvl>
  </w:abstractNum>
  <w:abstractNum w:abstractNumId="124">
    <w:nsid w:val="11B1CC33"/>
    <w:multiLevelType w:val="hybridMultilevel"/>
    <w:lvl w:ilvl="0">
      <w:lvlJc w:val="left"/>
      <w:lvlText w:val="%1."/>
      <w:numFmt w:val="decimal"/>
      <w:start w:val="9"/>
    </w:lvl>
  </w:abstractNum>
  <w:abstractNum w:abstractNumId="125">
    <w:nsid w:val="2E22FBB7"/>
    <w:multiLevelType w:val="hybridMultilevel"/>
    <w:lvl w:ilvl="0">
      <w:lvlJc w:val="left"/>
      <w:lvlText w:val="%1."/>
      <w:numFmt w:val="decimal"/>
      <w:start w:val="10"/>
    </w:lvl>
  </w:abstractNum>
  <w:abstractNum w:abstractNumId="126">
    <w:nsid w:val="29934699"/>
    <w:multiLevelType w:val="hybridMultilevel"/>
    <w:lvl w:ilvl="0">
      <w:lvlJc w:val="left"/>
      <w:lvlText w:val="%1."/>
      <w:numFmt w:val="decimal"/>
      <w:start w:val="11"/>
    </w:lvl>
  </w:abstractNum>
  <w:abstractNum w:abstractNumId="127">
    <w:nsid w:val="77485850"/>
    <w:multiLevelType w:val="hybridMultilevel"/>
    <w:lvl w:ilvl="0">
      <w:lvlJc w:val="left"/>
      <w:lvlText w:val="%1."/>
      <w:numFmt w:val="decimal"/>
      <w:start w:val="12"/>
    </w:lvl>
  </w:abstractNum>
  <w:abstractNum w:abstractNumId="128">
    <w:nsid w:val="744939A3"/>
    <w:multiLevelType w:val="hybridMultilevel"/>
    <w:lvl w:ilvl="0">
      <w:lvlJc w:val="left"/>
      <w:lvlText w:val="%1."/>
      <w:numFmt w:val="decimal"/>
      <w:start w:val="13"/>
    </w:lvl>
  </w:abstractNum>
  <w:abstractNum w:abstractNumId="129">
    <w:nsid w:val="4FA0D2E3"/>
    <w:multiLevelType w:val="hybridMultilevel"/>
    <w:lvl w:ilvl="0">
      <w:lvlJc w:val="left"/>
      <w:lvlText w:val="%1."/>
      <w:numFmt w:val="decimal"/>
      <w:start w:val="14"/>
    </w:lvl>
  </w:abstractNum>
  <w:abstractNum w:abstractNumId="130">
    <w:nsid w:val="6B1D2C14"/>
    <w:multiLevelType w:val="hybridMultilevel"/>
    <w:lvl w:ilvl="0">
      <w:lvlJc w:val="left"/>
      <w:lvlText w:val="%1."/>
      <w:numFmt w:val="decimal"/>
      <w:start w:val="15"/>
    </w:lvl>
  </w:abstractNum>
  <w:abstractNum w:abstractNumId="131">
    <w:nsid w:val="68B867D3"/>
    <w:multiLevelType w:val="hybridMultilevel"/>
    <w:lvl w:ilvl="0">
      <w:lvlJc w:val="left"/>
      <w:lvlText w:val="%1."/>
      <w:numFmt w:val="decimal"/>
      <w:start w:val="16"/>
    </w:lvl>
  </w:abstractNum>
  <w:abstractNum w:abstractNumId="132">
    <w:nsid w:val="3F7F5DD9"/>
    <w:multiLevelType w:val="hybridMultilevel"/>
    <w:lvl w:ilvl="0">
      <w:lvlJc w:val="left"/>
      <w:lvlText w:val="%1."/>
      <w:numFmt w:val="decimal"/>
      <w:start w:val="17"/>
    </w:lvl>
  </w:abstractNum>
  <w:abstractNum w:abstractNumId="133">
    <w:nsid w:val="2AE05A34"/>
    <w:multiLevelType w:val="hybridMultilevel"/>
    <w:lvl w:ilvl="0">
      <w:lvlJc w:val="left"/>
      <w:lvlText w:val="*"/>
      <w:numFmt w:val="bullet"/>
      <w:start w:val="1"/>
    </w:lvl>
  </w:abstractNum>
  <w:abstractNum w:abstractNumId="134">
    <w:nsid w:val="32794FF7"/>
    <w:multiLevelType w:val="hybridMultilevel"/>
    <w:lvl w:ilvl="0">
      <w:lvlJc w:val="left"/>
      <w:lvlText w:val="*"/>
      <w:numFmt w:val="bullet"/>
      <w:start w:val="1"/>
    </w:lvl>
  </w:abstractNum>
  <w:abstractNum w:abstractNumId="135">
    <w:nsid w:val="5454945E"/>
    <w:multiLevelType w:val="hybridMultilevel"/>
    <w:lvl w:ilvl="0">
      <w:lvlJc w:val="left"/>
      <w:lvlText w:val="*"/>
      <w:numFmt w:val="bullet"/>
      <w:start w:val="1"/>
    </w:lvl>
  </w:abstractNum>
  <w:abstractNum w:abstractNumId="136">
    <w:nsid w:val="4DEFDFA0"/>
    <w:multiLevelType w:val="hybridMultilevel"/>
    <w:lvl w:ilvl="0">
      <w:lvlJc w:val="left"/>
      <w:lvlText w:val="%1."/>
      <w:numFmt w:val="decimal"/>
      <w:start w:val="1"/>
    </w:lvl>
  </w:abstractNum>
  <w:abstractNum w:abstractNumId="137">
    <w:nsid w:val="2123D5F2"/>
    <w:multiLevelType w:val="hybridMultilevel"/>
    <w:lvl w:ilvl="0">
      <w:lvlJc w:val="left"/>
      <w:lvlText w:val="\emdash "/>
      <w:numFmt w:val="bullet"/>
      <w:start w:val="1"/>
    </w:lvl>
  </w:abstractNum>
  <w:abstractNum w:abstractNumId="138">
    <w:nsid w:val="135B8110"/>
    <w:multiLevelType w:val="hybridMultilevel"/>
    <w:lvl w:ilvl="0">
      <w:lvlJc w:val="left"/>
      <w:lvlText w:val="%1."/>
      <w:numFmt w:val="decimal"/>
      <w:start w:val="2"/>
    </w:lvl>
  </w:abstractNum>
  <w:abstractNum w:abstractNumId="139">
    <w:nsid w:val="94927A8"/>
    <w:multiLevelType w:val="hybridMultilevel"/>
    <w:lvl w:ilvl="0">
      <w:lvlJc w:val="left"/>
      <w:lvlText w:val="(%1)"/>
      <w:numFmt w:val="lowerRoman"/>
      <w:start w:val="1"/>
    </w:lvl>
  </w:abstractNum>
  <w:abstractNum w:abstractNumId="140">
    <w:nsid w:val="DCDF8F6"/>
    <w:multiLevelType w:val="hybridMultilevel"/>
    <w:lvl w:ilvl="0">
      <w:lvlJc w:val="left"/>
      <w:lvlText w:val="%1."/>
      <w:numFmt w:val="decimal"/>
      <w:start w:val="3"/>
    </w:lvl>
  </w:abstractNum>
  <w:abstractNum w:abstractNumId="141">
    <w:nsid w:val="52D7B105"/>
    <w:multiLevelType w:val="hybridMultilevel"/>
    <w:lvl w:ilvl="0">
      <w:lvlJc w:val="left"/>
      <w:lvlText w:val="(%1)"/>
      <w:numFmt w:val="lowerLetter"/>
      <w:start w:val="1"/>
    </w:lvl>
  </w:abstractNum>
  <w:abstractNum w:abstractNumId="142">
    <w:nsid w:val="2E8A6394"/>
    <w:multiLevelType w:val="hybridMultilevel"/>
    <w:lvl w:ilvl="0">
      <w:lvlJc w:val="left"/>
      <w:lvlText w:val="%1."/>
      <w:numFmt w:val="decimal"/>
      <w:start w:val="5"/>
    </w:lvl>
  </w:abstractNum>
  <w:abstractNum w:abstractNumId="143">
    <w:nsid w:val="24E60401"/>
    <w:multiLevelType w:val="hybridMultilevel"/>
    <w:lvl w:ilvl="0">
      <w:lvlJc w:val="left"/>
      <w:lvlText w:val="(%1)"/>
      <w:numFmt w:val="lowerLetter"/>
      <w:start w:val="1"/>
    </w:lvl>
  </w:abstractNum>
  <w:abstractNum w:abstractNumId="144">
    <w:nsid w:val="2A6AD9BE"/>
    <w:multiLevelType w:val="hybridMultilevel"/>
    <w:lvl w:ilvl="0">
      <w:lvlJc w:val="left"/>
      <w:lvlText w:val="(%1)"/>
      <w:numFmt w:val="lowerLetter"/>
      <w:start w:val="2"/>
    </w:lvl>
  </w:abstractNum>
  <w:abstractNum w:abstractNumId="145">
    <w:nsid w:val="BAAC1B4"/>
    <w:multiLevelType w:val="hybridMultilevel"/>
    <w:lvl w:ilvl="0">
      <w:lvlJc w:val="left"/>
      <w:lvlText w:val="%1."/>
      <w:numFmt w:val="decimal"/>
      <w:start w:val="6"/>
    </w:lvl>
  </w:abstractNum>
  <w:abstractNum w:abstractNumId="146">
    <w:nsid w:val="36B2ACBC"/>
    <w:multiLevelType w:val="hybridMultilevel"/>
    <w:lvl w:ilvl="0">
      <w:lvlJc w:val="left"/>
      <w:lvlText w:val="(%1)"/>
      <w:numFmt w:val="lowerLetter"/>
      <w:start w:val="1"/>
    </w:lvl>
    <w:lvl w:ilvl="1">
      <w:lvlJc w:val="left"/>
      <w:lvlText w:val="(%2)"/>
      <w:numFmt w:val="lowerRoman"/>
      <w:start w:val="1"/>
    </w:lvl>
  </w:abstractNum>
  <w:abstractNum w:abstractNumId="147">
    <w:nsid w:val="779D8544"/>
    <w:multiLevelType w:val="hybridMultilevel"/>
    <w:lvl w:ilvl="0">
      <w:lvlJc w:val="left"/>
      <w:lvlText w:val="%1"/>
      <w:numFmt w:val="lowerLetter"/>
      <w:start w:val="1"/>
    </w:lvl>
    <w:lvl w:ilvl="1">
      <w:lvlJc w:val="left"/>
      <w:lvlText w:val="(%2)"/>
      <w:numFmt w:val="lowerRoman"/>
      <w:start w:val="9"/>
    </w:lvl>
  </w:abstractNum>
  <w:abstractNum w:abstractNumId="148">
    <w:nsid w:val="4AB26E78"/>
    <w:multiLevelType w:val="hybridMultilevel"/>
    <w:lvl w:ilvl="0">
      <w:lvlJc w:val="left"/>
      <w:lvlText w:val="(%1)"/>
      <w:numFmt w:val="lowerLetter"/>
      <w:start w:val="2"/>
    </w:lvl>
    <w:lvl w:ilvl="1">
      <w:lvlJc w:val="left"/>
      <w:lvlText w:val="%2"/>
      <w:numFmt w:val="lowerRoman"/>
      <w:start w:val="1"/>
    </w:lvl>
  </w:abstractNum>
  <w:abstractNum w:abstractNumId="149">
    <w:nsid w:val="21FAA2FA"/>
    <w:multiLevelType w:val="hybridMultilevel"/>
    <w:lvl w:ilvl="0">
      <w:lvlJc w:val="left"/>
      <w:lvlText w:val="(%1)"/>
      <w:numFmt w:val="lowerLetter"/>
      <w:start w:val="4"/>
    </w:lvl>
  </w:abstractNum>
  <w:abstractNum w:abstractNumId="150">
    <w:nsid w:val="5451CF49"/>
    <w:multiLevelType w:val="hybridMultilevel"/>
    <w:lvl w:ilvl="0">
      <w:lvlJc w:val="left"/>
      <w:lvlText w:val="%1."/>
      <w:numFmt w:val="decimal"/>
      <w:start w:val="7"/>
    </w:lvl>
  </w:abstractNum>
  <w:abstractNum w:abstractNumId="151">
    <w:nsid w:val="6181EF69"/>
    <w:multiLevelType w:val="hybridMultilevel"/>
    <w:lvl w:ilvl="0">
      <w:lvlJc w:val="left"/>
      <w:lvlText w:val="%1."/>
      <w:numFmt w:val="decimal"/>
      <w:start w:val="8"/>
    </w:lvl>
  </w:abstractNum>
  <w:abstractNum w:abstractNumId="152">
    <w:nsid w:val="3E6400E6"/>
    <w:multiLevelType w:val="hybridMultilevel"/>
    <w:lvl w:ilvl="0">
      <w:lvlJc w:val="left"/>
      <w:lvlText w:val="%1."/>
      <w:numFmt w:val="decimal"/>
      <w:start w:val="12"/>
    </w:lvl>
  </w:abstractNum>
  <w:abstractNum w:abstractNumId="153">
    <w:nsid w:val="14217E23"/>
    <w:multiLevelType w:val="hybridMultilevel"/>
    <w:lvl w:ilvl="0">
      <w:lvlJc w:val="left"/>
      <w:lvlText w:val="%1."/>
      <w:numFmt w:val="decimal"/>
      <w:start w:val="14"/>
    </w:lvl>
  </w:abstractNum>
  <w:abstractNum w:abstractNumId="154">
    <w:nsid w:val="710757D0"/>
    <w:multiLevelType w:val="hybridMultilevel"/>
    <w:lvl w:ilvl="0">
      <w:lvlJc w:val="left"/>
      <w:lvlText w:val="%1."/>
      <w:numFmt w:val="decimal"/>
      <w:start w:val="16"/>
    </w:lvl>
  </w:abstractNum>
  <w:abstractNum w:abstractNumId="155">
    <w:nsid w:val="5015CD1A"/>
    <w:multiLevelType w:val="hybridMultilevel"/>
    <w:lvl w:ilvl="0">
      <w:lvlJc w:val="left"/>
      <w:lvlText w:val="%1."/>
      <w:numFmt w:val="decimal"/>
      <w:start w:val="18"/>
    </w:lvl>
  </w:abstractNum>
  <w:abstractNum w:abstractNumId="156">
    <w:nsid w:val="424479DA"/>
    <w:multiLevelType w:val="hybridMultilevel"/>
    <w:lvl w:ilvl="0">
      <w:lvlJc w:val="left"/>
      <w:lvlText w:val="%1."/>
      <w:numFmt w:val="decimal"/>
      <w:start w:val="24"/>
    </w:lvl>
  </w:abstractNum>
  <w:abstractNum w:abstractNumId="157">
    <w:nsid w:val="1A9A9E69"/>
    <w:multiLevelType w:val="hybridMultilevel"/>
    <w:lvl w:ilvl="0">
      <w:lvlJc w:val="left"/>
      <w:lvlText w:val="%1."/>
      <w:numFmt w:val="decimal"/>
      <w:start w:val="1"/>
    </w:lvl>
  </w:abstractNum>
  <w:abstractNum w:abstractNumId="158">
    <w:nsid w:val="475E256A"/>
    <w:multiLevelType w:val="hybridMultilevel"/>
    <w:lvl w:ilvl="0">
      <w:lvlJc w:val="left"/>
      <w:lvlText w:val="\emdash "/>
      <w:numFmt w:val="bullet"/>
      <w:start w:val="1"/>
    </w:lvl>
  </w:abstractNum>
  <w:abstractNum w:abstractNumId="159">
    <w:nsid w:val="368DB37E"/>
    <w:multiLevelType w:val="hybridMultilevel"/>
    <w:lvl w:ilvl="0">
      <w:lvlJc w:val="left"/>
      <w:lvlText w:val="%1."/>
      <w:numFmt w:val="decimal"/>
      <w:start w:val="2"/>
    </w:lvl>
  </w:abstractNum>
  <w:abstractNum w:abstractNumId="160">
    <w:nsid w:val="6A3B714C"/>
    <w:multiLevelType w:val="hybridMultilevel"/>
    <w:lvl w:ilvl="0">
      <w:lvlJc w:val="left"/>
      <w:lvlText w:val="(%1)"/>
      <w:numFmt w:val="lowerRoman"/>
      <w:start w:val="1"/>
    </w:lvl>
  </w:abstractNum>
  <w:abstractNum w:abstractNumId="161">
    <w:nsid w:val="327B517E"/>
    <w:multiLevelType w:val="hybridMultilevel"/>
    <w:lvl w:ilvl="0">
      <w:lvlJc w:val="left"/>
      <w:lvlText w:val="%1."/>
      <w:numFmt w:val="decimal"/>
      <w:start w:val="3"/>
    </w:lvl>
  </w:abstractNum>
  <w:abstractNum w:abstractNumId="162">
    <w:nsid w:val="1F461B51"/>
    <w:multiLevelType w:val="hybridMultilevel"/>
    <w:lvl w:ilvl="0">
      <w:lvlJc w:val="left"/>
      <w:lvlText w:val="(%1)"/>
      <w:numFmt w:val="lowerLetter"/>
      <w:start w:val="1"/>
    </w:lvl>
  </w:abstractNum>
  <w:abstractNum w:abstractNumId="163">
    <w:nsid w:val="29BACF25"/>
    <w:multiLevelType w:val="hybridMultilevel"/>
    <w:lvl w:ilvl="0">
      <w:lvlJc w:val="left"/>
      <w:lvlText w:val="%1."/>
      <w:numFmt w:val="decimal"/>
      <w:start w:val="5"/>
    </w:lvl>
  </w:abstractNum>
  <w:abstractNum w:abstractNumId="164">
    <w:nsid w:val="5D5BABB3"/>
    <w:multiLevelType w:val="hybridMultilevel"/>
    <w:lvl w:ilvl="0">
      <w:lvlJc w:val="left"/>
      <w:lvlText w:val="(%1)"/>
      <w:numFmt w:val="lowerLetter"/>
      <w:start w:val="1"/>
    </w:lvl>
  </w:abstractNum>
  <w:abstractNum w:abstractNumId="165">
    <w:nsid w:val="51BF6B48"/>
    <w:multiLevelType w:val="hybridMultilevel"/>
    <w:lvl w:ilvl="0">
      <w:lvlJc w:val="left"/>
      <w:lvlText w:val="(%1)"/>
      <w:numFmt w:val="lowerLetter"/>
      <w:start w:val="2"/>
    </w:lvl>
  </w:abstractNum>
  <w:abstractNum w:abstractNumId="166">
    <w:nsid w:val="7E0F6384"/>
    <w:multiLevelType w:val="hybridMultilevel"/>
    <w:lvl w:ilvl="0">
      <w:lvlJc w:val="left"/>
      <w:lvlText w:val="%1."/>
      <w:numFmt w:val="decimal"/>
      <w:start w:val="6"/>
    </w:lvl>
  </w:abstractNum>
  <w:abstractNum w:abstractNumId="167">
    <w:nsid w:val="2B4B8B53"/>
    <w:multiLevelType w:val="hybridMultilevel"/>
    <w:lvl w:ilvl="0">
      <w:lvlJc w:val="left"/>
      <w:lvlText w:val="(%1)"/>
      <w:numFmt w:val="lowerLetter"/>
      <w:start w:val="1"/>
    </w:lvl>
    <w:lvl w:ilvl="1">
      <w:lvlJc w:val="left"/>
      <w:lvlText w:val="(%2)"/>
      <w:numFmt w:val="lowerRoman"/>
      <w:start w:val="1"/>
    </w:lvl>
  </w:abstractNum>
  <w:abstractNum w:abstractNumId="168">
    <w:nsid w:val="72E3413A"/>
    <w:multiLevelType w:val="hybridMultilevel"/>
    <w:lvl w:ilvl="0">
      <w:lvlJc w:val="left"/>
      <w:lvlText w:val="(%1)"/>
      <w:numFmt w:val="lowerLetter"/>
      <w:start w:val="2"/>
    </w:lvl>
  </w:abstractNum>
  <w:abstractNum w:abstractNumId="169">
    <w:nsid w:val="116AE494"/>
    <w:multiLevelType w:val="hybridMultilevel"/>
    <w:lvl w:ilvl="0">
      <w:lvlJc w:val="left"/>
      <w:lvlText w:val="(%1)"/>
      <w:numFmt w:val="lowerLetter"/>
      <w:start w:val="4"/>
    </w:lvl>
  </w:abstractNum>
  <w:abstractNum w:abstractNumId="170">
    <w:nsid w:val="3494B2FB"/>
    <w:multiLevelType w:val="hybridMultilevel"/>
    <w:lvl w:ilvl="0">
      <w:lvlJc w:val="left"/>
      <w:lvlText w:val="%1."/>
      <w:numFmt w:val="decimal"/>
      <w:start w:val="7"/>
    </w:lvl>
  </w:abstractNum>
  <w:abstractNum w:abstractNumId="171">
    <w:nsid w:val="B13A31"/>
    <w:multiLevelType w:val="hybridMultilevel"/>
    <w:lvl w:ilvl="0">
      <w:lvlJc w:val="left"/>
      <w:lvlText w:val="%1."/>
      <w:numFmt w:val="decimal"/>
      <w:start w:val="8"/>
    </w:lvl>
  </w:abstractNum>
  <w:abstractNum w:abstractNumId="172">
    <w:nsid w:val="64429599"/>
    <w:multiLevelType w:val="hybridMultilevel"/>
    <w:lvl w:ilvl="0">
      <w:lvlJc w:val="left"/>
      <w:lvlText w:val="%1."/>
      <w:numFmt w:val="decimal"/>
      <w:start w:val="12"/>
    </w:lvl>
  </w:abstractNum>
  <w:abstractNum w:abstractNumId="173">
    <w:nsid w:val="631F1690"/>
    <w:multiLevelType w:val="hybridMultilevel"/>
    <w:lvl w:ilvl="0">
      <w:lvlJc w:val="left"/>
      <w:lvlText w:val="%1)"/>
      <w:numFmt w:val="upperLetter"/>
      <w:start w:val="25"/>
    </w:lvl>
  </w:abstractNum>
  <w:abstractNum w:abstractNumId="174">
    <w:nsid w:val="25973E32"/>
    <w:multiLevelType w:val="hybridMultilevel"/>
    <w:lvl w:ilvl="0">
      <w:lvlJc w:val="left"/>
      <w:lvlText w:val="%1."/>
      <w:numFmt w:val="decimal"/>
      <w:start w:val="14"/>
    </w:lvl>
  </w:abstractNum>
  <w:abstractNum w:abstractNumId="175">
    <w:nsid w:val="EAD6F57"/>
    <w:multiLevelType w:val="hybridMultilevel"/>
    <w:lvl w:ilvl="0">
      <w:lvlJc w:val="left"/>
      <w:lvlText w:val="%1."/>
      <w:numFmt w:val="decimal"/>
      <w:start w:val="15"/>
    </w:lvl>
  </w:abstractNum>
  <w:abstractNum w:abstractNumId="176">
    <w:nsid w:val="6EC9D844"/>
    <w:multiLevelType w:val="hybridMultilevel"/>
    <w:lvl w:ilvl="0">
      <w:lvlJc w:val="left"/>
      <w:lvlText w:val="%1."/>
      <w:numFmt w:val="decimal"/>
      <w:start w:val="18"/>
    </w:lvl>
  </w:abstractNum>
  <w:abstractNum w:abstractNumId="177">
    <w:nsid w:val="5C49EAEE"/>
    <w:multiLevelType w:val="hybridMultilevel"/>
    <w:lvl w:ilvl="0">
      <w:lvlJc w:val="left"/>
      <w:lvlText w:val="(%1)"/>
      <w:numFmt w:val="lowerLetter"/>
      <w:start w:val="1"/>
    </w:lvl>
  </w:abstractNum>
  <w:abstractNum w:abstractNumId="178">
    <w:nsid w:val="64AF49B"/>
    <w:multiLevelType w:val="hybridMultilevel"/>
    <w:lvl w:ilvl="0">
      <w:lvlJc w:val="left"/>
      <w:lvlText w:val="(%1)"/>
      <w:numFmt w:val="lowerLetter"/>
      <w:start w:val="3"/>
    </w:lvl>
  </w:abstractNum>
  <w:abstractNum w:abstractNumId="179">
    <w:nsid w:val="397C46BC"/>
    <w:multiLevelType w:val="hybridMultilevel"/>
    <w:lvl w:ilvl="0">
      <w:lvlJc w:val="left"/>
      <w:lvlText w:val="%1."/>
      <w:numFmt w:val="decimal"/>
      <w:start w:val="1"/>
    </w:lvl>
  </w:abstractNum>
  <w:abstractNum w:abstractNumId="180">
    <w:nsid w:val="7E448DE9"/>
    <w:multiLevelType w:val="hybridMultilevel"/>
    <w:lvl w:ilvl="0">
      <w:lvlJc w:val="left"/>
      <w:lvlText w:val="\emdash "/>
      <w:numFmt w:val="bullet"/>
      <w:start w:val="1"/>
    </w:lvl>
  </w:abstractNum>
  <w:abstractNum w:abstractNumId="181">
    <w:nsid w:val="5A9CC3E5"/>
    <w:multiLevelType w:val="hybridMultilevel"/>
    <w:lvl w:ilvl="0">
      <w:lvlJc w:val="left"/>
      <w:lvlText w:val="%1."/>
      <w:numFmt w:val="decimal"/>
      <w:start w:val="2"/>
    </w:lvl>
  </w:abstractNum>
  <w:abstractNum w:abstractNumId="182">
    <w:nsid w:val="1AFE3625"/>
    <w:multiLevelType w:val="hybridMultilevel"/>
    <w:lvl w:ilvl="0">
      <w:lvlJc w:val="left"/>
      <w:lvlText w:val="(%1)"/>
      <w:numFmt w:val="lowerLetter"/>
      <w:start w:val="2"/>
    </w:lvl>
  </w:abstractNum>
  <w:abstractNum w:abstractNumId="183">
    <w:nsid w:val="3CA88ECF"/>
    <w:multiLevelType w:val="hybridMultilevel"/>
    <w:lvl w:ilvl="0">
      <w:lvlJc w:val="left"/>
      <w:lvlText w:val="(%1)"/>
      <w:numFmt w:val="lowerRoman"/>
      <w:start w:val="1"/>
    </w:lvl>
  </w:abstractNum>
  <w:abstractNum w:abstractNumId="184">
    <w:nsid w:val="6EBE4208"/>
    <w:multiLevelType w:val="hybridMultilevel"/>
    <w:lvl w:ilvl="0">
      <w:lvlJc w:val="left"/>
      <w:lvlText w:val="%1."/>
      <w:numFmt w:val="decimal"/>
      <w:start w:val="3"/>
    </w:lvl>
  </w:abstractNum>
  <w:abstractNum w:abstractNumId="185">
    <w:nsid w:val="C058DF5"/>
    <w:multiLevelType w:val="hybridMultilevel"/>
    <w:lvl w:ilvl="0">
      <w:lvlJc w:val="left"/>
      <w:lvlText w:val="(%1)"/>
      <w:numFmt w:val="lowerLetter"/>
      <w:start w:val="1"/>
    </w:lvl>
  </w:abstractNum>
  <w:abstractNum w:abstractNumId="186">
    <w:nsid w:val="CBE5BE9"/>
    <w:multiLevelType w:val="hybridMultilevel"/>
    <w:lvl w:ilvl="0">
      <w:lvlJc w:val="left"/>
      <w:lvlText w:val="%1."/>
      <w:numFmt w:val="decimal"/>
      <w:start w:val="5"/>
    </w:lvl>
  </w:abstractNum>
  <w:abstractNum w:abstractNumId="187">
    <w:nsid w:val="3102BBE2"/>
    <w:multiLevelType w:val="hybridMultilevel"/>
    <w:lvl w:ilvl="0">
      <w:lvlJc w:val="left"/>
      <w:lvlText w:val="(%1)"/>
      <w:numFmt w:val="lowerLetter"/>
      <w:start w:val="1"/>
    </w:lvl>
  </w:abstractNum>
  <w:abstractNum w:abstractNumId="188">
    <w:nsid w:val="26A02C5E"/>
    <w:multiLevelType w:val="hybridMultilevel"/>
    <w:lvl w:ilvl="0">
      <w:lvlJc w:val="left"/>
      <w:lvlText w:val="(%1)"/>
      <w:numFmt w:val="lowerLetter"/>
      <w:start w:val="2"/>
    </w:lvl>
  </w:abstractNum>
  <w:abstractNum w:abstractNumId="189">
    <w:nsid w:val="541C8153"/>
    <w:multiLevelType w:val="hybridMultilevel"/>
    <w:lvl w:ilvl="0">
      <w:lvlJc w:val="left"/>
      <w:lvlText w:val="%1."/>
      <w:numFmt w:val="decimal"/>
      <w:start w:val="6"/>
    </w:lvl>
  </w:abstractNum>
  <w:abstractNum w:abstractNumId="190">
    <w:nsid w:val="67906F60"/>
    <w:multiLevelType w:val="hybridMultilevel"/>
    <w:lvl w:ilvl="0">
      <w:lvlJc w:val="left"/>
      <w:lvlText w:val="(%1)"/>
      <w:numFmt w:val="lowerLetter"/>
      <w:start w:val="1"/>
    </w:lvl>
    <w:lvl w:ilvl="1">
      <w:lvlJc w:val="left"/>
      <w:lvlText w:val="(%2)"/>
      <w:numFmt w:val="lowerRoman"/>
      <w:start w:val="1"/>
    </w:lvl>
  </w:abstractNum>
  <w:abstractNum w:abstractNumId="191">
    <w:nsid w:val="10DB9DAA"/>
    <w:multiLevelType w:val="hybridMultilevel"/>
    <w:lvl w:ilvl="0">
      <w:lvlJc w:val="left"/>
      <w:lvlText w:val="(%1)"/>
      <w:numFmt w:val="lowerLetter"/>
      <w:start w:val="2"/>
    </w:lvl>
  </w:abstractNum>
  <w:abstractNum w:abstractNumId="192">
    <w:nsid w:val="697D2D2"/>
    <w:multiLevelType w:val="hybridMultilevel"/>
    <w:lvl w:ilvl="0">
      <w:lvlJc w:val="left"/>
      <w:lvlText w:val="(%1)"/>
      <w:numFmt w:val="lowerLetter"/>
      <w:start w:val="4"/>
    </w:lvl>
  </w:abstractNum>
  <w:abstractNum w:abstractNumId="193">
    <w:nsid w:val="6D68AB2"/>
    <w:multiLevelType w:val="hybridMultilevel"/>
    <w:lvl w:ilvl="0">
      <w:lvlJc w:val="left"/>
      <w:lvlText w:val="%1."/>
      <w:numFmt w:val="decimal"/>
      <w:start w:val="7"/>
    </w:lvl>
  </w:abstractNum>
  <w:abstractNum w:abstractNumId="194">
    <w:nsid w:val="3A966CD0"/>
    <w:multiLevelType w:val="hybridMultilevel"/>
    <w:lvl w:ilvl="0">
      <w:lvlJc w:val="left"/>
      <w:lvlText w:val="%1."/>
      <w:numFmt w:val="decimal"/>
      <w:start w:val="8"/>
    </w:lvl>
  </w:abstractNum>
  <w:abstractNum w:abstractNumId="195">
    <w:nsid w:val="63F37E85"/>
    <w:multiLevelType w:val="hybridMultilevel"/>
    <w:lvl w:ilvl="0">
      <w:lvlJc w:val="left"/>
      <w:lvlText w:val="%1."/>
      <w:numFmt w:val="decimal"/>
      <w:start w:val="12"/>
    </w:lvl>
  </w:abstractNum>
  <w:abstractNum w:abstractNumId="196">
    <w:nsid w:val="5895F5FA"/>
    <w:multiLevelType w:val="hybridMultilevel"/>
    <w:lvl w:ilvl="0">
      <w:lvlJc w:val="left"/>
      <w:lvlText w:val="%1)"/>
      <w:numFmt w:val="upperLetter"/>
      <w:start w:val="25"/>
    </w:lvl>
  </w:abstractNum>
  <w:abstractNum w:abstractNumId="197">
    <w:nsid w:val="38A5D054"/>
    <w:multiLevelType w:val="hybridMultilevel"/>
    <w:lvl w:ilvl="0">
      <w:lvlJc w:val="left"/>
      <w:lvlText w:val="%1."/>
      <w:numFmt w:val="decimal"/>
      <w:start w:val="14"/>
    </w:lvl>
  </w:abstractNum>
  <w:abstractNum w:abstractNumId="198">
    <w:nsid w:val="F3F09D8"/>
    <w:multiLevelType w:val="hybridMultilevel"/>
    <w:lvl w:ilvl="0">
      <w:lvlJc w:val="left"/>
      <w:lvlText w:val="%1."/>
      <w:numFmt w:val="decimal"/>
      <w:start w:val="15"/>
    </w:lvl>
  </w:abstractNum>
  <w:abstractNum w:abstractNumId="199">
    <w:nsid w:val="4B793735"/>
    <w:multiLevelType w:val="hybridMultilevel"/>
    <w:lvl w:ilvl="0">
      <w:lvlJc w:val="left"/>
      <w:lvlText w:val="%1."/>
      <w:numFmt w:val="decimal"/>
      <w:start w:val="18"/>
    </w:lvl>
  </w:abstractNum>
  <w:abstractNum w:abstractNumId="200">
    <w:nsid w:val="4A10B4E8"/>
    <w:multiLevelType w:val="hybridMultilevel"/>
    <w:lvl w:ilvl="0">
      <w:lvlJc w:val="left"/>
      <w:lvlText w:val="(%1)"/>
      <w:numFmt w:val="lowerLetter"/>
      <w:start w:val="1"/>
    </w:lvl>
  </w:abstractNum>
  <w:abstractNum w:abstractNumId="201">
    <w:nsid w:val="43D3BCD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2019-12-13T13:18:50Z</dcterms:created>
  <dcterms:modified xsi:type="dcterms:W3CDTF">2019-12-13T13:18:50Z</dcterms:modified>
</cp:coreProperties>
</file>