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875"/>
        <w:spacing w:after="0"/>
        <w:rPr>
          <w:sz w:val="20"/>
          <w:szCs w:val="20"/>
          <w:color w:val="auto"/>
        </w:rPr>
      </w:pPr>
      <w:r>
        <w:rPr>
          <w:rFonts w:ascii="Courier New" w:cs="Courier New" w:eastAsia="Courier New" w:hAnsi="Courier New"/>
          <w:sz w:val="16"/>
          <w:szCs w:val="16"/>
          <w:color w:val="auto"/>
        </w:rPr>
        <w:t>FORM 10-K</w:t>
      </w:r>
    </w:p>
    <w:p>
      <w:pPr>
        <w:spacing w:after="0" w:line="177" w:lineRule="exact"/>
        <w:rPr>
          <w:sz w:val="24"/>
          <w:szCs w:val="24"/>
          <w:color w:val="auto"/>
        </w:rPr>
      </w:pPr>
    </w:p>
    <w:p>
      <w:pPr>
        <w:ind w:left="3065"/>
        <w:spacing w:after="0"/>
        <w:rPr>
          <w:sz w:val="20"/>
          <w:szCs w:val="20"/>
          <w:color w:val="auto"/>
        </w:rPr>
      </w:pPr>
      <w:r>
        <w:rPr>
          <w:rFonts w:ascii="Courier New" w:cs="Courier New" w:eastAsia="Courier New" w:hAnsi="Courier New"/>
          <w:sz w:val="16"/>
          <w:szCs w:val="16"/>
          <w:color w:val="auto"/>
        </w:rPr>
        <w:t>UNITED STATES</w:t>
      </w:r>
    </w:p>
    <w:p>
      <w:pPr>
        <w:ind w:left="2145"/>
        <w:spacing w:after="0" w:line="236" w:lineRule="auto"/>
        <w:rPr>
          <w:sz w:val="20"/>
          <w:szCs w:val="20"/>
          <w:color w:val="auto"/>
        </w:rPr>
      </w:pPr>
      <w:r>
        <w:rPr>
          <w:rFonts w:ascii="Courier New" w:cs="Courier New" w:eastAsia="Courier New" w:hAnsi="Courier New"/>
          <w:sz w:val="16"/>
          <w:szCs w:val="16"/>
          <w:color w:val="auto"/>
        </w:rPr>
        <w:t>SECURITIES AND EXCHANGE COMMISSION</w:t>
      </w:r>
    </w:p>
    <w:p>
      <w:pPr>
        <w:ind w:left="2605"/>
        <w:spacing w:after="0"/>
        <w:tabs>
          <w:tab w:leader="none" w:pos="4264" w:val="left"/>
        </w:tabs>
        <w:rPr>
          <w:sz w:val="20"/>
          <w:szCs w:val="20"/>
          <w:color w:val="auto"/>
        </w:rPr>
      </w:pPr>
      <w:r>
        <w:rPr>
          <w:rFonts w:ascii="Courier New" w:cs="Courier New" w:eastAsia="Courier New" w:hAnsi="Courier New"/>
          <w:sz w:val="16"/>
          <w:szCs w:val="16"/>
          <w:color w:val="auto"/>
        </w:rPr>
        <w:t>Washington, D.C.</w:t>
      </w:r>
      <w:r>
        <w:rPr>
          <w:sz w:val="20"/>
          <w:szCs w:val="20"/>
          <w:color w:val="auto"/>
        </w:rPr>
        <w:tab/>
      </w:r>
      <w:r>
        <w:rPr>
          <w:rFonts w:ascii="Courier New" w:cs="Courier New" w:eastAsia="Courier New" w:hAnsi="Courier New"/>
          <w:sz w:val="14"/>
          <w:szCs w:val="14"/>
          <w:color w:val="auto"/>
        </w:rPr>
        <w:t>20549</w:t>
      </w:r>
    </w:p>
    <w:p>
      <w:pPr>
        <w:spacing w:after="0" w:line="177" w:lineRule="exact"/>
        <w:rPr>
          <w:sz w:val="24"/>
          <w:szCs w:val="24"/>
          <w:color w:val="auto"/>
        </w:rPr>
      </w:pPr>
    </w:p>
    <w:p>
      <w:pPr>
        <w:ind w:left="5"/>
        <w:spacing w:after="0"/>
        <w:rPr>
          <w:sz w:val="20"/>
          <w:szCs w:val="20"/>
          <w:color w:val="auto"/>
        </w:rPr>
      </w:pPr>
      <w:r>
        <w:rPr>
          <w:rFonts w:ascii="Courier New" w:cs="Courier New" w:eastAsia="Courier New" w:hAnsi="Courier New"/>
          <w:sz w:val="16"/>
          <w:szCs w:val="16"/>
          <w:color w:val="auto"/>
        </w:rPr>
        <w:t>(Mark One)</w:t>
      </w:r>
    </w:p>
    <w:p>
      <w:pPr>
        <w:spacing w:after="0" w:line="4" w:lineRule="exact"/>
        <w:rPr>
          <w:sz w:val="24"/>
          <w:szCs w:val="24"/>
          <w:color w:val="auto"/>
        </w:rPr>
      </w:pPr>
    </w:p>
    <w:p>
      <w:pPr>
        <w:ind w:left="365" w:right="3999" w:hanging="365"/>
        <w:spacing w:after="0" w:line="234" w:lineRule="auto"/>
        <w:tabs>
          <w:tab w:leader="none" w:pos="365"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ANNUAL REPORT PURSUANT TO SECTION 13 OR 15(d) OF THE SECURITIES EXCHANGE ACT OF 1934</w:t>
      </w:r>
    </w:p>
    <w:p>
      <w:pPr>
        <w:spacing w:after="0" w:line="177" w:lineRule="exact"/>
        <w:rPr>
          <w:sz w:val="24"/>
          <w:szCs w:val="24"/>
          <w:color w:val="auto"/>
        </w:rPr>
      </w:pPr>
    </w:p>
    <w:p>
      <w:pPr>
        <w:ind w:left="5"/>
        <w:spacing w:after="0"/>
        <w:tabs>
          <w:tab w:leader="none" w:pos="2964" w:val="left"/>
        </w:tabs>
        <w:rPr>
          <w:sz w:val="20"/>
          <w:szCs w:val="20"/>
          <w:color w:val="auto"/>
        </w:rPr>
      </w:pPr>
      <w:r>
        <w:rPr>
          <w:rFonts w:ascii="Courier New" w:cs="Courier New" w:eastAsia="Courier New" w:hAnsi="Courier New"/>
          <w:sz w:val="16"/>
          <w:szCs w:val="16"/>
          <w:color w:val="auto"/>
        </w:rPr>
        <w:t>For the fiscal year ended</w:t>
      </w:r>
      <w:r>
        <w:rPr>
          <w:sz w:val="20"/>
          <w:szCs w:val="20"/>
          <w:color w:val="auto"/>
        </w:rPr>
        <w:tab/>
      </w:r>
      <w:r>
        <w:rPr>
          <w:rFonts w:ascii="Courier New" w:cs="Courier New" w:eastAsia="Courier New" w:hAnsi="Courier New"/>
          <w:sz w:val="14"/>
          <w:szCs w:val="14"/>
          <w:color w:val="auto"/>
        </w:rPr>
        <w:t>September 2, 1999</w:t>
      </w:r>
    </w:p>
    <w:p>
      <w:pPr>
        <w:spacing w:after="0" w:line="177" w:lineRule="exact"/>
        <w:rPr>
          <w:sz w:val="24"/>
          <w:szCs w:val="24"/>
          <w:color w:val="auto"/>
        </w:rPr>
      </w:pPr>
    </w:p>
    <w:p>
      <w:pPr>
        <w:jc w:val="center"/>
        <w:ind w:right="2775"/>
        <w:spacing w:after="0"/>
        <w:rPr>
          <w:sz w:val="20"/>
          <w:szCs w:val="20"/>
          <w:color w:val="auto"/>
        </w:rPr>
      </w:pPr>
      <w:r>
        <w:rPr>
          <w:rFonts w:ascii="Courier New" w:cs="Courier New" w:eastAsia="Courier New" w:hAnsi="Courier New"/>
          <w:sz w:val="16"/>
          <w:szCs w:val="16"/>
          <w:color w:val="auto"/>
        </w:rPr>
        <w:t>OR</w:t>
      </w:r>
    </w:p>
    <w:p>
      <w:pPr>
        <w:spacing w:after="0" w:line="183" w:lineRule="exact"/>
        <w:rPr>
          <w:sz w:val="24"/>
          <w:szCs w:val="24"/>
          <w:color w:val="auto"/>
        </w:rPr>
      </w:pPr>
    </w:p>
    <w:p>
      <w:pPr>
        <w:ind w:left="365" w:right="2779" w:hanging="371"/>
        <w:spacing w:after="0" w:line="234" w:lineRule="auto"/>
        <w:rPr>
          <w:sz w:val="20"/>
          <w:szCs w:val="20"/>
          <w:color w:val="auto"/>
        </w:rPr>
      </w:pPr>
      <w:r>
        <w:rPr>
          <w:rFonts w:ascii="Courier New" w:cs="Courier New" w:eastAsia="Courier New" w:hAnsi="Courier New"/>
          <w:sz w:val="16"/>
          <w:szCs w:val="16"/>
          <w:color w:val="auto"/>
        </w:rPr>
        <w:t>[_] TRANSITION REPORT PURSUANT TO SECTION 13 OR 15(d) OF THE SECURITIES EXCHANGE ACT OF 1934</w:t>
      </w:r>
    </w:p>
    <w:p>
      <w:pPr>
        <w:sectPr>
          <w:pgSz w:w="11900" w:h="16838" w:orient="portrait"/>
          <w:cols w:equalWidth="0" w:num="1">
            <w:col w:w="10224"/>
          </w:cols>
          <w:pgMar w:left="235" w:top="589" w:right="1440" w:bottom="1440" w:gutter="0" w:footer="0" w:header="0"/>
        </w:sectPr>
      </w:pPr>
    </w:p>
    <w:p>
      <w:pPr>
        <w:spacing w:after="0" w:line="183" w:lineRule="exact"/>
        <w:rPr>
          <w:sz w:val="24"/>
          <w:szCs w:val="24"/>
          <w:color w:val="auto"/>
        </w:rPr>
      </w:pPr>
    </w:p>
    <w:p>
      <w:pPr>
        <w:ind w:left="5"/>
        <w:spacing w:after="0"/>
        <w:rPr>
          <w:sz w:val="20"/>
          <w:szCs w:val="20"/>
          <w:color w:val="auto"/>
        </w:rPr>
      </w:pPr>
      <w:r>
        <w:rPr>
          <w:rFonts w:ascii="Courier New" w:cs="Courier New" w:eastAsia="Courier New" w:hAnsi="Courier New"/>
          <w:sz w:val="14"/>
          <w:szCs w:val="14"/>
          <w:color w:val="auto"/>
        </w:rPr>
        <w:t>For the transition period from</w:t>
      </w:r>
    </w:p>
    <w:p>
      <w:pPr>
        <w:spacing w:after="0" w:line="20" w:lineRule="exact"/>
        <w:rPr>
          <w:sz w:val="24"/>
          <w:szCs w:val="24"/>
          <w:color w:val="auto"/>
        </w:rPr>
      </w:pPr>
      <w:r>
        <w:rPr>
          <w:sz w:val="24"/>
          <w:szCs w:val="24"/>
          <w:color w:val="auto"/>
        </w:rPr>
        <w:br w:type="column"/>
      </w:r>
    </w:p>
    <w:p>
      <w:pPr>
        <w:spacing w:after="0" w:line="16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to</w:t>
      </w:r>
    </w:p>
    <w:p>
      <w:pPr>
        <w:spacing w:after="0" w:line="199" w:lineRule="exact"/>
        <w:rPr>
          <w:sz w:val="24"/>
          <w:szCs w:val="24"/>
          <w:color w:val="auto"/>
        </w:rPr>
      </w:pPr>
    </w:p>
    <w:p>
      <w:pPr>
        <w:sectPr>
          <w:pgSz w:w="11900" w:h="16838" w:orient="portrait"/>
          <w:cols w:equalWidth="0" w:num="2">
            <w:col w:w="2905" w:space="720"/>
            <w:col w:w="6599"/>
          </w:cols>
          <w:pgMar w:left="235" w:top="589" w:right="1440" w:bottom="1440" w:gutter="0" w:footer="0" w:header="0"/>
          <w:type w:val="continuous"/>
        </w:sectPr>
      </w:pPr>
    </w:p>
    <w:p>
      <w:pPr>
        <w:ind w:left="5"/>
        <w:spacing w:after="0"/>
        <w:rPr>
          <w:sz w:val="20"/>
          <w:szCs w:val="20"/>
          <w:color w:val="auto"/>
        </w:rPr>
      </w:pPr>
      <w:r>
        <w:rPr>
          <w:rFonts w:ascii="Courier New" w:cs="Courier New" w:eastAsia="Courier New" w:hAnsi="Courier New"/>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1-10658</w:t>
      </w:r>
    </w:p>
    <w:p>
      <w:pPr>
        <w:spacing w:after="0" w:line="200" w:lineRule="exact"/>
        <w:rPr>
          <w:sz w:val="24"/>
          <w:szCs w:val="24"/>
          <w:color w:val="auto"/>
        </w:rPr>
      </w:pPr>
    </w:p>
    <w:p>
      <w:pPr>
        <w:sectPr>
          <w:pgSz w:w="11900" w:h="16838" w:orient="portrait"/>
          <w:cols w:equalWidth="0" w:num="2">
            <w:col w:w="2725" w:space="720"/>
            <w:col w:w="6779"/>
          </w:cols>
          <w:pgMar w:left="235" w:top="589" w:right="1440" w:bottom="1440" w:gutter="0" w:footer="0" w:header="0"/>
          <w:type w:val="continuous"/>
        </w:sectPr>
      </w:pPr>
    </w:p>
    <w:p>
      <w:pPr>
        <w:spacing w:after="0" w:line="172" w:lineRule="exact"/>
        <w:rPr>
          <w:sz w:val="24"/>
          <w:szCs w:val="24"/>
          <w:color w:val="auto"/>
        </w:rPr>
      </w:pPr>
    </w:p>
    <w:p>
      <w:pPr>
        <w:jc w:val="center"/>
        <w:ind w:right="2875"/>
        <w:spacing w:after="0"/>
        <w:rPr>
          <w:sz w:val="20"/>
          <w:szCs w:val="20"/>
          <w:color w:val="auto"/>
        </w:rPr>
      </w:pPr>
      <w:r>
        <w:rPr>
          <w:rFonts w:ascii="Courier New" w:cs="Courier New" w:eastAsia="Courier New" w:hAnsi="Courier New"/>
          <w:sz w:val="16"/>
          <w:szCs w:val="16"/>
          <w:color w:val="auto"/>
        </w:rPr>
        <w:t>Micron Technology, Inc.</w:t>
      </w:r>
    </w:p>
    <w:p>
      <w:pPr>
        <w:spacing w:after="0" w:line="4" w:lineRule="exact"/>
        <w:rPr>
          <w:sz w:val="24"/>
          <w:szCs w:val="24"/>
          <w:color w:val="auto"/>
        </w:rPr>
      </w:pPr>
    </w:p>
    <w:p>
      <w:pPr>
        <w:jc w:val="center"/>
        <w:ind w:right="2795"/>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24"/>
          </w:cols>
          <w:pgMar w:left="235" w:top="589" w:right="1440" w:bottom="1440" w:gutter="0" w:footer="0" w:header="0"/>
          <w:type w:val="continuous"/>
        </w:sectPr>
      </w:pPr>
    </w:p>
    <w:p>
      <w:pPr>
        <w:spacing w:after="0" w:line="193" w:lineRule="exact"/>
        <w:rPr>
          <w:sz w:val="24"/>
          <w:szCs w:val="24"/>
          <w:color w:val="auto"/>
        </w:rPr>
      </w:pPr>
    </w:p>
    <w:p>
      <w:pPr>
        <w:ind w:left="1765"/>
        <w:spacing w:after="0"/>
        <w:rPr>
          <w:sz w:val="20"/>
          <w:szCs w:val="20"/>
          <w:color w:val="auto"/>
        </w:rPr>
      </w:pPr>
      <w:r>
        <w:rPr>
          <w:rFonts w:ascii="Courier New" w:cs="Courier New" w:eastAsia="Courier New" w:hAnsi="Courier New"/>
          <w:sz w:val="16"/>
          <w:szCs w:val="16"/>
          <w:color w:val="auto"/>
        </w:rPr>
        <w:t>Delaware</w:t>
      </w:r>
    </w:p>
    <w:p>
      <w:pPr>
        <w:spacing w:after="0" w:line="4" w:lineRule="exact"/>
        <w:rPr>
          <w:sz w:val="24"/>
          <w:szCs w:val="24"/>
          <w:color w:val="auto"/>
        </w:rPr>
      </w:pPr>
    </w:p>
    <w:p>
      <w:pPr>
        <w:ind w:left="845"/>
        <w:spacing w:after="0"/>
        <w:rPr>
          <w:sz w:val="20"/>
          <w:szCs w:val="20"/>
          <w:color w:val="auto"/>
        </w:rPr>
      </w:pPr>
      <w:r>
        <w:rPr>
          <w:rFonts w:ascii="Courier New" w:cs="Courier New" w:eastAsia="Courier New" w:hAnsi="Courier New"/>
          <w:sz w:val="14"/>
          <w:szCs w:val="14"/>
          <w:color w:val="auto"/>
        </w:rPr>
        <w:t>(State or other jurisdiction of</w:t>
      </w:r>
    </w:p>
    <w:p>
      <w:pPr>
        <w:spacing w:after="0" w:line="20" w:lineRule="exact"/>
        <w:rPr>
          <w:sz w:val="24"/>
          <w:szCs w:val="24"/>
          <w:color w:val="auto"/>
        </w:rPr>
      </w:pPr>
    </w:p>
    <w:p>
      <w:pPr>
        <w:ind w:left="845"/>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173" w:lineRule="exact"/>
        <w:rPr>
          <w:sz w:val="24"/>
          <w:szCs w:val="24"/>
          <w:color w:val="auto"/>
        </w:rPr>
      </w:pPr>
    </w:p>
    <w:p>
      <w:pPr>
        <w:ind w:left="180"/>
        <w:spacing w:after="0"/>
        <w:rPr>
          <w:sz w:val="20"/>
          <w:szCs w:val="20"/>
          <w:color w:val="auto"/>
        </w:rPr>
      </w:pPr>
      <w:r>
        <w:rPr>
          <w:rFonts w:ascii="Courier New" w:cs="Courier New" w:eastAsia="Courier New" w:hAnsi="Courier New"/>
          <w:sz w:val="16"/>
          <w:szCs w:val="16"/>
          <w:color w:val="auto"/>
        </w:rPr>
        <w:t>75-1618004</w:t>
      </w:r>
    </w:p>
    <w:p>
      <w:pPr>
        <w:ind w:left="100"/>
        <w:spacing w:after="0" w:line="236" w:lineRule="auto"/>
        <w:rPr>
          <w:sz w:val="20"/>
          <w:szCs w:val="20"/>
          <w:color w:val="auto"/>
        </w:rPr>
      </w:pPr>
      <w:r>
        <w:rPr>
          <w:rFonts w:ascii="Courier New" w:cs="Courier New" w:eastAsia="Courier New" w:hAnsi="Courier New"/>
          <w:sz w:val="16"/>
          <w:szCs w:val="16"/>
          <w:color w:val="auto"/>
        </w:rPr>
        <w:t>(IRS Employer</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199" w:lineRule="exact"/>
        <w:rPr>
          <w:sz w:val="24"/>
          <w:szCs w:val="24"/>
          <w:color w:val="auto"/>
        </w:rPr>
      </w:pPr>
    </w:p>
    <w:p>
      <w:pPr>
        <w:sectPr>
          <w:pgSz w:w="11900" w:h="16838" w:orient="portrait"/>
          <w:cols w:equalWidth="0" w:num="2">
            <w:col w:w="4305" w:space="720"/>
            <w:col w:w="5199"/>
          </w:cols>
          <w:pgMar w:left="235" w:top="589" w:right="1440" w:bottom="1440" w:gutter="0" w:footer="0" w:header="0"/>
          <w:type w:val="continuous"/>
        </w:sectPr>
      </w:pPr>
    </w:p>
    <w:p>
      <w:pPr>
        <w:ind w:left="185" w:right="500" w:hanging="185"/>
        <w:spacing w:after="0" w:line="295" w:lineRule="auto"/>
        <w:rPr>
          <w:sz w:val="20"/>
          <w:szCs w:val="20"/>
          <w:color w:val="auto"/>
        </w:rPr>
      </w:pPr>
      <w:r>
        <w:rPr>
          <w:rFonts w:ascii="Courier New" w:cs="Courier New" w:eastAsia="Courier New" w:hAnsi="Courier New"/>
          <w:sz w:val="14"/>
          <w:szCs w:val="14"/>
          <w:color w:val="auto"/>
        </w:rPr>
        <w:t>8000 S. Federal Way, P.O. Box 6, Boise, Idaho (Address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83707-0006</w:t>
      </w:r>
    </w:p>
    <w:p>
      <w:pPr>
        <w:spacing w:after="0" w:line="2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199" w:lineRule="exact"/>
        <w:rPr>
          <w:sz w:val="24"/>
          <w:szCs w:val="24"/>
          <w:color w:val="auto"/>
        </w:rPr>
      </w:pPr>
    </w:p>
    <w:p>
      <w:pPr>
        <w:sectPr>
          <w:pgSz w:w="11900" w:h="16838" w:orient="portrait"/>
          <w:cols w:equalWidth="0" w:num="2">
            <w:col w:w="4685" w:space="720"/>
            <w:col w:w="4819"/>
          </w:cols>
          <w:pgMar w:left="235" w:top="589" w:right="1440" w:bottom="1440" w:gutter="0" w:footer="0" w:header="0"/>
          <w:type w:val="continuous"/>
        </w:sectPr>
      </w:pPr>
    </w:p>
    <w:p>
      <w:pPr>
        <w:ind w:left="5"/>
        <w:spacing w:after="0"/>
        <w:rPr>
          <w:sz w:val="20"/>
          <w:szCs w:val="20"/>
          <w:color w:val="auto"/>
        </w:rPr>
      </w:pPr>
      <w:r>
        <w:rPr>
          <w:rFonts w:ascii="Courier New" w:cs="Courier New" w:eastAsia="Courier New" w:hAnsi="Courier New"/>
          <w:sz w:val="14"/>
          <w:szCs w:val="14"/>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(208) 368-4000</w:t>
      </w:r>
    </w:p>
    <w:p>
      <w:pPr>
        <w:spacing w:after="0" w:line="193" w:lineRule="exact"/>
        <w:rPr>
          <w:sz w:val="24"/>
          <w:szCs w:val="24"/>
          <w:color w:val="auto"/>
        </w:rPr>
      </w:pPr>
    </w:p>
    <w:p>
      <w:pPr>
        <w:sectPr>
          <w:pgSz w:w="11900" w:h="16838" w:orient="portrait"/>
          <w:cols w:equalWidth="0" w:num="2">
            <w:col w:w="4645" w:space="660"/>
            <w:col w:w="4919"/>
          </w:cols>
          <w:pgMar w:left="235" w:top="589" w:right="1440" w:bottom="1440" w:gutter="0" w:footer="0" w:header="0"/>
          <w:type w:val="continuous"/>
        </w:sectPr>
      </w:pPr>
    </w:p>
    <w:p>
      <w:pPr>
        <w:ind w:left="5"/>
        <w:spacing w:after="0"/>
        <w:rPr>
          <w:sz w:val="20"/>
          <w:szCs w:val="20"/>
          <w:color w:val="auto"/>
        </w:rPr>
      </w:pPr>
      <w:r>
        <w:rPr>
          <w:rFonts w:ascii="Courier New" w:cs="Courier New" w:eastAsia="Courier New" w:hAnsi="Courier New"/>
          <w:sz w:val="16"/>
          <w:szCs w:val="16"/>
          <w:color w:val="auto"/>
        </w:rPr>
        <w:t>Securities registered pursuant to Section 12(b) of the Act:</w:t>
      </w:r>
    </w:p>
    <w:p>
      <w:pPr>
        <w:ind w:left="1125"/>
        <w:spacing w:after="0"/>
        <w:tabs>
          <w:tab w:leader="none" w:pos="4164" w:val="left"/>
        </w:tabs>
        <w:rPr>
          <w:sz w:val="20"/>
          <w:szCs w:val="20"/>
          <w:color w:val="auto"/>
        </w:rPr>
      </w:pPr>
      <w:r>
        <w:rPr>
          <w:rFonts w:ascii="Courier New" w:cs="Courier New" w:eastAsia="Courier New" w:hAnsi="Courier New"/>
          <w:sz w:val="16"/>
          <w:szCs w:val="16"/>
          <w:color w:val="auto"/>
        </w:rPr>
        <w:t>Title of each class</w:t>
      </w:r>
      <w:r>
        <w:rPr>
          <w:sz w:val="20"/>
          <w:szCs w:val="20"/>
          <w:color w:val="auto"/>
        </w:rPr>
        <w:tab/>
      </w:r>
      <w:r>
        <w:rPr>
          <w:rFonts w:ascii="Courier New" w:cs="Courier New" w:eastAsia="Courier New" w:hAnsi="Courier New"/>
          <w:sz w:val="14"/>
          <w:szCs w:val="14"/>
          <w:color w:val="auto"/>
        </w:rPr>
        <w:t>Name of each exchange on which</w:t>
      </w:r>
    </w:p>
    <w:p>
      <w:pPr>
        <w:ind w:left="5"/>
        <w:spacing w:after="0"/>
        <w:tabs>
          <w:tab w:leader="none" w:pos="4344" w:val="left"/>
        </w:tabs>
        <w:rPr>
          <w:sz w:val="20"/>
          <w:szCs w:val="20"/>
          <w:color w:val="auto"/>
        </w:rPr>
      </w:pPr>
      <w:r>
        <w:rPr>
          <w:rFonts w:ascii="Courier New" w:cs="Courier New" w:eastAsia="Courier New" w:hAnsi="Courier New"/>
          <w:sz w:val="16"/>
          <w:szCs w:val="16"/>
          <w:color w:val="auto"/>
        </w:rPr>
        <w:t>Common Stock, par value $.10 per share</w:t>
      </w:r>
      <w:r>
        <w:rPr>
          <w:sz w:val="20"/>
          <w:szCs w:val="20"/>
          <w:color w:val="auto"/>
        </w:rPr>
        <w:tab/>
      </w:r>
      <w:r>
        <w:rPr>
          <w:rFonts w:ascii="Courier New" w:cs="Courier New" w:eastAsia="Courier New" w:hAnsi="Courier New"/>
          <w:sz w:val="14"/>
          <w:szCs w:val="14"/>
          <w:color w:val="auto"/>
        </w:rPr>
        <w:t>registered New York Stock</w:t>
      </w:r>
    </w:p>
    <w:p>
      <w:pPr>
        <w:ind w:left="5125"/>
        <w:spacing w:after="0" w:line="237" w:lineRule="auto"/>
        <w:rPr>
          <w:sz w:val="20"/>
          <w:szCs w:val="20"/>
          <w:color w:val="auto"/>
        </w:rPr>
      </w:pPr>
      <w:r>
        <w:rPr>
          <w:rFonts w:ascii="Courier New" w:cs="Courier New" w:eastAsia="Courier New" w:hAnsi="Courier New"/>
          <w:sz w:val="16"/>
          <w:szCs w:val="16"/>
          <w:color w:val="auto"/>
        </w:rPr>
        <w:t>Exchange</w:t>
      </w:r>
    </w:p>
    <w:p>
      <w:pPr>
        <w:sectPr>
          <w:pgSz w:w="11900" w:h="16838" w:orient="portrait"/>
          <w:cols w:equalWidth="0" w:num="1">
            <w:col w:w="10224"/>
          </w:cols>
          <w:pgMar w:left="235" w:top="589" w:right="1440" w:bottom="1440" w:gutter="0" w:footer="0" w:header="0"/>
          <w:type w:val="continuous"/>
        </w:sectPr>
      </w:pPr>
    </w:p>
    <w:p>
      <w:pPr>
        <w:spacing w:after="0" w:line="177" w:lineRule="exact"/>
        <w:rPr>
          <w:sz w:val="24"/>
          <w:szCs w:val="24"/>
          <w:color w:val="auto"/>
        </w:rPr>
      </w:pPr>
    </w:p>
    <w:p>
      <w:pPr>
        <w:jc w:val="center"/>
        <w:ind w:right="2875"/>
        <w:spacing w:after="0"/>
        <w:rPr>
          <w:sz w:val="20"/>
          <w:szCs w:val="20"/>
          <w:color w:val="auto"/>
        </w:rPr>
      </w:pPr>
      <w:r>
        <w:rPr>
          <w:rFonts w:ascii="Courier New" w:cs="Courier New" w:eastAsia="Courier New" w:hAnsi="Courier New"/>
          <w:sz w:val="16"/>
          <w:szCs w:val="16"/>
          <w:color w:val="auto"/>
        </w:rPr>
        <w:t>Securities registered pursuant to Section 12(g) of the Act:</w:t>
      </w:r>
    </w:p>
    <w:p>
      <w:pPr>
        <w:jc w:val="center"/>
        <w:ind w:right="2955"/>
        <w:spacing w:after="0" w:line="236" w:lineRule="auto"/>
        <w:rPr>
          <w:sz w:val="20"/>
          <w:szCs w:val="20"/>
          <w:color w:val="auto"/>
        </w:rPr>
      </w:pPr>
      <w:r>
        <w:rPr>
          <w:rFonts w:ascii="Courier New" w:cs="Courier New" w:eastAsia="Courier New" w:hAnsi="Courier New"/>
          <w:sz w:val="16"/>
          <w:szCs w:val="16"/>
          <w:color w:val="auto"/>
        </w:rPr>
        <w:t>None</w:t>
      </w:r>
    </w:p>
    <w:p>
      <w:pPr>
        <w:jc w:val="center"/>
        <w:ind w:right="2955"/>
        <w:spacing w:after="0" w:line="237" w:lineRule="auto"/>
        <w:rPr>
          <w:sz w:val="20"/>
          <w:szCs w:val="20"/>
          <w:color w:val="auto"/>
        </w:rPr>
      </w:pPr>
      <w:r>
        <w:rPr>
          <w:rFonts w:ascii="Courier New" w:cs="Courier New" w:eastAsia="Courier New" w:hAnsi="Courier New"/>
          <w:sz w:val="16"/>
          <w:szCs w:val="16"/>
          <w:color w:val="auto"/>
        </w:rPr>
        <w:t>(Title of Class)</w:t>
      </w:r>
    </w:p>
    <w:p>
      <w:pPr>
        <w:spacing w:after="0" w:line="362" w:lineRule="exact"/>
        <w:rPr>
          <w:sz w:val="24"/>
          <w:szCs w:val="24"/>
          <w:color w:val="auto"/>
        </w:rPr>
      </w:pPr>
    </w:p>
    <w:p>
      <w:pPr>
        <w:ind w:left="5" w:right="2959" w:firstLine="186"/>
        <w:spacing w:after="0" w:line="235" w:lineRule="auto"/>
        <w:rPr>
          <w:sz w:val="20"/>
          <w:szCs w:val="20"/>
          <w:color w:val="auto"/>
        </w:rPr>
      </w:pPr>
      <w:r>
        <w:rPr>
          <w:rFonts w:ascii="Courier New" w:cs="Courier New" w:eastAsia="Courier New" w:hAnsi="Courier New"/>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[_]</w:t>
      </w:r>
    </w:p>
    <w:p>
      <w:pPr>
        <w:spacing w:after="0" w:line="186" w:lineRule="exact"/>
        <w:rPr>
          <w:sz w:val="24"/>
          <w:szCs w:val="24"/>
          <w:color w:val="auto"/>
        </w:rPr>
      </w:pPr>
    </w:p>
    <w:p>
      <w:pPr>
        <w:ind w:left="5" w:right="2779" w:firstLine="186"/>
        <w:spacing w:after="0" w:line="235" w:lineRule="auto"/>
        <w:rPr>
          <w:sz w:val="20"/>
          <w:szCs w:val="20"/>
          <w:color w:val="auto"/>
        </w:rPr>
      </w:pPr>
      <w:r>
        <w:rPr>
          <w:rFonts w:ascii="Courier New" w:cs="Courier New" w:eastAsia="Courier New" w:hAnsi="Courier New"/>
          <w:sz w:val="16"/>
          <w:szCs w:val="16"/>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186" w:lineRule="exact"/>
        <w:rPr>
          <w:sz w:val="24"/>
          <w:szCs w:val="24"/>
          <w:color w:val="auto"/>
        </w:rPr>
      </w:pPr>
    </w:p>
    <w:p>
      <w:pPr>
        <w:ind w:left="5" w:right="2879" w:firstLine="186"/>
        <w:spacing w:after="0" w:line="274" w:lineRule="auto"/>
        <w:rPr>
          <w:sz w:val="20"/>
          <w:szCs w:val="20"/>
          <w:color w:val="auto"/>
        </w:rPr>
      </w:pPr>
      <w:r>
        <w:rPr>
          <w:rFonts w:ascii="Courier New" w:cs="Courier New" w:eastAsia="Courier New" w:hAnsi="Courier New"/>
          <w:sz w:val="14"/>
          <w:szCs w:val="14"/>
          <w:color w:val="auto"/>
        </w:rPr>
        <w:t>The aggregate market value of the voting stock held by nonaffiliates of the registrant, based upon the closing price of such stock on September 2, 1999, as reported by the New York Stock Exchange, was approximately $13.4 billion. Shares of common stock held by each officer and director and by each person who owns 5% or more of the outstanding common stock have been excluded in that such persons may be deemed to be affiliates. This determination of affiliate status is not necessarily a conclusive determination for other purposes.</w:t>
      </w:r>
    </w:p>
    <w:p>
      <w:pPr>
        <w:spacing w:after="0" w:line="164" w:lineRule="exact"/>
        <w:rPr>
          <w:sz w:val="24"/>
          <w:szCs w:val="24"/>
          <w:color w:val="auto"/>
        </w:rPr>
      </w:pPr>
    </w:p>
    <w:p>
      <w:pPr>
        <w:ind w:left="5" w:right="2959" w:firstLine="186"/>
        <w:spacing w:after="0" w:line="235" w:lineRule="auto"/>
        <w:rPr>
          <w:sz w:val="20"/>
          <w:szCs w:val="20"/>
          <w:color w:val="auto"/>
        </w:rPr>
      </w:pPr>
      <w:r>
        <w:rPr>
          <w:rFonts w:ascii="Courier New" w:cs="Courier New" w:eastAsia="Courier New" w:hAnsi="Courier New"/>
          <w:sz w:val="16"/>
          <w:szCs w:val="16"/>
          <w:color w:val="auto"/>
        </w:rPr>
        <w:t>The number of outstanding shares of the registrant's common stock as of October 29, 1999, was 253,628,373 shares of common stock and 15,810,277 shares of Class A Common Stock.</w:t>
      </w:r>
    </w:p>
    <w:p>
      <w:pPr>
        <w:spacing w:after="0" w:line="177" w:lineRule="exact"/>
        <w:rPr>
          <w:sz w:val="24"/>
          <w:szCs w:val="24"/>
          <w:color w:val="auto"/>
        </w:rPr>
      </w:pPr>
    </w:p>
    <w:p>
      <w:pPr>
        <w:ind w:left="2045"/>
        <w:spacing w:after="0"/>
        <w:rPr>
          <w:sz w:val="20"/>
          <w:szCs w:val="20"/>
          <w:color w:val="auto"/>
        </w:rPr>
      </w:pPr>
      <w:r>
        <w:rPr>
          <w:rFonts w:ascii="Courier New" w:cs="Courier New" w:eastAsia="Courier New" w:hAnsi="Courier New"/>
          <w:sz w:val="16"/>
          <w:szCs w:val="16"/>
          <w:color w:val="auto"/>
        </w:rPr>
        <w:t>DOCUMENTS INCORPORATED BY REFERENCE</w:t>
      </w:r>
    </w:p>
    <w:p>
      <w:pPr>
        <w:spacing w:after="0" w:line="183" w:lineRule="exact"/>
        <w:rPr>
          <w:sz w:val="24"/>
          <w:szCs w:val="24"/>
          <w:color w:val="auto"/>
        </w:rPr>
      </w:pPr>
    </w:p>
    <w:p>
      <w:pPr>
        <w:ind w:left="5" w:right="2879" w:firstLine="186"/>
        <w:spacing w:after="0" w:line="235" w:lineRule="auto"/>
        <w:rPr>
          <w:sz w:val="20"/>
          <w:szCs w:val="20"/>
          <w:color w:val="auto"/>
        </w:rPr>
      </w:pPr>
      <w:r>
        <w:rPr>
          <w:rFonts w:ascii="Courier New" w:cs="Courier New" w:eastAsia="Courier New" w:hAnsi="Courier New"/>
          <w:sz w:val="16"/>
          <w:szCs w:val="16"/>
          <w:color w:val="auto"/>
        </w:rPr>
        <w:t>Portions of the Proxy Statement for registrant's 1999 Annual Meeting of Shareholders to be held on January 18, 2000, are incorporated by reference into Part III of this Annual Report on Form 10-K.</w:t>
      </w:r>
    </w:p>
    <w:p>
      <w:pPr>
        <w:spacing w:after="0" w:line="356" w:lineRule="exact"/>
        <w:rPr>
          <w:sz w:val="24"/>
          <w:szCs w:val="24"/>
          <w:color w:val="auto"/>
        </w:rPr>
      </w:pPr>
    </w:p>
    <w:p>
      <w:pPr>
        <w:ind w:left="3445"/>
        <w:spacing w:after="0"/>
        <w:rPr>
          <w:sz w:val="20"/>
          <w:szCs w:val="20"/>
          <w:color w:val="auto"/>
        </w:rPr>
      </w:pPr>
      <w:r>
        <w:rPr>
          <w:rFonts w:ascii="Courier New" w:cs="Courier New" w:eastAsia="Courier New" w:hAnsi="Courier New"/>
          <w:sz w:val="16"/>
          <w:szCs w:val="16"/>
          <w:color w:val="auto"/>
        </w:rPr>
        <w:t>1/57</w:t>
      </w:r>
    </w:p>
    <w:p>
      <w:pPr>
        <w:sectPr>
          <w:pgSz w:w="11900" w:h="16838" w:orient="portrait"/>
          <w:cols w:equalWidth="0" w:num="1">
            <w:col w:w="10224"/>
          </w:cols>
          <w:pgMar w:left="235" w:top="589" w:right="1440" w:bottom="1440" w:gutter="0" w:footer="0" w:header="0"/>
          <w:type w:val="continuous"/>
        </w:sectPr>
      </w:pPr>
    </w:p>
    <w:bookmarkStart w:id="1" w:name="page2"/>
    <w:bookmarkEnd w:id="1"/>
    <w:p>
      <w:pPr>
        <w:ind w:left="3440"/>
        <w:spacing w:after="0"/>
        <w:rPr>
          <w:sz w:val="20"/>
          <w:szCs w:val="20"/>
          <w:color w:val="auto"/>
        </w:rPr>
      </w:pPr>
      <w:r>
        <w:rPr>
          <w:rFonts w:ascii="Courier New" w:cs="Courier New" w:eastAsia="Courier New" w:hAnsi="Courier New"/>
          <w:sz w:val="16"/>
          <w:szCs w:val="16"/>
          <w:color w:val="auto"/>
        </w:rPr>
        <w:t>PART I</w:t>
      </w:r>
    </w:p>
    <w:p>
      <w:pPr>
        <w:spacing w:after="0" w:line="177"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Item 1.</w:t>
      </w:r>
      <w:r>
        <w:rPr>
          <w:sz w:val="20"/>
          <w:szCs w:val="20"/>
          <w:color w:val="auto"/>
        </w:rPr>
        <w:tab/>
      </w:r>
      <w:r>
        <w:rPr>
          <w:rFonts w:ascii="Courier New" w:cs="Courier New" w:eastAsia="Courier New" w:hAnsi="Courier New"/>
          <w:sz w:val="14"/>
          <w:szCs w:val="14"/>
          <w:color w:val="auto"/>
        </w:rPr>
        <w:t>Business</w:t>
      </w:r>
    </w:p>
    <w:p>
      <w:pPr>
        <w:spacing w:after="0" w:line="183" w:lineRule="exact"/>
        <w:rPr>
          <w:sz w:val="20"/>
          <w:szCs w:val="20"/>
          <w:color w:val="auto"/>
        </w:rPr>
      </w:pPr>
    </w:p>
    <w:p>
      <w:pPr>
        <w:ind w:right="2779" w:firstLine="186"/>
        <w:spacing w:after="0" w:line="272" w:lineRule="auto"/>
        <w:rPr>
          <w:sz w:val="20"/>
          <w:szCs w:val="20"/>
          <w:color w:val="auto"/>
        </w:rPr>
      </w:pPr>
      <w:r>
        <w:rPr>
          <w:rFonts w:ascii="Courier New" w:cs="Courier New" w:eastAsia="Courier New" w:hAnsi="Courier New"/>
          <w:sz w:val="14"/>
          <w:szCs w:val="14"/>
          <w:color w:val="auto"/>
        </w:rPr>
        <w:t>The following discussion may contain trend information and other forward-looking statements (including, for example, statements regarding future operating results, future capital expenditures and facility expansion, new product introductions, technological developments and industry trends) that involve a number of risks and uncertainties. The Company's actual results could differ materially from the Company's historical results of operations and those discussed in the forward-looking statements. Factors that could cause actual results to differ materially include, but are not limited to, those identified in "Item 7. Management's Discussion and Analysis of Financial Condition and Results of Operations - Certain Factors." All period references are to the Company's fiscal periods ended September 2, 1999, September 3, 1998, or August 28, 1997, unless otherwise indicated. All 1998 and 1997 financial data of the Company has been restated to include the results of operations of Rendition, Inc., which was merged into the Company on September 11, 1998.</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w:t>
      </w:r>
    </w:p>
    <w:p>
      <w:pPr>
        <w:spacing w:after="0" w:line="183" w:lineRule="exact"/>
        <w:rPr>
          <w:sz w:val="20"/>
          <w:szCs w:val="20"/>
          <w:color w:val="auto"/>
        </w:rPr>
      </w:pPr>
    </w:p>
    <w:p>
      <w:pPr>
        <w:ind w:right="3239" w:firstLine="186"/>
        <w:spacing w:after="0" w:line="236" w:lineRule="auto"/>
        <w:rPr>
          <w:sz w:val="20"/>
          <w:szCs w:val="20"/>
          <w:color w:val="auto"/>
        </w:rPr>
      </w:pPr>
      <w:r>
        <w:rPr>
          <w:rFonts w:ascii="Courier New" w:cs="Courier New" w:eastAsia="Courier New" w:hAnsi="Courier New"/>
          <w:sz w:val="16"/>
          <w:szCs w:val="16"/>
          <w:color w:val="auto"/>
        </w:rPr>
        <w:t>Micron Technology, Inc. and its subsidiaries (hereinafter referred to collectively as the "Company") principally design, develop, manufacture and market semiconductor memory products and personal computer ("PC") systems. Micron Technology, Inc. and its wholly-owned subsidiaries are hereinafter referred to collectively as "MTI." The Company's PC operations are operated through Micron Electronics, Inc. ("MEI"), a 63% owned, publicly-traded subsidiary of MTI.</w:t>
      </w:r>
    </w:p>
    <w:p>
      <w:pPr>
        <w:spacing w:after="0" w:line="184" w:lineRule="exact"/>
        <w:rPr>
          <w:sz w:val="20"/>
          <w:szCs w:val="20"/>
          <w:color w:val="auto"/>
        </w:rPr>
      </w:pPr>
    </w:p>
    <w:p>
      <w:pPr>
        <w:ind w:right="2879" w:firstLine="186"/>
        <w:spacing w:after="0" w:line="236" w:lineRule="auto"/>
        <w:rPr>
          <w:sz w:val="20"/>
          <w:szCs w:val="20"/>
          <w:color w:val="auto"/>
        </w:rPr>
      </w:pPr>
      <w:r>
        <w:rPr>
          <w:rFonts w:ascii="Courier New" w:cs="Courier New" w:eastAsia="Courier New" w:hAnsi="Courier New"/>
          <w:sz w:val="16"/>
          <w:szCs w:val="16"/>
          <w:color w:val="auto"/>
        </w:rPr>
        <w:t>On September 30, 1998, MTI completed the acquisition of substantially all of the semiconductor memory operations of Texas Instruments Incorporated ("TI"). As a result of the acquisition, the Company now operates a fabrication facility in Avezzano, Italy, an assembly and test facility in Singapore and a design engineering center in Richardson, Texas. MTI also has interests in two joint venture wafer fabrication facilities in Singapore and Japan. The Company's results of operations for fiscal 1999 reflect eleven months results of operations for the acquired operations.</w:t>
      </w:r>
    </w:p>
    <w:p>
      <w:pPr>
        <w:spacing w:after="0" w:line="184" w:lineRule="exact"/>
        <w:rPr>
          <w:sz w:val="20"/>
          <w:szCs w:val="20"/>
          <w:color w:val="auto"/>
        </w:rPr>
      </w:pPr>
    </w:p>
    <w:p>
      <w:pPr>
        <w:ind w:right="2879" w:firstLine="186"/>
        <w:spacing w:after="0" w:line="270" w:lineRule="auto"/>
        <w:rPr>
          <w:sz w:val="20"/>
          <w:szCs w:val="20"/>
          <w:color w:val="auto"/>
        </w:rPr>
      </w:pPr>
      <w:r>
        <w:rPr>
          <w:rFonts w:ascii="Courier New" w:cs="Courier New" w:eastAsia="Courier New" w:hAnsi="Courier New"/>
          <w:sz w:val="14"/>
          <w:szCs w:val="14"/>
          <w:color w:val="auto"/>
        </w:rPr>
        <w:t>MTI, a Delaware corporation, was incorporated in 1978. MTI's executive offices are located at 8000 South Federal Way, Boise, Idaho 83716-9632 and its telephone number is (208) 368-4000. MEI's executive offices are located at 900 East Karcher Road, Nampa, Idaho 83687-3045 and its telephone number is (208)</w:t>
      </w:r>
    </w:p>
    <w:p>
      <w:pPr>
        <w:spacing w:after="0" w:line="234" w:lineRule="auto"/>
        <w:rPr>
          <w:sz w:val="20"/>
          <w:szCs w:val="20"/>
          <w:color w:val="auto"/>
        </w:rPr>
      </w:pPr>
      <w:r>
        <w:rPr>
          <w:rFonts w:ascii="Courier New" w:cs="Courier New" w:eastAsia="Courier New" w:hAnsi="Courier New"/>
          <w:sz w:val="16"/>
          <w:szCs w:val="16"/>
          <w:color w:val="auto"/>
        </w:rPr>
        <w:t>898-3434.</w:t>
      </w:r>
    </w:p>
    <w:p>
      <w:pPr>
        <w:spacing w:after="0" w:line="183" w:lineRule="exact"/>
        <w:rPr>
          <w:sz w:val="20"/>
          <w:szCs w:val="20"/>
          <w:color w:val="auto"/>
        </w:rPr>
      </w:pPr>
    </w:p>
    <w:p>
      <w:pPr>
        <w:ind w:right="2779" w:firstLine="186"/>
        <w:spacing w:after="0" w:line="236" w:lineRule="auto"/>
        <w:rPr>
          <w:sz w:val="20"/>
          <w:szCs w:val="20"/>
          <w:color w:val="auto"/>
        </w:rPr>
      </w:pPr>
      <w:r>
        <w:rPr>
          <w:rFonts w:ascii="Courier New" w:cs="Courier New" w:eastAsia="Courier New" w:hAnsi="Courier New"/>
          <w:sz w:val="16"/>
          <w:szCs w:val="16"/>
          <w:color w:val="auto"/>
        </w:rPr>
        <w:t>In connection with the preparation of its Consolidated Financial Statements for 1999, the Company implemented a recently issued accounting standard which calls for information regarding the Company's operations to be reported by segments. The Company is organized into two primary operating segments pursuant to its primary product categories: "Semiconductor operations" and "PC operations." Reference is made to the information regarding net sales, operating profit and identifiable assets by reportable segments and net sales by geographic region, under the heading "Operating Segment and Geographic Information" in the "Notes to Consolidated Financial Statements."</w:t>
      </w:r>
    </w:p>
    <w:p>
      <w:pPr>
        <w:spacing w:after="0" w:line="35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Products and Services</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Semiconductor operations</w:t>
      </w:r>
    </w:p>
    <w:p>
      <w:pPr>
        <w:spacing w:after="0" w:line="183" w:lineRule="exact"/>
        <w:rPr>
          <w:sz w:val="20"/>
          <w:szCs w:val="20"/>
          <w:color w:val="auto"/>
        </w:rPr>
      </w:pPr>
    </w:p>
    <w:p>
      <w:pPr>
        <w:ind w:right="2959" w:firstLine="186"/>
        <w:spacing w:after="0" w:line="236" w:lineRule="auto"/>
        <w:rPr>
          <w:sz w:val="20"/>
          <w:szCs w:val="20"/>
          <w:color w:val="auto"/>
        </w:rPr>
      </w:pPr>
      <w:r>
        <w:rPr>
          <w:rFonts w:ascii="Courier New" w:cs="Courier New" w:eastAsia="Courier New" w:hAnsi="Courier New"/>
          <w:sz w:val="16"/>
          <w:szCs w:val="16"/>
          <w:color w:val="auto"/>
        </w:rPr>
        <w:t>The Company's semiconductor operations focus primarily on the design, development and manufacture of leading edge semiconductor memory products. In recent periods, the Company's customers have demanded a wider variety of packaging and configuration options, architectures and performance characteristics to meet their particular needs. Industry experts expect this proliferation of products to continue as technological advances in the PC and electronics industries require different memory solutions.</w:t>
      </w:r>
    </w:p>
    <w:p>
      <w:pPr>
        <w:spacing w:after="0" w:line="184" w:lineRule="exact"/>
        <w:rPr>
          <w:sz w:val="20"/>
          <w:szCs w:val="20"/>
          <w:color w:val="auto"/>
        </w:rPr>
      </w:pPr>
    </w:p>
    <w:p>
      <w:pPr>
        <w:jc w:val="both"/>
        <w:ind w:right="3339" w:firstLine="465"/>
        <w:spacing w:after="0" w:line="235" w:lineRule="auto"/>
        <w:rPr>
          <w:sz w:val="20"/>
          <w:szCs w:val="20"/>
          <w:color w:val="auto"/>
        </w:rPr>
      </w:pPr>
      <w:r>
        <w:rPr>
          <w:rFonts w:ascii="Courier New" w:cs="Courier New" w:eastAsia="Courier New" w:hAnsi="Courier New"/>
          <w:sz w:val="16"/>
          <w:szCs w:val="16"/>
          <w:color w:val="auto"/>
        </w:rPr>
        <w:t>Dynamic Random Access Memory ("DRAM"). DRAM is the Company's primary semiconductor memory product. A DRAM is a high density, low-cost-per-bit, random access memory component which stores digital</w:t>
      </w:r>
    </w:p>
    <w:p>
      <w:pPr>
        <w:spacing w:after="0" w:line="177"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2/57</w:t>
      </w:r>
    </w:p>
    <w:p>
      <w:pPr>
        <w:sectPr>
          <w:pgSz w:w="11900" w:h="16838" w:orient="portrait"/>
          <w:cols w:equalWidth="0" w:num="1">
            <w:col w:w="10219"/>
          </w:cols>
          <w:pgMar w:left="240" w:top="648" w:right="1440" w:bottom="1440" w:gutter="0" w:footer="0" w:header="0"/>
        </w:sectPr>
      </w:pPr>
    </w:p>
    <w:bookmarkStart w:id="2" w:name="page3"/>
    <w:bookmarkEnd w:id="2"/>
    <w:p>
      <w:pPr>
        <w:ind w:right="2779"/>
        <w:spacing w:after="0" w:line="236" w:lineRule="auto"/>
        <w:rPr>
          <w:sz w:val="20"/>
          <w:szCs w:val="20"/>
          <w:color w:val="auto"/>
        </w:rPr>
      </w:pPr>
      <w:r>
        <w:rPr>
          <w:rFonts w:ascii="Courier New" w:cs="Courier New" w:eastAsia="Courier New" w:hAnsi="Courier New"/>
          <w:sz w:val="16"/>
          <w:szCs w:val="16"/>
          <w:color w:val="auto"/>
        </w:rPr>
        <w:t>information in the form of bits and provides high-speed storage and retrieval of data. DRAMs are the most widely used semiconductor memory component in PC systems. The DRAM market is diversifying, with customers demanding specific memory solutions to meet their particular memory needs. The Company is committed to offering customers multiple DRAM solutions and maintaining long-term support of those solutions. DRAM sales (exclusive of intersegment sales) represented approximately 64%, 42% and 45% of the Company's total net sales in 1999, 1998 and 1997, respectively.</w:t>
      </w:r>
    </w:p>
    <w:p>
      <w:pPr>
        <w:spacing w:after="0" w:line="184"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Synchronous DRAMs ("SDRAMs") are memory components which operate faster than standard DRAMs, due in part to the addition of a clock input that synchronizes all operations and allows PC systems to transfer data at faster rates, allowing subsystems to maintain pace with high speed CPUs and graphics engines. The Company's primary product during 1999 was the 64 Meg SDRAM, available in multiple configurations, speeds and package types. The Company is in the process of ramping volume production of the 128 Meg SDRAM and expects to transition to the 128 Meg SDRAM as its primary product by the end of calendar 2000. The Company offers PC100 and PC133 64 Meg and 128 Meg SDRAMs. These devices, which in some cases have the same functionality as higher bandwidth DRAMS, are primarily used in high-performance PCs. PC133 is a faster speed grade SDRAM and is a cost-effective, incremental technology improvement over PC100.</w:t>
      </w:r>
    </w:p>
    <w:p>
      <w:pPr>
        <w:spacing w:after="0" w:line="188"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Company has developed higher bandwidth DRAM products such as Double Date Rate ("DDR") SDRAM and Direct Rambus(TM) DRAM ("RDRAM(R)"). DDR SDRAM is a wide-bus memory solution that leverages off of existing SDRAM technology by supporting data transfers on both edges of each clock cycle effectively doubling the memory chip's data throughput. The Company anticipates that DDR SDRAM will be widely used in high-end server, workstation and desktop applications. The Company expects to offer DDR SDRAM in 64 Meg and 128 Meg configurations in fiscal 2000. RDRAM is a technology that uses a narrow bus, high speed memory interface and is expected to be used in high-performance PC applications and servers. The Company announced sampling of RDRAM products in August 1999 and expects to be positioned to meet the demand for RDRAM as the market for RDRAM develops.</w:t>
      </w:r>
    </w:p>
    <w:p>
      <w:pPr>
        <w:spacing w:after="0" w:line="187" w:lineRule="exact"/>
        <w:rPr>
          <w:sz w:val="20"/>
          <w:szCs w:val="20"/>
          <w:color w:val="auto"/>
        </w:rPr>
      </w:pPr>
    </w:p>
    <w:p>
      <w:pPr>
        <w:ind w:right="2959" w:firstLine="465"/>
        <w:spacing w:after="0" w:line="283" w:lineRule="auto"/>
        <w:rPr>
          <w:sz w:val="20"/>
          <w:szCs w:val="20"/>
          <w:color w:val="auto"/>
        </w:rPr>
      </w:pPr>
      <w:r>
        <w:rPr>
          <w:rFonts w:ascii="Courier New" w:cs="Courier New" w:eastAsia="Courier New" w:hAnsi="Courier New"/>
          <w:sz w:val="14"/>
          <w:szCs w:val="14"/>
          <w:color w:val="auto"/>
        </w:rPr>
        <w:t>The Company continues to produce lower bandwidth DRAM products such as extended data out ("EDO") and fast page mode ("FPM") and earlier generation products such as the 16 Meg DRAM in order to support major OEM customer needs.</w:t>
      </w:r>
    </w:p>
    <w:p>
      <w:pPr>
        <w:spacing w:after="0" w:line="155"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Other Semiconductor Memory Products. Other semiconductor memory products produced by the Company include Static Random Access Memory ("SRAM") and Flash ("Flash") memory devices. SRAM is a semiconductor device which performs memory functions much the same as DRAM, but does not require memory cells to be electronically refreshed and operates faster than DRAM. The Company produces SRAMs for the high-performance, or "Very Fast," sector which are used in applications that require a "buffer" or "cache" of high speed memory between the CPU and main DRAM memory. Flash components are non-volatile semiconductor devices that retain memory content when the power is turned off and are electrically erasable and reprogrammable. Flash devices are used in digital cellular phones, networking applications, workstations, servers and PCs. Sales of SRAM and Flash products together represented less than 3% of the Company's total net sales in each of 1999, 1998 and 1997.</w:t>
      </w:r>
    </w:p>
    <w:p>
      <w:pPr>
        <w:spacing w:after="0" w:line="181"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PC operations</w:t>
      </w:r>
    </w:p>
    <w:p>
      <w:pPr>
        <w:spacing w:after="0" w:line="183" w:lineRule="exact"/>
        <w:rPr>
          <w:sz w:val="20"/>
          <w:szCs w:val="20"/>
          <w:color w:val="auto"/>
        </w:rPr>
      </w:pPr>
    </w:p>
    <w:p>
      <w:pPr>
        <w:ind w:right="2779" w:firstLine="465"/>
        <w:spacing w:after="0" w:line="274" w:lineRule="auto"/>
        <w:rPr>
          <w:sz w:val="20"/>
          <w:szCs w:val="20"/>
          <w:color w:val="auto"/>
        </w:rPr>
      </w:pPr>
      <w:r>
        <w:rPr>
          <w:rFonts w:ascii="Courier New" w:cs="Courier New" w:eastAsia="Courier New" w:hAnsi="Courier New"/>
          <w:sz w:val="14"/>
          <w:szCs w:val="14"/>
          <w:color w:val="auto"/>
        </w:rPr>
        <w:t>PC Systems and Services. The Company's PC operations develop, market, manufacture, sell and support a wide range of desktop and notebook PC systems and network servers and sell, resell and support a variety of additional peripherals, software and services. These PC systems use microprocessors manufactured by Intel Corporation ("Intel"). The Company's PC systems are assembled to order with differing processing and memory configurations as well as various operating systems and application software. The Company's Mservices(TM) line is a portfolio of enhanced support and professional services.</w:t>
      </w:r>
    </w:p>
    <w:p>
      <w:pPr>
        <w:spacing w:after="0" w:line="162"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Company's current product lines include: the high-performance Millennia line of PC systems targeted for consumer, business and government users; the ClientPro(TM), which is a scalable and affordable line of managed PCs designed as a network solution for businesses demanding computing stability and performance; the Transport Trek2(TM) notebook, designed for affordable desktop-like performance for business applications; the TransPort NX, designed for ultimate desktop-like performance for small business and Small-Office-Home-Office "SOHO" applications and NetFRAME(R) series workgroup servers which provide server solutions specifically</w:t>
      </w:r>
    </w:p>
    <w:p>
      <w:pPr>
        <w:spacing w:after="0" w:line="179"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3/57</w:t>
      </w:r>
    </w:p>
    <w:p>
      <w:pPr>
        <w:sectPr>
          <w:pgSz w:w="11900" w:h="16838" w:orient="portrait"/>
          <w:cols w:equalWidth="0" w:num="1">
            <w:col w:w="10219"/>
          </w:cols>
          <w:pgMar w:left="240" w:top="654" w:right="1440" w:bottom="1440" w:gutter="0" w:footer="0" w:header="0"/>
        </w:sectPr>
      </w:pPr>
    </w:p>
    <w:bookmarkStart w:id="3" w:name="page4"/>
    <w:bookmarkEnd w:id="3"/>
    <w:p>
      <w:pPr>
        <w:ind w:right="2959"/>
        <w:spacing w:after="0" w:line="235" w:lineRule="auto"/>
        <w:rPr>
          <w:sz w:val="20"/>
          <w:szCs w:val="20"/>
          <w:color w:val="auto"/>
        </w:rPr>
      </w:pPr>
      <w:r>
        <w:rPr>
          <w:rFonts w:ascii="Courier New" w:cs="Courier New" w:eastAsia="Courier New" w:hAnsi="Courier New"/>
          <w:sz w:val="16"/>
          <w:szCs w:val="16"/>
          <w:color w:val="auto"/>
        </w:rPr>
        <w:t>designed for small to medium sized businesses and for decentralized remote locations and departments. Net sales of PC systems (exclusive of intersegment sales) represented 33%, 49% and 43% of the Company's total net sales for 1999, 1998 and 1997, respectively.</w:t>
      </w:r>
    </w:p>
    <w:p>
      <w:pPr>
        <w:spacing w:after="0" w:line="185" w:lineRule="exact"/>
        <w:rPr>
          <w:sz w:val="20"/>
          <w:szCs w:val="20"/>
          <w:color w:val="auto"/>
        </w:rPr>
      </w:pPr>
    </w:p>
    <w:p>
      <w:pPr>
        <w:ind w:right="2959" w:firstLine="465"/>
        <w:spacing w:after="0" w:line="236" w:lineRule="auto"/>
        <w:rPr>
          <w:sz w:val="20"/>
          <w:szCs w:val="20"/>
          <w:color w:val="auto"/>
        </w:rPr>
      </w:pPr>
      <w:r>
        <w:rPr>
          <w:rFonts w:ascii="Courier New" w:cs="Courier New" w:eastAsia="Courier New" w:hAnsi="Courier New"/>
          <w:sz w:val="16"/>
          <w:szCs w:val="16"/>
          <w:color w:val="auto"/>
        </w:rPr>
        <w:t>E-Services. The Company offers a variety of e-services to its customers. Through Micron Internet Services, the Company provides internet access, including integrated information systems solutions encompassing data, video, voice and software applications. Through HostPro, the Company offers a full range of web-hosting services ranging from e-commerce solutions to multimedia technologies.</w:t>
      </w:r>
    </w:p>
    <w:p>
      <w:pPr>
        <w:spacing w:after="0" w:line="183" w:lineRule="exact"/>
        <w:rPr>
          <w:sz w:val="20"/>
          <w:szCs w:val="20"/>
          <w:color w:val="auto"/>
        </w:rPr>
      </w:pPr>
    </w:p>
    <w:p>
      <w:pPr>
        <w:ind w:right="3059" w:firstLine="465"/>
        <w:spacing w:after="0" w:line="236" w:lineRule="auto"/>
        <w:rPr>
          <w:sz w:val="20"/>
          <w:szCs w:val="20"/>
          <w:color w:val="auto"/>
        </w:rPr>
      </w:pPr>
      <w:r>
        <w:rPr>
          <w:rFonts w:ascii="Courier New" w:cs="Courier New" w:eastAsia="Courier New" w:hAnsi="Courier New"/>
          <w:sz w:val="16"/>
          <w:szCs w:val="16"/>
          <w:color w:val="auto"/>
        </w:rPr>
        <w:t>Subsequent to the end to the fiscal year, the Company's PC operations announced the introduction of "Subscription Computing." Through Subscription Computing, customers receive one monthly bill for a customized combination of hardware, hardware and software services, internet access, web hosting and e-commerce services. The Company anticipates making significant strategic investments during fiscal 2000 in support of e-services and Subscription Computing.</w:t>
      </w: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Manufacturing</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Semiconductor operations</w:t>
      </w:r>
    </w:p>
    <w:p>
      <w:pPr>
        <w:spacing w:after="0" w:line="183" w:lineRule="exact"/>
        <w:rPr>
          <w:sz w:val="20"/>
          <w:szCs w:val="20"/>
          <w:color w:val="auto"/>
        </w:rPr>
      </w:pPr>
    </w:p>
    <w:p>
      <w:pPr>
        <w:ind w:right="2779" w:firstLine="186"/>
        <w:spacing w:after="0" w:line="236" w:lineRule="auto"/>
        <w:rPr>
          <w:sz w:val="20"/>
          <w:szCs w:val="20"/>
          <w:color w:val="auto"/>
        </w:rPr>
      </w:pPr>
      <w:r>
        <w:rPr>
          <w:rFonts w:ascii="Courier New" w:cs="Courier New" w:eastAsia="Courier New" w:hAnsi="Courier New"/>
          <w:sz w:val="16"/>
          <w:szCs w:val="16"/>
          <w:color w:val="auto"/>
        </w:rPr>
        <w:t>The Company is a global leader in the manufacture of semiconductor memory products. The Company's manufacturing process technology is developed at its research and development wafer fabrication facility in Boise, Idaho and then deployed to its two manufacturing fabs in Boise, its Avezzano, Italy fab and its two joint venture fabs, TECH Semiconductor Singapore Pte. Ltd. ("TECH") and KMT Semiconductor Limited ("KMT"). (TECH and KMT are collectively referred to herein as the "JVs.") The Company focuses on developing leading edge manufacturing processes that maximize throughput of high quality memory components.</w:t>
      </w:r>
    </w:p>
    <w:p>
      <w:pPr>
        <w:spacing w:after="0" w:line="185" w:lineRule="exact"/>
        <w:rPr>
          <w:sz w:val="20"/>
          <w:szCs w:val="20"/>
          <w:color w:val="auto"/>
        </w:rPr>
      </w:pPr>
    </w:p>
    <w:p>
      <w:pPr>
        <w:ind w:right="2779" w:firstLine="186"/>
        <w:spacing w:after="0" w:line="272" w:lineRule="auto"/>
        <w:rPr>
          <w:sz w:val="20"/>
          <w:szCs w:val="20"/>
          <w:color w:val="auto"/>
        </w:rPr>
      </w:pPr>
      <w:r>
        <w:rPr>
          <w:rFonts w:ascii="Courier New" w:cs="Courier New" w:eastAsia="Courier New" w:hAnsi="Courier New"/>
          <w:sz w:val="14"/>
          <w:szCs w:val="14"/>
          <w:color w:val="auto"/>
        </w:rPr>
        <w:t>The manufacturing of the Company's semiconductor products is a complex process and involves a number of precise steps, including wafer fabrication, assembly, burn-in and final test. Efficient production of the Company's semiconductor memory products requires utilization of advanced semiconductor manufacturing techniques and the effective deployment of these techniques across multiple facilities. Cost per unit is primarily a function of die size (since the potential number of good die per wafer increases with reduced die size), number of mask layers, the yield of acceptable die produced on each wafer and labor productivity. Product costs are also affected by MTI's arrangements with the JVs, including supply agreements which allow MTI to purchase JV products at a discount to its average selling prices. Other factors which contribute to manufacturing costs are wafer size, number of fabrication steps, cost and sophistication of the manufacturing equipment, equipment utilization, process complexity, package type and cleanliness. The Company is continuously enhancing its production processes, reducing the die size of existing products and increasing capacity utilization throughout its worldwide operations. The Company is in the process of transferring its .18 micron(u) product and process technology capability to Avezzano, TECH and KMT and expects the transfer to be substantially complete by the end of calendar 1999.</w:t>
      </w:r>
    </w:p>
    <w:p>
      <w:pPr>
        <w:spacing w:after="0" w:line="200" w:lineRule="exact"/>
        <w:rPr>
          <w:sz w:val="20"/>
          <w:szCs w:val="20"/>
          <w:color w:val="auto"/>
        </w:rPr>
      </w:pPr>
    </w:p>
    <w:p>
      <w:pPr>
        <w:spacing w:after="0" w:line="322" w:lineRule="exact"/>
        <w:rPr>
          <w:sz w:val="20"/>
          <w:szCs w:val="20"/>
          <w:color w:val="auto"/>
        </w:rPr>
      </w:pPr>
    </w:p>
    <w:p>
      <w:pPr>
        <w:ind w:right="2779" w:firstLine="186"/>
        <w:spacing w:after="0" w:line="236" w:lineRule="auto"/>
        <w:rPr>
          <w:sz w:val="20"/>
          <w:szCs w:val="20"/>
          <w:color w:val="auto"/>
        </w:rPr>
      </w:pPr>
      <w:r>
        <w:rPr>
          <w:rFonts w:ascii="Courier New" w:cs="Courier New" w:eastAsia="Courier New" w:hAnsi="Courier New"/>
          <w:sz w:val="16"/>
          <w:szCs w:val="16"/>
          <w:color w:val="auto"/>
        </w:rPr>
        <w:t>Wafer fabrication occurs in a highly controlled, clean environment to minimize dust and other yield- and quality-limiting contaminants. Despite stringent manufacturing controls, equipment does not consistently perform flawlessly and minute impurities, defects in the photomasks or other difficulties in the process may cause a substantial percentage of the wafers to be scrapped or individual circuits to be nonfunctional. The success of the Company's manufacturing operations is largely dependent on its ability to minimize such impurities and to maximize its yield of acceptable, high-quality circuits. In this regard, the Company employs rigorous quality controls throughout the manufacturing, screening and testing processes. The Company is able to recover certain nonstandard devices by testing and grading them to their highest level of functionality.</w:t>
      </w:r>
    </w:p>
    <w:p>
      <w:pPr>
        <w:spacing w:after="0" w:line="187" w:lineRule="exact"/>
        <w:rPr>
          <w:sz w:val="20"/>
          <w:szCs w:val="20"/>
          <w:color w:val="auto"/>
        </w:rPr>
      </w:pPr>
    </w:p>
    <w:p>
      <w:pPr>
        <w:ind w:right="2779" w:firstLine="186"/>
        <w:spacing w:after="0" w:line="236" w:lineRule="auto"/>
        <w:rPr>
          <w:sz w:val="20"/>
          <w:szCs w:val="20"/>
          <w:color w:val="auto"/>
        </w:rPr>
      </w:pPr>
      <w:r>
        <w:rPr>
          <w:rFonts w:ascii="Courier New" w:cs="Courier New" w:eastAsia="Courier New" w:hAnsi="Courier New"/>
          <w:sz w:val="16"/>
          <w:szCs w:val="16"/>
          <w:color w:val="auto"/>
        </w:rPr>
        <w:t>After fabrication, each silicon wafer is separated into individual die. Functional die are connected to external leads by extremely fine wire and are assembled into plastic packages. Each completed package is then inspected, sealed and tested. The assembly process uses high-speed automatic systems such as wire bonders, as well as semi-automatic plastic encapsulation and solder systems. The Company tests its products at various stages in the manufacturing process, performs high temperature burn-in on finished products and conducts numerous quality control inspections throughout the entire production flow. In addition, through the utilization of its proprietary AMBYX line of intelligent test and burn-in systems, the Company simultaneously conducts circuit testing of all die</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4/57</w:t>
      </w:r>
    </w:p>
    <w:p>
      <w:pPr>
        <w:sectPr>
          <w:pgSz w:w="11900" w:h="16838" w:orient="portrait"/>
          <w:cols w:equalWidth="0" w:num="1">
            <w:col w:w="10219"/>
          </w:cols>
          <w:pgMar w:left="240" w:top="654" w:right="1440" w:bottom="1133" w:gutter="0" w:footer="0" w:header="0"/>
        </w:sectPr>
      </w:pPr>
    </w:p>
    <w:bookmarkStart w:id="4" w:name="page5"/>
    <w:bookmarkEnd w:id="4"/>
    <w:p>
      <w:pPr>
        <w:ind w:left="5" w:right="2779"/>
        <w:spacing w:after="0" w:line="235" w:lineRule="auto"/>
        <w:rPr>
          <w:sz w:val="20"/>
          <w:szCs w:val="20"/>
          <w:color w:val="auto"/>
        </w:rPr>
      </w:pPr>
      <w:r>
        <w:rPr>
          <w:rFonts w:ascii="Courier New" w:cs="Courier New" w:eastAsia="Courier New" w:hAnsi="Courier New"/>
          <w:sz w:val="16"/>
          <w:szCs w:val="16"/>
          <w:color w:val="auto"/>
        </w:rPr>
        <w:t>during the burn-in process, capturing quality and reliability data and reducing testing time and cost. Assembly and test of the Company's products is completed at its Boise and Singapore facilities. All the Company's manufacturing facilities operate 24 hours per day, 7 days per week.</w:t>
      </w:r>
    </w:p>
    <w:p>
      <w:pPr>
        <w:spacing w:after="0" w:line="185"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Joint Ventures. In connection with the acquisition of substantially all of TI's memory operations in September 1998, MTI acquired interests in TECH and KMT. TECH and KMT operate wafer fabrication facilities for the manufacture of DRAM products. TECH, which operates in Singapore, is a joint venture between MTI, the Singapore Economic Development Board, Canon Inc. and Hewlett-Packard Company. KMT, which operates in Japan, is a joint venture between MTI and Kobe Steel, Ltd.</w:t>
      </w:r>
    </w:p>
    <w:p>
      <w:pPr>
        <w:spacing w:after="0" w:line="184" w:lineRule="exact"/>
        <w:rPr>
          <w:sz w:val="20"/>
          <w:szCs w:val="20"/>
          <w:color w:val="auto"/>
        </w:rPr>
      </w:pPr>
    </w:p>
    <w:p>
      <w:pPr>
        <w:ind w:left="5" w:right="3059" w:firstLine="465"/>
        <w:spacing w:after="0" w:line="270" w:lineRule="auto"/>
        <w:rPr>
          <w:sz w:val="20"/>
          <w:szCs w:val="20"/>
          <w:color w:val="auto"/>
        </w:rPr>
      </w:pPr>
      <w:r>
        <w:rPr>
          <w:rFonts w:ascii="Courier New" w:cs="Courier New" w:eastAsia="Courier New" w:hAnsi="Courier New"/>
          <w:sz w:val="14"/>
          <w:szCs w:val="14"/>
          <w:color w:val="auto"/>
        </w:rPr>
        <w:t>MTI has made significant progress in the transfer of its product and process technology to the JVs and expects to complete the transfer of its .18</w:t>
      </w:r>
    </w:p>
    <w:p>
      <w:pPr>
        <w:spacing w:after="0" w:line="1" w:lineRule="exact"/>
        <w:rPr>
          <w:sz w:val="20"/>
          <w:szCs w:val="20"/>
          <w:color w:val="auto"/>
        </w:rPr>
      </w:pPr>
    </w:p>
    <w:p>
      <w:pPr>
        <w:ind w:left="5" w:right="3059" w:hanging="5"/>
        <w:spacing w:after="0" w:line="274" w:lineRule="auto"/>
        <w:tabs>
          <w:tab w:leader="none" w:pos="377"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product and process technology capability in late calendar 1999. Subject to certain terms and conditions, MTI has agreed to purchase all of the JV production. Certain joint venture partners have the right to buy a portion of TECH's output from the Company. MTI is a party to various agreements with the JVs whereby MTI provides technology, engineering support and training to the JVs. MTI also performs assembly and test services on products manufactured by the JVs. The net cost of products purchased from the JVs, amounting to $322 million in 1999, reflects all transactions with the JVs.</w:t>
      </w:r>
    </w:p>
    <w:p>
      <w:pPr>
        <w:spacing w:after="0" w:line="162" w:lineRule="exact"/>
        <w:rPr>
          <w:sz w:val="20"/>
          <w:szCs w:val="20"/>
          <w:color w:val="auto"/>
        </w:rPr>
      </w:pPr>
    </w:p>
    <w:p>
      <w:pPr>
        <w:ind w:left="5" w:right="2879" w:firstLine="465"/>
        <w:spacing w:after="0" w:line="235" w:lineRule="auto"/>
        <w:rPr>
          <w:sz w:val="20"/>
          <w:szCs w:val="20"/>
          <w:color w:val="auto"/>
        </w:rPr>
      </w:pPr>
      <w:r>
        <w:rPr>
          <w:rFonts w:ascii="Courier New" w:cs="Courier New" w:eastAsia="Courier New" w:hAnsi="Courier New"/>
          <w:sz w:val="16"/>
          <w:szCs w:val="16"/>
          <w:color w:val="auto"/>
        </w:rPr>
        <w:t>Historically the JVs have required external financing to transition to the latest generation technologies. In the event either the JVs are unable to secure adequate financing, the Company's results of operations and cash flows could be adversely affected.</w:t>
      </w:r>
    </w:p>
    <w:p>
      <w:pPr>
        <w:spacing w:after="0" w:line="178" w:lineRule="exact"/>
        <w:rPr>
          <w:sz w:val="20"/>
          <w:szCs w:val="20"/>
          <w:color w:val="auto"/>
        </w:rPr>
      </w:pPr>
    </w:p>
    <w:p>
      <w:pPr>
        <w:ind w:left="185"/>
        <w:spacing w:after="0"/>
        <w:rPr>
          <w:sz w:val="20"/>
          <w:szCs w:val="20"/>
          <w:color w:val="auto"/>
        </w:rPr>
      </w:pPr>
      <w:r>
        <w:rPr>
          <w:rFonts w:ascii="Courier New" w:cs="Courier New" w:eastAsia="Courier New" w:hAnsi="Courier New"/>
          <w:sz w:val="16"/>
          <w:szCs w:val="16"/>
          <w:color w:val="auto"/>
        </w:rPr>
        <w:t>PC operations</w:t>
      </w:r>
    </w:p>
    <w:p>
      <w:pPr>
        <w:spacing w:after="0" w:line="183" w:lineRule="exact"/>
        <w:rPr>
          <w:sz w:val="20"/>
          <w:szCs w:val="20"/>
          <w:color w:val="auto"/>
        </w:rPr>
      </w:pPr>
    </w:p>
    <w:p>
      <w:pPr>
        <w:ind w:left="5" w:right="2779" w:firstLine="186"/>
        <w:spacing w:after="0" w:line="273" w:lineRule="auto"/>
        <w:rPr>
          <w:sz w:val="20"/>
          <w:szCs w:val="20"/>
          <w:color w:val="auto"/>
        </w:rPr>
      </w:pPr>
      <w:r>
        <w:rPr>
          <w:rFonts w:ascii="Courier New" w:cs="Courier New" w:eastAsia="Courier New" w:hAnsi="Courier New"/>
          <w:sz w:val="14"/>
          <w:szCs w:val="14"/>
          <w:color w:val="auto"/>
        </w:rPr>
        <w:t>The Company's PC manufacturing process is designed to provide custom-configured products to its customers and includes assembling components, loading software and testing each system prior to shipment. The Company's PC systems are generally assembled to order ("ATO") based on customer specifications. Most components are held by suppliers in a third-party logistics providers' warehouse and delivered as order flow demands. The Company's ATO manufacturing process promotes rapid inventory turnover and reduced inventory levels, while allowing the Company to efficiently manufacture customized computer systems. The Company's desktop PC systems and servers are generally assembled in the Company's facility. The Company's notebook PC systems, which are designed to include feature sets defined by the Company, are assembled by third party suppliers and tested according to the Company's standards.</w:t>
      </w:r>
    </w:p>
    <w:p>
      <w:pPr>
        <w:spacing w:after="0" w:line="200" w:lineRule="exact"/>
        <w:rPr>
          <w:sz w:val="20"/>
          <w:szCs w:val="20"/>
          <w:color w:val="auto"/>
        </w:rPr>
      </w:pPr>
    </w:p>
    <w:p>
      <w:pPr>
        <w:spacing w:after="0" w:line="314"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Availability of Raw Materials</w:t>
      </w:r>
    </w:p>
    <w:p>
      <w:pPr>
        <w:spacing w:after="0" w:line="177" w:lineRule="exact"/>
        <w:rPr>
          <w:sz w:val="20"/>
          <w:szCs w:val="20"/>
          <w:color w:val="auto"/>
        </w:rPr>
      </w:pPr>
    </w:p>
    <w:p>
      <w:pPr>
        <w:ind w:left="185"/>
        <w:spacing w:after="0"/>
        <w:rPr>
          <w:sz w:val="20"/>
          <w:szCs w:val="20"/>
          <w:color w:val="auto"/>
        </w:rPr>
      </w:pPr>
      <w:r>
        <w:rPr>
          <w:rFonts w:ascii="Courier New" w:cs="Courier New" w:eastAsia="Courier New" w:hAnsi="Courier New"/>
          <w:sz w:val="16"/>
          <w:szCs w:val="16"/>
          <w:color w:val="auto"/>
        </w:rPr>
        <w:t>Semiconductor operations</w:t>
      </w:r>
    </w:p>
    <w:p>
      <w:pPr>
        <w:spacing w:after="0" w:line="183" w:lineRule="exact"/>
        <w:rPr>
          <w:sz w:val="20"/>
          <w:szCs w:val="20"/>
          <w:color w:val="auto"/>
        </w:rPr>
      </w:pPr>
    </w:p>
    <w:p>
      <w:pPr>
        <w:ind w:left="5" w:right="2779" w:firstLine="186"/>
        <w:spacing w:after="0" w:line="273" w:lineRule="auto"/>
        <w:rPr>
          <w:sz w:val="20"/>
          <w:szCs w:val="20"/>
          <w:color w:val="auto"/>
        </w:rPr>
      </w:pPr>
      <w:r>
        <w:rPr>
          <w:rFonts w:ascii="Courier New" w:cs="Courier New" w:eastAsia="Courier New" w:hAnsi="Courier New"/>
          <w:sz w:val="14"/>
          <w:szCs w:val="14"/>
          <w:color w:val="auto"/>
        </w:rPr>
        <w:t>The raw materials utilized by the Company's semiconductor operations generally must meet exacting product specifications. The Company generally uses multiple sources of supply, but the number of suppliers capable of delivering certain raw materials is very limited. The availability of raw materials, such as silicon wafers, certain chemicals, lead frames and molding compound, may decline due to the increase in worldwide semiconductor manufacturing. Although shortages have occurred from time to time and lead times in the industry have been extended on occasion, to date the Company has not experienced any significant interruption in operations as a result of a difficulty in obtaining raw materials for its semiconductor operations. Interruption of any one raw material source could adversely affect the Company's semiconductor operations.</w:t>
      </w:r>
    </w:p>
    <w:p>
      <w:pPr>
        <w:spacing w:after="0" w:line="337" w:lineRule="exact"/>
        <w:rPr>
          <w:sz w:val="20"/>
          <w:szCs w:val="20"/>
          <w:color w:val="auto"/>
        </w:rPr>
      </w:pPr>
    </w:p>
    <w:p>
      <w:pPr>
        <w:ind w:left="185"/>
        <w:spacing w:after="0"/>
        <w:rPr>
          <w:sz w:val="20"/>
          <w:szCs w:val="20"/>
          <w:color w:val="auto"/>
        </w:rPr>
      </w:pPr>
      <w:r>
        <w:rPr>
          <w:rFonts w:ascii="Courier New" w:cs="Courier New" w:eastAsia="Courier New" w:hAnsi="Courier New"/>
          <w:sz w:val="16"/>
          <w:szCs w:val="16"/>
          <w:color w:val="auto"/>
        </w:rPr>
        <w:t>PC operations</w:t>
      </w:r>
    </w:p>
    <w:p>
      <w:pPr>
        <w:spacing w:after="0" w:line="183" w:lineRule="exact"/>
        <w:rPr>
          <w:sz w:val="20"/>
          <w:szCs w:val="20"/>
          <w:color w:val="auto"/>
        </w:rPr>
      </w:pPr>
    </w:p>
    <w:p>
      <w:pPr>
        <w:ind w:left="5" w:right="2779" w:firstLine="186"/>
        <w:spacing w:after="0" w:line="236" w:lineRule="auto"/>
        <w:rPr>
          <w:sz w:val="20"/>
          <w:szCs w:val="20"/>
          <w:color w:val="auto"/>
        </w:rPr>
      </w:pPr>
      <w:r>
        <w:rPr>
          <w:rFonts w:ascii="Courier New" w:cs="Courier New" w:eastAsia="Courier New" w:hAnsi="Courier New"/>
          <w:sz w:val="16"/>
          <w:szCs w:val="16"/>
          <w:color w:val="auto"/>
        </w:rPr>
        <w:t>The Company relies on third-party suppliers for its PC system components and seeks to identify suppliers able to provide state-of-the-art technology, product quality and prompt delivery at competitive prices. The Company purchases substantially all of its PC components, subassemblies and software from suppliers on a purchase order basis and generally does not have long-term supply arrangements with its suppliers. Although the Company attempts to use standard components, subassemblies and software available from multiple suppliers, certain of its components, subassemblies and software are available only from sole suppliers or a limited number of suppliers. The microprocessors used in the Company's PC systems are manufactured exclusively by Intel. From time to time,</w:t>
      </w:r>
    </w:p>
    <w:p>
      <w:pPr>
        <w:spacing w:after="0" w:line="180" w:lineRule="exact"/>
        <w:rPr>
          <w:sz w:val="20"/>
          <w:szCs w:val="20"/>
          <w:color w:val="auto"/>
        </w:rPr>
      </w:pPr>
    </w:p>
    <w:p>
      <w:pPr>
        <w:ind w:left="3445"/>
        <w:spacing w:after="0"/>
        <w:rPr>
          <w:sz w:val="20"/>
          <w:szCs w:val="20"/>
          <w:color w:val="auto"/>
        </w:rPr>
      </w:pPr>
      <w:r>
        <w:rPr>
          <w:rFonts w:ascii="Courier New" w:cs="Courier New" w:eastAsia="Courier New" w:hAnsi="Courier New"/>
          <w:sz w:val="16"/>
          <w:szCs w:val="16"/>
          <w:color w:val="auto"/>
        </w:rPr>
        <w:t>5/57</w:t>
      </w:r>
    </w:p>
    <w:p>
      <w:pPr>
        <w:sectPr>
          <w:pgSz w:w="11900" w:h="16838" w:orient="portrait"/>
          <w:cols w:equalWidth="0" w:num="1">
            <w:col w:w="10224"/>
          </w:cols>
          <w:pgMar w:left="235" w:top="654" w:right="1440" w:bottom="1440" w:gutter="0" w:footer="0" w:header="0"/>
        </w:sectPr>
      </w:pPr>
    </w:p>
    <w:bookmarkStart w:id="5" w:name="page6"/>
    <w:bookmarkEnd w:id="5"/>
    <w:p>
      <w:pPr>
        <w:ind w:right="2779"/>
        <w:spacing w:after="0" w:line="236" w:lineRule="auto"/>
        <w:rPr>
          <w:sz w:val="20"/>
          <w:szCs w:val="20"/>
          <w:color w:val="auto"/>
        </w:rPr>
      </w:pPr>
      <w:r>
        <w:rPr>
          <w:rFonts w:ascii="Courier New" w:cs="Courier New" w:eastAsia="Courier New" w:hAnsi="Courier New"/>
          <w:sz w:val="16"/>
          <w:szCs w:val="16"/>
          <w:color w:val="auto"/>
        </w:rPr>
        <w:t>the Company has been unable to obtain a sufficient supply of certain Intel microprocessors. Any interruption in the supply of any of the components, subassemblies and software currently obtained from a single source or relatively few sources, or a decrease in the general availability of any other components, subassemblies or software used in the Company's PC systems, could result in production delays and adversely affect the Company's PC systems business and results of operations.</w:t>
      </w: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Marketing and Customers</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Semiconductor operations</w:t>
      </w:r>
    </w:p>
    <w:p>
      <w:pPr>
        <w:spacing w:after="0" w:line="183" w:lineRule="exact"/>
        <w:rPr>
          <w:sz w:val="20"/>
          <w:szCs w:val="20"/>
          <w:color w:val="auto"/>
        </w:rPr>
      </w:pPr>
    </w:p>
    <w:p>
      <w:pPr>
        <w:ind w:right="2779" w:firstLine="186"/>
        <w:spacing w:after="0" w:line="235" w:lineRule="auto"/>
        <w:rPr>
          <w:sz w:val="20"/>
          <w:szCs w:val="20"/>
          <w:color w:val="auto"/>
        </w:rPr>
      </w:pPr>
      <w:r>
        <w:rPr>
          <w:rFonts w:ascii="Courier New" w:cs="Courier New" w:eastAsia="Courier New" w:hAnsi="Courier New"/>
          <w:sz w:val="16"/>
          <w:szCs w:val="16"/>
          <w:color w:val="auto"/>
        </w:rPr>
        <w:t>The Company's semiconductor memory products are sold primarily to PC manufacturers. The Company has a significant market share with several large PC OEMs and intends to expand its customer base in the telecommunications and networking hardware markets in the next year.</w:t>
      </w:r>
    </w:p>
    <w:p>
      <w:pPr>
        <w:spacing w:after="0" w:line="185" w:lineRule="exact"/>
        <w:rPr>
          <w:sz w:val="20"/>
          <w:szCs w:val="20"/>
          <w:color w:val="auto"/>
        </w:rPr>
      </w:pPr>
    </w:p>
    <w:p>
      <w:pPr>
        <w:ind w:right="2779" w:firstLine="186"/>
        <w:spacing w:after="0" w:line="272" w:lineRule="auto"/>
        <w:rPr>
          <w:sz w:val="20"/>
          <w:szCs w:val="20"/>
          <w:color w:val="auto"/>
        </w:rPr>
      </w:pPr>
      <w:r>
        <w:rPr>
          <w:rFonts w:ascii="Courier New" w:cs="Courier New" w:eastAsia="Courier New" w:hAnsi="Courier New"/>
          <w:sz w:val="14"/>
          <w:szCs w:val="14"/>
          <w:color w:val="auto"/>
        </w:rPr>
        <w:t>The Company markets its semiconductor memory products primarily through its own direct sales force. The Company also sells products through its retail sales division, Crucial Technology, independent sales representatives and distributors. The Company maintains semiconductor sales offices in North America, Europe and Asia. The Company's global presence promotes sales and marketing functions by facilitating international customer service and allowing for expedient shipping and billing worldwide. Sales representatives are compensated on a commission basis and obtain orders subject to final acceptance by the Company. The Company makes shipments against these orders directly to the customer. Distributors carry the Company's products in inventory and typically sell a variety of other semiconductor products, including competitors' products. Semiconductor memory products sold through distributors approximated 11%, 11% and 7% of semiconductor net sales in 1999, 1998 and 1997, respectively. The Company also markets application specific DRAM under the SpecTek brand name.</w:t>
      </w:r>
    </w:p>
    <w:p>
      <w:pPr>
        <w:spacing w:after="0" w:line="347" w:lineRule="exact"/>
        <w:rPr>
          <w:sz w:val="20"/>
          <w:szCs w:val="20"/>
          <w:color w:val="auto"/>
        </w:rPr>
      </w:pPr>
    </w:p>
    <w:p>
      <w:pPr>
        <w:ind w:right="2779" w:firstLine="186"/>
        <w:spacing w:after="0" w:line="273" w:lineRule="auto"/>
        <w:rPr>
          <w:sz w:val="20"/>
          <w:szCs w:val="20"/>
          <w:color w:val="auto"/>
        </w:rPr>
      </w:pPr>
      <w:r>
        <w:rPr>
          <w:rFonts w:ascii="Courier New" w:cs="Courier New" w:eastAsia="Courier New" w:hAnsi="Courier New"/>
          <w:sz w:val="14"/>
          <w:szCs w:val="14"/>
          <w:color w:val="auto"/>
        </w:rPr>
        <w:t>The semiconductor memory industry is characterized by rapid technological change, relatively short product life cycles, frequent product introductions and enhancements, difficult product transitions and volatile market conditions. Historically, the semiconductor industry and the DRAM market in particular, has been highly cyclical. DRAMs have typically been considered commodity products as most suppliers have historically produced large volumes of the most cost-effective density. The Company's primary semiconductor memory products are essentially interchangeable with, and have similar functionality to, products offered by the Company's competition. The DRAM market is currently in the process of segmenting, with diverse memory needs being driven by the different requirements of low-end, mid-range and high-end PC's, servers, workstations, notebooks, hand-helds, communications, industrial and other applications that are demanding specific memory solutions.</w:t>
      </w:r>
    </w:p>
    <w:p>
      <w:pPr>
        <w:spacing w:after="0" w:line="340" w:lineRule="exact"/>
        <w:rPr>
          <w:sz w:val="20"/>
          <w:szCs w:val="20"/>
          <w:color w:val="auto"/>
        </w:rPr>
      </w:pPr>
    </w:p>
    <w:p>
      <w:pPr>
        <w:ind w:right="2779" w:firstLine="186"/>
        <w:spacing w:after="0" w:line="235" w:lineRule="auto"/>
        <w:rPr>
          <w:sz w:val="20"/>
          <w:szCs w:val="20"/>
          <w:color w:val="auto"/>
        </w:rPr>
      </w:pPr>
      <w:r>
        <w:rPr>
          <w:rFonts w:ascii="Courier New" w:cs="Courier New" w:eastAsia="Courier New" w:hAnsi="Courier New"/>
          <w:sz w:val="16"/>
          <w:szCs w:val="16"/>
          <w:color w:val="auto"/>
        </w:rPr>
        <w:t>As manufacturers expand their business to include a wider variety of products, the Company expects to expand its memory product offerings to meet the needs of these products, as is evidenced by the Company's development of DDR SDRAM and RDRAM products. The Company is dedicated to offering customers multiple DRAM solutions and maintaining long-term support of those solutions.</w:t>
      </w:r>
    </w:p>
    <w:p>
      <w:pPr>
        <w:spacing w:after="0" w:line="186" w:lineRule="exact"/>
        <w:rPr>
          <w:sz w:val="20"/>
          <w:szCs w:val="20"/>
          <w:color w:val="auto"/>
        </w:rPr>
      </w:pPr>
    </w:p>
    <w:p>
      <w:pPr>
        <w:ind w:right="2879" w:firstLine="186"/>
        <w:spacing w:after="0" w:line="236" w:lineRule="auto"/>
        <w:rPr>
          <w:sz w:val="20"/>
          <w:szCs w:val="20"/>
          <w:color w:val="auto"/>
        </w:rPr>
      </w:pPr>
      <w:r>
        <w:rPr>
          <w:rFonts w:ascii="Courier New" w:cs="Courier New" w:eastAsia="Courier New" w:hAnsi="Courier New"/>
          <w:sz w:val="16"/>
          <w:szCs w:val="16"/>
          <w:color w:val="auto"/>
        </w:rPr>
        <w:t>Many of the Company's customers require a thorough review or "qualification" of new semiconductor memory products and processes each of which may take several months. As the Company further diversifies its product lines and reduces the die sizes of existing memory products, acceptance of these products and processes is subject to this qualification procedure. There can be no assurance that new products or processes will be qualified for purchase by existing or potential customers.</w:t>
      </w:r>
    </w:p>
    <w:p>
      <w:pPr>
        <w:spacing w:after="0" w:line="184" w:lineRule="exact"/>
        <w:rPr>
          <w:sz w:val="20"/>
          <w:szCs w:val="20"/>
          <w:color w:val="auto"/>
        </w:rPr>
      </w:pPr>
    </w:p>
    <w:p>
      <w:pPr>
        <w:ind w:right="2779" w:firstLine="186"/>
        <w:spacing w:after="0" w:line="236" w:lineRule="auto"/>
        <w:rPr>
          <w:sz w:val="20"/>
          <w:szCs w:val="20"/>
          <w:color w:val="auto"/>
        </w:rPr>
      </w:pPr>
      <w:r>
        <w:rPr>
          <w:rFonts w:ascii="Courier New" w:cs="Courier New" w:eastAsia="Courier New" w:hAnsi="Courier New"/>
          <w:sz w:val="16"/>
          <w:szCs w:val="16"/>
          <w:color w:val="auto"/>
        </w:rPr>
        <w:t>Sales to Dell Computer Corporation represented approximately 13%, 15% and 11% of the Company's net sales of semiconductor memory products in 1999, 1998 and 1997, respectively. Sales to Compaq Computer Corporation represented approximately 10% of the Company's net sales of semiconductor memory products in 1999. No other customer individually accounted for 10% or more of the Company's net sales of semiconductor memory products in 1999, 1998 or 1997.</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PC operations</w:t>
      </w:r>
    </w:p>
    <w:p>
      <w:pPr>
        <w:spacing w:after="0" w:line="183" w:lineRule="exact"/>
        <w:rPr>
          <w:sz w:val="20"/>
          <w:szCs w:val="20"/>
          <w:color w:val="auto"/>
        </w:rPr>
      </w:pPr>
    </w:p>
    <w:p>
      <w:pPr>
        <w:ind w:right="2779" w:firstLine="186"/>
        <w:spacing w:after="0" w:line="235" w:lineRule="auto"/>
        <w:rPr>
          <w:sz w:val="20"/>
          <w:szCs w:val="20"/>
          <w:color w:val="auto"/>
        </w:rPr>
      </w:pPr>
      <w:r>
        <w:rPr>
          <w:rFonts w:ascii="Courier New" w:cs="Courier New" w:eastAsia="Courier New" w:hAnsi="Courier New"/>
          <w:sz w:val="16"/>
          <w:szCs w:val="16"/>
          <w:color w:val="auto"/>
        </w:rPr>
        <w:t>The Company's direct marketing approach is aimed toward PC users and companies who evaluate products based on performance, price, reliability and service and support. The Company markets its PC systems primarily by</w:t>
      </w:r>
    </w:p>
    <w:p>
      <w:pPr>
        <w:spacing w:after="0" w:line="177"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6/57</w:t>
      </w:r>
    </w:p>
    <w:p>
      <w:pPr>
        <w:sectPr>
          <w:pgSz w:w="11900" w:h="16838" w:orient="portrait"/>
          <w:cols w:equalWidth="0" w:num="1">
            <w:col w:w="10219"/>
          </w:cols>
          <w:pgMar w:left="240" w:top="654" w:right="1440" w:bottom="1440" w:gutter="0" w:footer="0" w:header="0"/>
        </w:sectPr>
      </w:pPr>
    </w:p>
    <w:bookmarkStart w:id="6" w:name="page7"/>
    <w:bookmarkEnd w:id="6"/>
    <w:p>
      <w:pPr>
        <w:ind w:right="2779"/>
        <w:spacing w:after="0" w:line="236" w:lineRule="auto"/>
        <w:rPr>
          <w:sz w:val="20"/>
          <w:szCs w:val="20"/>
          <w:color w:val="auto"/>
        </w:rPr>
      </w:pPr>
      <w:r>
        <w:rPr>
          <w:rFonts w:ascii="Courier New" w:cs="Courier New" w:eastAsia="Courier New" w:hAnsi="Courier New"/>
          <w:sz w:val="16"/>
          <w:szCs w:val="16"/>
          <w:color w:val="auto"/>
        </w:rPr>
        <w:t>strategically placing advertisements in personal computer trade publications, submitting its products for review and evaluation by these publications and advertising its products in certain newspapers and other publications and on its home page on the internet. The Company also markets its PC systems through direct-mail campaigns and sells a limited number of PCs through its factory outlet store located in Boise, Idaho. In addition, the Company sells PC systems through strategic relationships with third parties having large government procurement contracts. Pricing and terms for such procurement contracts are generally subject to re-negotiation or termination by third parties and governmental entities. The Company's field sales force focuses primarily on soliciting and servicing the emerging "mid market" comprised of medium and small sized businesses and on sales to public entities.</w:t>
      </w:r>
    </w:p>
    <w:p>
      <w:pPr>
        <w:spacing w:after="0" w:line="187" w:lineRule="exact"/>
        <w:rPr>
          <w:sz w:val="20"/>
          <w:szCs w:val="20"/>
          <w:color w:val="auto"/>
        </w:rPr>
      </w:pPr>
    </w:p>
    <w:p>
      <w:pPr>
        <w:ind w:right="2879" w:firstLine="186"/>
        <w:spacing w:after="0" w:line="273" w:lineRule="auto"/>
        <w:rPr>
          <w:sz w:val="20"/>
          <w:szCs w:val="20"/>
          <w:color w:val="auto"/>
        </w:rPr>
      </w:pPr>
      <w:r>
        <w:rPr>
          <w:rFonts w:ascii="Courier New" w:cs="Courier New" w:eastAsia="Courier New" w:hAnsi="Courier New"/>
          <w:sz w:val="14"/>
          <w:szCs w:val="14"/>
          <w:color w:val="auto"/>
        </w:rPr>
        <w:t>By focusing on the direct sales channel, the Company can avoid dealer markups typically experienced in the retail sales channel, limit inventory carrying costs and maintain closer contact with its target markets. Direct sales orders are received primarily via telephone, facsimile, the internet and through its direct sales force. The Company's sales representatives assist customers in determining system configuration, compatibility and current pricing. Customers generally order systems configured with varying feature sets differentiated by microprocessor speed, hard drive capacity, amount of memory, monitor size and resolution and bundled software, as well as other features.</w:t>
      </w:r>
    </w:p>
    <w:p>
      <w:pPr>
        <w:spacing w:after="0" w:line="165" w:lineRule="exact"/>
        <w:rPr>
          <w:sz w:val="20"/>
          <w:szCs w:val="20"/>
          <w:color w:val="auto"/>
        </w:rPr>
      </w:pPr>
    </w:p>
    <w:p>
      <w:pPr>
        <w:ind w:right="2959" w:firstLine="186"/>
        <w:spacing w:after="0" w:line="236" w:lineRule="auto"/>
        <w:rPr>
          <w:sz w:val="20"/>
          <w:szCs w:val="20"/>
          <w:color w:val="auto"/>
        </w:rPr>
      </w:pPr>
      <w:r>
        <w:rPr>
          <w:rFonts w:ascii="Courier New" w:cs="Courier New" w:eastAsia="Courier New" w:hAnsi="Courier New"/>
          <w:sz w:val="16"/>
          <w:szCs w:val="16"/>
          <w:color w:val="auto"/>
        </w:rPr>
        <w:t>The Company also applies the direct marketing approach to its e-services and Subscription Computing offerings by advertising in traditional media publications augmented by online marketing programs. In connection with its Subscription Computing initiative, the Company is conducting television and radio advertising in selected markets. The Company is creating an integrated marketing program under the brand name of "micronpc.com(TM)" to effect its e-services and Subscription Computing strategies.</w:t>
      </w: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International Sales</w:t>
      </w:r>
    </w:p>
    <w:p>
      <w:pPr>
        <w:spacing w:after="0" w:line="183" w:lineRule="exact"/>
        <w:rPr>
          <w:sz w:val="20"/>
          <w:szCs w:val="20"/>
          <w:color w:val="auto"/>
        </w:rPr>
      </w:pPr>
    </w:p>
    <w:p>
      <w:pPr>
        <w:ind w:right="2959" w:firstLine="186"/>
        <w:spacing w:after="0" w:line="276" w:lineRule="auto"/>
        <w:rPr>
          <w:sz w:val="20"/>
          <w:szCs w:val="20"/>
          <w:color w:val="auto"/>
        </w:rPr>
      </w:pPr>
      <w:r>
        <w:rPr>
          <w:rFonts w:ascii="Courier New" w:cs="Courier New" w:eastAsia="Courier New" w:hAnsi="Courier New"/>
          <w:sz w:val="14"/>
          <w:szCs w:val="14"/>
          <w:color w:val="auto"/>
        </w:rPr>
        <w:t>International sales totaled $1.1 billion for 1999 and included approximately $464 million in sales to Europe and $420 million in sales to Asia Pacific. International sales approximated $599 million and $708 million for 1998 and 1997, respectively. The Company expects international sales to continue to increase as a result of increased production from its worldwide operations.</w:t>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Backlog</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Semiconductor operations</w:t>
      </w:r>
    </w:p>
    <w:p>
      <w:pPr>
        <w:spacing w:after="0" w:line="183" w:lineRule="exact"/>
        <w:rPr>
          <w:sz w:val="20"/>
          <w:szCs w:val="20"/>
          <w:color w:val="auto"/>
        </w:rPr>
      </w:pPr>
    </w:p>
    <w:p>
      <w:pPr>
        <w:ind w:right="2779" w:firstLine="186"/>
        <w:spacing w:after="0" w:line="274" w:lineRule="auto"/>
        <w:rPr>
          <w:sz w:val="20"/>
          <w:szCs w:val="20"/>
          <w:color w:val="auto"/>
        </w:rPr>
      </w:pPr>
      <w:r>
        <w:rPr>
          <w:rFonts w:ascii="Courier New" w:cs="Courier New" w:eastAsia="Courier New" w:hAnsi="Courier New"/>
          <w:sz w:val="14"/>
          <w:szCs w:val="14"/>
          <w:color w:val="auto"/>
        </w:rPr>
        <w:t>Cyclical industry conditions make it difficult for many customers to enter into long-term, fixed-price contracts and, accordingly, new order volumes for the Company's semiconductor memory products fluctuate significantly. Orders are typically accepted with acknowledgment that the terms may be adjusted to reflect market conditions at the delivery date. For the foregoing reasons as well as the possibility of customer changes in delivery schedules or cancellation of orders without significant penalty, the Company does not believe that its backlog of semiconductor memory products as of any particular date is firm or a reliable indicator of actual sales for any succeeding period.</w:t>
      </w:r>
    </w:p>
    <w:p>
      <w:pPr>
        <w:spacing w:after="0" w:line="33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PC operations</w:t>
      </w:r>
    </w:p>
    <w:p>
      <w:pPr>
        <w:spacing w:after="0" w:line="183" w:lineRule="exact"/>
        <w:rPr>
          <w:sz w:val="20"/>
          <w:szCs w:val="20"/>
          <w:color w:val="auto"/>
        </w:rPr>
      </w:pPr>
    </w:p>
    <w:p>
      <w:pPr>
        <w:ind w:right="2779" w:firstLine="186"/>
        <w:spacing w:after="0" w:line="273" w:lineRule="auto"/>
        <w:rPr>
          <w:sz w:val="20"/>
          <w:szCs w:val="20"/>
          <w:color w:val="auto"/>
        </w:rPr>
      </w:pPr>
      <w:r>
        <w:rPr>
          <w:rFonts w:ascii="Courier New" w:cs="Courier New" w:eastAsia="Courier New" w:hAnsi="Courier New"/>
          <w:sz w:val="14"/>
          <w:szCs w:val="14"/>
          <w:color w:val="auto"/>
        </w:rPr>
        <w:t>Levels of unfilled orders for PC systems fluctuate depending upon component availability, demand for certain products, the timing of large volume customer orders and the Company's production schedules. Customers frequently change delivery schedules and orders depending on market conditions and other reasons and the Company generally allows the cancellation of unfilled PC orders without penalty any time prior to shipment. As of September 2, 1999, the Company had unfilled orders for PC systems of approximately $15.6 million compared to $22.0 million as of September 3, 1998. The Company anticipates that substantially all of the unfilled PC orders as of September 2, 1999, other than those subsequently canceled, will be shipped within 30 days. The Company believes that PC backlog is not indicative of actual sales of any succeeding period.</w:t>
      </w:r>
    </w:p>
    <w:p>
      <w:pPr>
        <w:spacing w:after="0" w:line="335"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7/57</w:t>
      </w:r>
    </w:p>
    <w:p>
      <w:pPr>
        <w:sectPr>
          <w:pgSz w:w="11900" w:h="16838" w:orient="portrait"/>
          <w:cols w:equalWidth="0" w:num="1">
            <w:col w:w="10219"/>
          </w:cols>
          <w:pgMar w:left="240" w:top="654"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6"/>
          <w:szCs w:val="16"/>
          <w:color w:val="auto"/>
        </w:rPr>
        <w:t>Product Warranty</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Semiconductor operations</w:t>
      </w:r>
    </w:p>
    <w:p>
      <w:pPr>
        <w:spacing w:after="0" w:line="183" w:lineRule="exact"/>
        <w:rPr>
          <w:sz w:val="20"/>
          <w:szCs w:val="20"/>
          <w:color w:val="auto"/>
        </w:rPr>
      </w:pPr>
    </w:p>
    <w:p>
      <w:pPr>
        <w:ind w:right="2779" w:firstLine="186"/>
        <w:spacing w:after="0" w:line="235" w:lineRule="auto"/>
        <w:rPr>
          <w:sz w:val="20"/>
          <w:szCs w:val="20"/>
          <w:color w:val="auto"/>
        </w:rPr>
      </w:pPr>
      <w:r>
        <w:rPr>
          <w:rFonts w:ascii="Courier New" w:cs="Courier New" w:eastAsia="Courier New" w:hAnsi="Courier New"/>
          <w:sz w:val="16"/>
          <w:szCs w:val="16"/>
          <w:color w:val="auto"/>
        </w:rPr>
        <w:t>Consistent with semiconductor memory industry practice, the Company generally provides a limited warranty that its semiconductor memory products are in compliance with specifications existing at the time of delivery. Liability for a stated warranty period is usually limited to replacement of defective items or return of amounts paid.</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PC operations</w:t>
      </w:r>
    </w:p>
    <w:p>
      <w:pPr>
        <w:spacing w:after="0" w:line="183" w:lineRule="exact"/>
        <w:rPr>
          <w:sz w:val="20"/>
          <w:szCs w:val="20"/>
          <w:color w:val="auto"/>
        </w:rPr>
      </w:pPr>
    </w:p>
    <w:p>
      <w:pPr>
        <w:ind w:right="2779" w:firstLine="186"/>
        <w:spacing w:after="0" w:line="236" w:lineRule="auto"/>
        <w:rPr>
          <w:sz w:val="20"/>
          <w:szCs w:val="20"/>
          <w:color w:val="auto"/>
        </w:rPr>
      </w:pPr>
      <w:r>
        <w:rPr>
          <w:rFonts w:ascii="Courier New" w:cs="Courier New" w:eastAsia="Courier New" w:hAnsi="Courier New"/>
          <w:sz w:val="16"/>
          <w:szCs w:val="16"/>
          <w:color w:val="auto"/>
        </w:rPr>
        <w:t>Customers may generally return PC products purchased from the Company within a limited period of time after shipment. Specifically, consumer customers may return PC products within 15 days for a full refund of the purchase price, while commercial and government customers will receive a full refund if they return the product within 30 days. The Company sells desktop and notebook PC systems and servers with the Micron Power(SM) limited warranty, consisting of a five-year limited warranty on the microprocessor and main memory, a three-year limited warranty on the hardware and one year on-site service provided by a third party. The Micron Power Limited Warranty covers repair or replacement for defects in workmanship or materials.</w:t>
      </w:r>
    </w:p>
    <w:p>
      <w:pPr>
        <w:spacing w:after="0" w:line="35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Competition</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Semiconductor operations</w:t>
      </w:r>
    </w:p>
    <w:p>
      <w:pPr>
        <w:spacing w:after="0" w:line="183" w:lineRule="exact"/>
        <w:rPr>
          <w:sz w:val="20"/>
          <w:szCs w:val="20"/>
          <w:color w:val="auto"/>
        </w:rPr>
      </w:pPr>
    </w:p>
    <w:p>
      <w:pPr>
        <w:ind w:right="2779" w:firstLine="186"/>
        <w:spacing w:after="0" w:line="236" w:lineRule="auto"/>
        <w:rPr>
          <w:sz w:val="20"/>
          <w:szCs w:val="20"/>
          <w:color w:val="auto"/>
        </w:rPr>
      </w:pPr>
      <w:r>
        <w:rPr>
          <w:rFonts w:ascii="Courier New" w:cs="Courier New" w:eastAsia="Courier New" w:hAnsi="Courier New"/>
          <w:sz w:val="16"/>
          <w:szCs w:val="16"/>
          <w:color w:val="auto"/>
        </w:rPr>
        <w:t>The Company's semiconductor operations experience intense competition from a number of companies, including Hyundai Electronics Industries Co., Ltd., Infineon Technologies AG, NEC Corporation and Samsung Semiconductor, Inc. Some of the Company's competitors are very large corporations or conglomerates, which may have greater resources for research and new product development and a greater ability to withstand current or future downturns in the semiconductor memory market. The Company's competitors are also aggressively seeking improved yields, smaller die size and fewer mask levels in their product designs. These improvements could result in a significant increase in worldwide capacity leading to downward pressures on prices.</w:t>
      </w:r>
    </w:p>
    <w:p>
      <w:pPr>
        <w:spacing w:after="0" w:line="179"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PC operations</w:t>
      </w:r>
    </w:p>
    <w:p>
      <w:pPr>
        <w:spacing w:after="0" w:line="183" w:lineRule="exact"/>
        <w:rPr>
          <w:sz w:val="20"/>
          <w:szCs w:val="20"/>
          <w:color w:val="auto"/>
        </w:rPr>
      </w:pPr>
    </w:p>
    <w:p>
      <w:pPr>
        <w:ind w:right="2959" w:firstLine="186"/>
        <w:spacing w:after="0" w:line="236" w:lineRule="auto"/>
        <w:rPr>
          <w:sz w:val="20"/>
          <w:szCs w:val="20"/>
          <w:color w:val="auto"/>
        </w:rPr>
      </w:pPr>
      <w:r>
        <w:rPr>
          <w:rFonts w:ascii="Courier New" w:cs="Courier New" w:eastAsia="Courier New" w:hAnsi="Courier New"/>
          <w:sz w:val="16"/>
          <w:szCs w:val="16"/>
          <w:color w:val="auto"/>
        </w:rPr>
        <w:t>The PC industry is highly competitive and has been characterized by intense pricing pressure, generally low gross margin percentages, rapid technological advances in hardware and software, frequent introduction of new products and declining component costs. Competition in the PC industry is based primarily upon brand name recognition, performance, price, reliability and service and support. The Company's sales of PC systems have historically benefited from awards received from trade publications recognizing the price and performance characteristics of the Company's PC systems and its service and support functions. The Company competes with a number of PC manufacturers, which sell their products primarily through direct channels, including Dell Computer Corporation and Gateway, Inc.</w:t>
      </w:r>
    </w:p>
    <w:p>
      <w:pPr>
        <w:spacing w:after="0" w:line="186" w:lineRule="exact"/>
        <w:rPr>
          <w:sz w:val="20"/>
          <w:szCs w:val="20"/>
          <w:color w:val="auto"/>
        </w:rPr>
      </w:pPr>
    </w:p>
    <w:p>
      <w:pPr>
        <w:ind w:right="2779" w:firstLine="186"/>
        <w:spacing w:after="0" w:line="236" w:lineRule="auto"/>
        <w:rPr>
          <w:sz w:val="20"/>
          <w:szCs w:val="20"/>
          <w:color w:val="auto"/>
        </w:rPr>
      </w:pPr>
      <w:r>
        <w:rPr>
          <w:rFonts w:ascii="Courier New" w:cs="Courier New" w:eastAsia="Courier New" w:hAnsi="Courier New"/>
          <w:sz w:val="16"/>
          <w:szCs w:val="16"/>
          <w:color w:val="auto"/>
        </w:rPr>
        <w:t>The Company also competes with PC manufacturers, such as Apple Computer, Inc., Compaq Computer Corporation, Hewlett-Packard Company, International Business Machines Corporation ("IBM"), NEC Corporation and Toshiba Corporation among others. Several of these manufacturers, which have traditionally sold their products through national and regional distributors, dealers and value-added resellers and retail stores, now sell their products through the direct channel. In addition, the Company expects to face increased competition in the U.S. direct sales market from foreign PC suppliers and from foreign and domestic suppliers of PC products that decide to implement, or devote additional resources to, a direct sales strategy.</w:t>
      </w:r>
    </w:p>
    <w:p>
      <w:pPr>
        <w:spacing w:after="0" w:line="186" w:lineRule="exact"/>
        <w:rPr>
          <w:sz w:val="20"/>
          <w:szCs w:val="20"/>
          <w:color w:val="auto"/>
        </w:rPr>
      </w:pPr>
    </w:p>
    <w:p>
      <w:pPr>
        <w:ind w:right="2779" w:firstLine="186"/>
        <w:spacing w:after="0" w:line="236" w:lineRule="auto"/>
        <w:rPr>
          <w:sz w:val="20"/>
          <w:szCs w:val="20"/>
          <w:color w:val="auto"/>
        </w:rPr>
      </w:pPr>
      <w:r>
        <w:rPr>
          <w:rFonts w:ascii="Courier New" w:cs="Courier New" w:eastAsia="Courier New" w:hAnsi="Courier New"/>
          <w:sz w:val="16"/>
          <w:szCs w:val="16"/>
          <w:color w:val="auto"/>
        </w:rPr>
        <w:t>The Company's initiatives in Subscription Computing and e-services face intense competition. A significant number of enterprises have targeted the e-commerce opportunity and it is too early to determine what capabilities the marketplace will dictate as critical for success. A large number of companies, including Verio Inc. ("Verio") and Concentric Network Corporation ("Concentric"), offer e-services similar to those provided and anticipated to be provided by the Company. Further, a large number of diversified companies, such as Intel, IBM and AT&amp;T Corp. ("AT&amp;T"), have indicated an intent to compete in e-services markets. Many companies competing for leadership in</w:t>
      </w:r>
    </w:p>
    <w:p>
      <w:pPr>
        <w:spacing w:after="0" w:line="179"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8/57</w:t>
      </w:r>
    </w:p>
    <w:p>
      <w:pPr>
        <w:sectPr>
          <w:pgSz w:w="11900" w:h="16838" w:orient="portrait"/>
          <w:cols w:equalWidth="0" w:num="1">
            <w:col w:w="10219"/>
          </w:cols>
          <w:pgMar w:left="240" w:top="648" w:right="1440" w:bottom="1440" w:gutter="0" w:footer="0" w:header="0"/>
        </w:sectPr>
      </w:pPr>
    </w:p>
    <w:bookmarkStart w:id="8" w:name="page9"/>
    <w:bookmarkEnd w:id="8"/>
    <w:p>
      <w:pPr>
        <w:ind w:left="5" w:right="2779"/>
        <w:spacing w:after="0" w:line="295" w:lineRule="auto"/>
        <w:rPr>
          <w:sz w:val="20"/>
          <w:szCs w:val="20"/>
          <w:color w:val="auto"/>
        </w:rPr>
      </w:pPr>
      <w:r>
        <w:rPr>
          <w:rFonts w:ascii="Courier New" w:cs="Courier New" w:eastAsia="Courier New" w:hAnsi="Courier New"/>
          <w:sz w:val="14"/>
          <w:szCs w:val="14"/>
          <w:color w:val="auto"/>
        </w:rPr>
        <w:t>the e-services marketplace already have capabilities and strategic relationships that may prove critical for success in the e-services marketplace.</w:t>
      </w:r>
    </w:p>
    <w:p>
      <w:pPr>
        <w:spacing w:after="0" w:line="320"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Research and Development</w:t>
      </w:r>
    </w:p>
    <w:p>
      <w:pPr>
        <w:spacing w:after="0" w:line="183" w:lineRule="exact"/>
        <w:rPr>
          <w:sz w:val="20"/>
          <w:szCs w:val="20"/>
          <w:color w:val="auto"/>
        </w:rPr>
      </w:pPr>
    </w:p>
    <w:p>
      <w:pPr>
        <w:ind w:left="5" w:right="2879" w:firstLine="186"/>
        <w:spacing w:after="0" w:line="273" w:lineRule="auto"/>
        <w:rPr>
          <w:sz w:val="20"/>
          <w:szCs w:val="20"/>
          <w:color w:val="auto"/>
        </w:rPr>
      </w:pPr>
      <w:r>
        <w:rPr>
          <w:rFonts w:ascii="Courier New" w:cs="Courier New" w:eastAsia="Courier New" w:hAnsi="Courier New"/>
          <w:sz w:val="14"/>
          <w:szCs w:val="14"/>
          <w:color w:val="auto"/>
        </w:rPr>
        <w:t>Rapid technological change and intense price competition place a premium on both new product and new process development efforts. Substantially all the Company's research and development efforts relate to its semiconductor operations. The Company's continued ability to compete in the semiconductor memory market will depend in part on its ability to continue to develop technologically advanced products and processes, of which there can be no assurance. The Company believes that the expansion of semiconductor product offerings is necessary to meet expected market demand for specific memory solutions and to support the customer base required for sale of the Company's increased production. Research and development is being performed in strategic areas related to the Company's semiconductor expertise and market requirements. Total research and development expenditures for the Company were $322 million, $286 million and $224 million in 1999, 1998 and 1997, respectively.</w:t>
      </w:r>
    </w:p>
    <w:p>
      <w:pPr>
        <w:spacing w:after="0" w:line="340" w:lineRule="exact"/>
        <w:rPr>
          <w:sz w:val="20"/>
          <w:szCs w:val="20"/>
          <w:color w:val="auto"/>
        </w:rPr>
      </w:pPr>
    </w:p>
    <w:p>
      <w:pPr>
        <w:ind w:left="5" w:right="2779" w:firstLine="186"/>
        <w:spacing w:after="0" w:line="236" w:lineRule="auto"/>
        <w:rPr>
          <w:sz w:val="20"/>
          <w:szCs w:val="20"/>
          <w:color w:val="auto"/>
        </w:rPr>
      </w:pPr>
      <w:r>
        <w:rPr>
          <w:rFonts w:ascii="Courier New" w:cs="Courier New" w:eastAsia="Courier New" w:hAnsi="Courier New"/>
          <w:sz w:val="16"/>
          <w:szCs w:val="16"/>
          <w:color w:val="auto"/>
        </w:rPr>
        <w:t>Research and development expenses relating to the Company's semiconductor operations vary primarily with personnel costs, the cost of advanced equipment dedicated to new product and process development and the number of wafers processed. Research and development efforts are focused on advanced process technology, which is the primary determinant in transitioning to next generation products. Simultaneous research and development efforts across multiple products prepare the Company for future product introductions and allow current products to utilize the advanced process technology to achieve higher performance at lower production costs. Application of advanced process technology currently is concentrated on design of shrink versions of the Company's 64 Meg and 128 Meg SDRAMs and on design and development of the Company's 256 Meg SDRAM and RDRAM, DDR SDRAM, Flash and SRAM memory products.</w:t>
      </w:r>
    </w:p>
    <w:p>
      <w:pPr>
        <w:spacing w:after="0" w:line="187" w:lineRule="exact"/>
        <w:rPr>
          <w:sz w:val="20"/>
          <w:szCs w:val="20"/>
          <w:color w:val="auto"/>
        </w:rPr>
      </w:pPr>
    </w:p>
    <w:p>
      <w:pPr>
        <w:jc w:val="center"/>
        <w:ind w:right="2595"/>
        <w:spacing w:after="0"/>
        <w:rPr>
          <w:sz w:val="20"/>
          <w:szCs w:val="20"/>
          <w:color w:val="auto"/>
        </w:rPr>
      </w:pPr>
      <w:r>
        <w:rPr>
          <w:rFonts w:ascii="Courier New" w:cs="Courier New" w:eastAsia="Courier New" w:hAnsi="Courier New"/>
          <w:sz w:val="14"/>
          <w:szCs w:val="14"/>
          <w:color w:val="auto"/>
        </w:rPr>
        <w:t>In 1999, the Company substantially transitioned all operations from .25 (u) to</w:t>
      </w:r>
    </w:p>
    <w:p>
      <w:pPr>
        <w:spacing w:after="0" w:line="20" w:lineRule="exact"/>
        <w:rPr>
          <w:sz w:val="20"/>
          <w:szCs w:val="20"/>
          <w:color w:val="auto"/>
        </w:rPr>
      </w:pPr>
    </w:p>
    <w:p>
      <w:pPr>
        <w:jc w:val="center"/>
        <w:ind w:right="2595"/>
        <w:spacing w:after="0"/>
        <w:rPr>
          <w:sz w:val="20"/>
          <w:szCs w:val="20"/>
          <w:color w:val="auto"/>
        </w:rPr>
      </w:pPr>
      <w:r>
        <w:rPr>
          <w:rFonts w:ascii="Courier New" w:cs="Courier New" w:eastAsia="Courier New" w:hAnsi="Courier New"/>
          <w:sz w:val="14"/>
          <w:szCs w:val="14"/>
          <w:color w:val="auto"/>
        </w:rPr>
        <w:t>.21 (u) process technology capability. The Company expects the transition to .18</w:t>
      </w:r>
    </w:p>
    <w:p>
      <w:pPr>
        <w:spacing w:after="0" w:line="20" w:lineRule="exact"/>
        <w:rPr>
          <w:sz w:val="20"/>
          <w:szCs w:val="20"/>
          <w:color w:val="auto"/>
        </w:rPr>
      </w:pPr>
    </w:p>
    <w:p>
      <w:pPr>
        <w:ind w:left="5" w:right="2879" w:hanging="5"/>
        <w:spacing w:after="0" w:line="236" w:lineRule="auto"/>
        <w:tabs>
          <w:tab w:leader="none" w:pos="377"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capability to be substantially complete in late calendar 1999. The Company anticipates that process technology will move to .15 (u) line widths in the next few years as needed for the development of future generation semiconductor products. Transitions to smaller line widths at the Company's international operations are expected to lag behind transitions at the Boise site by several months as process technology development and initial manufacturing are expected to be completed first at the Boise site.</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Patents and Licenses</w:t>
      </w:r>
    </w:p>
    <w:p>
      <w:pPr>
        <w:spacing w:after="0" w:line="183" w:lineRule="exact"/>
        <w:rPr>
          <w:sz w:val="20"/>
          <w:szCs w:val="20"/>
          <w:color w:val="auto"/>
        </w:rPr>
      </w:pPr>
    </w:p>
    <w:p>
      <w:pPr>
        <w:ind w:left="5" w:right="2959" w:firstLine="186"/>
        <w:spacing w:after="0" w:line="235" w:lineRule="auto"/>
        <w:rPr>
          <w:sz w:val="20"/>
          <w:szCs w:val="20"/>
          <w:color w:val="auto"/>
        </w:rPr>
      </w:pPr>
      <w:r>
        <w:rPr>
          <w:rFonts w:ascii="Courier New" w:cs="Courier New" w:eastAsia="Courier New" w:hAnsi="Courier New"/>
          <w:sz w:val="16"/>
          <w:szCs w:val="16"/>
          <w:color w:val="auto"/>
        </w:rPr>
        <w:t>As of September 2, 1999, the Company owned approximately 2,800 United States patents and 220 foreign patents relating to the use of its products and processes. In addition, the Company has numerous United States and international patent applications pending.</w:t>
      </w:r>
    </w:p>
    <w:p>
      <w:pPr>
        <w:spacing w:after="0" w:line="185" w:lineRule="exact"/>
        <w:rPr>
          <w:sz w:val="20"/>
          <w:szCs w:val="20"/>
          <w:color w:val="auto"/>
        </w:rPr>
      </w:pPr>
    </w:p>
    <w:p>
      <w:pPr>
        <w:ind w:left="5" w:right="2779" w:firstLine="186"/>
        <w:spacing w:after="0" w:line="272" w:lineRule="auto"/>
        <w:rPr>
          <w:sz w:val="20"/>
          <w:szCs w:val="20"/>
          <w:color w:val="auto"/>
        </w:rPr>
      </w:pPr>
      <w:r>
        <w:rPr>
          <w:rFonts w:ascii="Courier New" w:cs="Courier New" w:eastAsia="Courier New" w:hAnsi="Courier New"/>
          <w:sz w:val="14"/>
          <w:szCs w:val="14"/>
          <w:color w:val="auto"/>
        </w:rPr>
        <w:t>The Company has entered into a number of cross-license agreements with third parties. The agreements may require one-time and/or periodic royalty payments and expire at various times. One-time payments are typically capitalized and amortized over the shorter of the estimated useful life of the technology, the patent term or the term of the agreement. In the future, it may be necessary or advantageous for the Company to obtain additional patent licenses or to renew existing license agreements. The Company is unable to predict whether these license agreements can be obtained or renewed on terms acceptable to the Company. Adverse determinations that the Company's manufacturing processes or products have infringed on the product or process rights held by others could subject the Company to significant liabilities to third parties or require material changes in production processes or products, any of which could have a material adverse effect on the Company's business, results of operations and financial condition. (See "Item 7. Management's Discussion and Analysis of Financial Condition and Results of Operations - Certain Factors.")</w:t>
      </w:r>
    </w:p>
    <w:p>
      <w:pPr>
        <w:spacing w:after="0" w:line="200" w:lineRule="exact"/>
        <w:rPr>
          <w:sz w:val="20"/>
          <w:szCs w:val="20"/>
          <w:color w:val="auto"/>
        </w:rPr>
      </w:pPr>
    </w:p>
    <w:p>
      <w:pPr>
        <w:spacing w:after="0" w:line="319"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Employees</w:t>
      </w:r>
    </w:p>
    <w:p>
      <w:pPr>
        <w:spacing w:after="0" w:line="183" w:lineRule="exact"/>
        <w:rPr>
          <w:sz w:val="20"/>
          <w:szCs w:val="20"/>
          <w:color w:val="auto"/>
        </w:rPr>
      </w:pPr>
    </w:p>
    <w:p>
      <w:pPr>
        <w:ind w:left="5" w:right="2879" w:firstLine="186"/>
        <w:spacing w:after="0" w:line="235" w:lineRule="auto"/>
        <w:rPr>
          <w:sz w:val="20"/>
          <w:szCs w:val="20"/>
          <w:color w:val="auto"/>
        </w:rPr>
      </w:pPr>
      <w:r>
        <w:rPr>
          <w:rFonts w:ascii="Courier New" w:cs="Courier New" w:eastAsia="Courier New" w:hAnsi="Courier New"/>
          <w:sz w:val="16"/>
          <w:szCs w:val="16"/>
          <w:color w:val="auto"/>
        </w:rPr>
        <w:t>As of September 2, 1999, the Company had approximately 15,700 full-time employees, including approximately 13,500 in semiconductor operations and 2,200 in PC operations. The Company has approximately</w:t>
      </w:r>
    </w:p>
    <w:p>
      <w:pPr>
        <w:spacing w:after="0" w:line="177" w:lineRule="exact"/>
        <w:rPr>
          <w:sz w:val="20"/>
          <w:szCs w:val="20"/>
          <w:color w:val="auto"/>
        </w:rPr>
      </w:pPr>
    </w:p>
    <w:p>
      <w:pPr>
        <w:ind w:left="3445"/>
        <w:spacing w:after="0"/>
        <w:rPr>
          <w:sz w:val="20"/>
          <w:szCs w:val="20"/>
          <w:color w:val="auto"/>
        </w:rPr>
      </w:pPr>
      <w:r>
        <w:rPr>
          <w:rFonts w:ascii="Courier New" w:cs="Courier New" w:eastAsia="Courier New" w:hAnsi="Courier New"/>
          <w:sz w:val="16"/>
          <w:szCs w:val="16"/>
          <w:color w:val="auto"/>
        </w:rPr>
        <w:t>9/57</w:t>
      </w:r>
    </w:p>
    <w:p>
      <w:pPr>
        <w:sectPr>
          <w:pgSz w:w="11900" w:h="16838" w:orient="portrait"/>
          <w:cols w:equalWidth="0" w:num="1">
            <w:col w:w="10224"/>
          </w:cols>
          <w:pgMar w:left="235" w:top="654" w:right="1440" w:bottom="1440" w:gutter="0" w:footer="0" w:header="0"/>
        </w:sectPr>
      </w:pPr>
    </w:p>
    <w:bookmarkStart w:id="9" w:name="page10"/>
    <w:bookmarkEnd w:id="9"/>
    <w:p>
      <w:pPr>
        <w:ind w:right="2879"/>
        <w:spacing w:after="0" w:line="274" w:lineRule="auto"/>
        <w:rPr>
          <w:sz w:val="20"/>
          <w:szCs w:val="20"/>
          <w:color w:val="auto"/>
        </w:rPr>
      </w:pPr>
      <w:r>
        <w:rPr>
          <w:rFonts w:ascii="Courier New" w:cs="Courier New" w:eastAsia="Courier New" w:hAnsi="Courier New"/>
          <w:sz w:val="14"/>
          <w:szCs w:val="14"/>
          <w:color w:val="auto"/>
        </w:rPr>
        <w:t>2,400 and 1,300 employees in Singapore and Italy, respectively. The Company's Italian employees are represented by labor organizations that have entered into national and local labor contracts with the Company. The Company's employment levels can vary depending on market conditions and the level of the Company's production, research and product and process development and administrative support activities. Many of the Company's employees are highly skilled and the Company's continued success depends in part upon its ability to attract and retain such employees. The loss of key Company personnel could have an adverse effect on the Company's results of operations.</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Environmental Compliance</w:t>
      </w:r>
    </w:p>
    <w:p>
      <w:pPr>
        <w:spacing w:after="0" w:line="183" w:lineRule="exact"/>
        <w:rPr>
          <w:sz w:val="20"/>
          <w:szCs w:val="20"/>
          <w:color w:val="auto"/>
        </w:rPr>
      </w:pPr>
    </w:p>
    <w:p>
      <w:pPr>
        <w:ind w:right="2779" w:firstLine="186"/>
        <w:spacing w:after="0" w:line="236" w:lineRule="auto"/>
        <w:rPr>
          <w:sz w:val="20"/>
          <w:szCs w:val="20"/>
          <w:color w:val="auto"/>
        </w:rPr>
      </w:pPr>
      <w:r>
        <w:rPr>
          <w:rFonts w:ascii="Courier New" w:cs="Courier New" w:eastAsia="Courier New" w:hAnsi="Courier New"/>
          <w:sz w:val="16"/>
          <w:szCs w:val="16"/>
          <w:color w:val="auto"/>
        </w:rPr>
        <w:t>Government regulations impose various environmental controls on discharges, emissions and solid wastes from the Company's manufacturing processes. The Company believes that its activities conform to present environmental regulations. In 1999, MTI continued to conform to the requirements of ISO 14001 certification including a successful independent surveillance audit. To continue certification, MTI met requirements in environmental policy, planning, management, structure and responsibility, training, communication, document control, operational control, emergency preparedness and response, record keeping and management review. While the Company has not experienced any materially adverse effects on its operations from environmental or other government regulations, there can be no assurance that changes in such regulations will not impose the need for additional capital equipment or other compliance requirements. Additionally, the extensive process required to obtain permits for expansion of the Company's facilities may impact how quickly the Company can respond to increases in market demand.</w:t>
      </w:r>
    </w:p>
    <w:p>
      <w:pPr>
        <w:spacing w:after="0" w:line="183"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10/57</w:t>
      </w:r>
    </w:p>
    <w:p>
      <w:pPr>
        <w:sectPr>
          <w:pgSz w:w="11900" w:h="16838" w:orient="portrait"/>
          <w:cols w:equalWidth="0" w:num="1">
            <w:col w:w="10219"/>
          </w:cols>
          <w:pgMar w:left="240" w:top="654"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6"/>
          <w:szCs w:val="16"/>
          <w:color w:val="auto"/>
        </w:rPr>
        <w:t>Officers and Directors of the Registrant</w:t>
      </w:r>
    </w:p>
    <w:p>
      <w:pPr>
        <w:spacing w:after="0" w:line="183" w:lineRule="exact"/>
        <w:rPr>
          <w:sz w:val="20"/>
          <w:szCs w:val="20"/>
          <w:color w:val="auto"/>
        </w:rPr>
      </w:pPr>
    </w:p>
    <w:p>
      <w:pPr>
        <w:ind w:right="2779" w:firstLine="186"/>
        <w:spacing w:after="0" w:line="236" w:lineRule="auto"/>
        <w:rPr>
          <w:sz w:val="20"/>
          <w:szCs w:val="20"/>
          <w:color w:val="auto"/>
        </w:rPr>
      </w:pPr>
      <w:r>
        <w:rPr>
          <w:rFonts w:ascii="Courier New" w:cs="Courier New" w:eastAsia="Courier New" w:hAnsi="Courier New"/>
          <w:sz w:val="16"/>
          <w:szCs w:val="16"/>
          <w:color w:val="auto"/>
        </w:rPr>
        <w:t>Officers of the Company are appointed annually by the Board of Directors. Directors of the Company are elected annually by the shareholders of the Company. Any directors appointed by the Board of Directors to fill vacancies on the Board serve until the next election by the shareholders. All officers and directors serve until their successors are duly chosen or elected and qualified, except in the case of earlier death, resignation or removal.</w:t>
      </w:r>
    </w:p>
    <w:p>
      <w:pPr>
        <w:spacing w:after="0" w:line="183" w:lineRule="exact"/>
        <w:rPr>
          <w:sz w:val="20"/>
          <w:szCs w:val="20"/>
          <w:color w:val="auto"/>
        </w:rPr>
      </w:pPr>
    </w:p>
    <w:p>
      <w:pPr>
        <w:ind w:right="2959" w:firstLine="186"/>
        <w:spacing w:after="0" w:line="235" w:lineRule="auto"/>
        <w:rPr>
          <w:sz w:val="20"/>
          <w:szCs w:val="20"/>
          <w:color w:val="auto"/>
        </w:rPr>
      </w:pPr>
      <w:r>
        <w:rPr>
          <w:rFonts w:ascii="Courier New" w:cs="Courier New" w:eastAsia="Courier New" w:hAnsi="Courier New"/>
          <w:sz w:val="16"/>
          <w:szCs w:val="16"/>
          <w:color w:val="auto"/>
        </w:rPr>
        <w:t>As of November 1, 1999, the following executive officer and directors of the Company were subject to the reporting requirements of Section 16(a) of the Securities Exchange Act of 1934, as amended.</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340" w:type="dxa"/>
            <w:vAlign w:val="bottom"/>
          </w:tcPr>
          <w:p>
            <w:pPr>
              <w:spacing w:after="0"/>
              <w:rPr>
                <w:sz w:val="20"/>
                <w:szCs w:val="20"/>
                <w:color w:val="auto"/>
              </w:rPr>
            </w:pPr>
            <w:r>
              <w:rPr>
                <w:rFonts w:ascii="Courier New" w:cs="Courier New" w:eastAsia="Courier New" w:hAnsi="Courier New"/>
                <w:sz w:val="16"/>
                <w:szCs w:val="16"/>
                <w:color w:val="auto"/>
              </w:rPr>
              <w:t>Name</w:t>
            </w:r>
          </w:p>
        </w:tc>
        <w:tc>
          <w:tcPr>
            <w:tcW w:w="94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Age</w:t>
            </w:r>
          </w:p>
        </w:tc>
        <w:tc>
          <w:tcPr>
            <w:tcW w:w="5300" w:type="dxa"/>
            <w:vAlign w:val="bottom"/>
          </w:tcPr>
          <w:p>
            <w:pPr>
              <w:ind w:left="280"/>
              <w:spacing w:after="0"/>
              <w:rPr>
                <w:sz w:val="20"/>
                <w:szCs w:val="20"/>
                <w:color w:val="auto"/>
              </w:rPr>
            </w:pPr>
            <w:r>
              <w:rPr>
                <w:rFonts w:ascii="Courier New" w:cs="Courier New" w:eastAsia="Courier New" w:hAnsi="Courier New"/>
                <w:sz w:val="16"/>
                <w:szCs w:val="16"/>
                <w:color w:val="auto"/>
              </w:rPr>
              <w:t>Position</w:t>
            </w:r>
          </w:p>
        </w:tc>
      </w:tr>
      <w:tr>
        <w:trPr>
          <w:trHeight w:val="179"/>
        </w:trPr>
        <w:tc>
          <w:tcPr>
            <w:tcW w:w="334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530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3340" w:type="dxa"/>
            <w:vAlign w:val="bottom"/>
          </w:tcPr>
          <w:p>
            <w:pPr>
              <w:spacing w:after="0"/>
              <w:rPr>
                <w:sz w:val="20"/>
                <w:szCs w:val="20"/>
                <w:color w:val="auto"/>
              </w:rPr>
            </w:pPr>
            <w:r>
              <w:rPr>
                <w:rFonts w:ascii="Courier New" w:cs="Courier New" w:eastAsia="Courier New" w:hAnsi="Courier New"/>
                <w:sz w:val="16"/>
                <w:szCs w:val="16"/>
                <w:color w:val="auto"/>
              </w:rPr>
              <w:t>Steven R. Appleton................</w:t>
            </w:r>
          </w:p>
        </w:tc>
        <w:tc>
          <w:tcPr>
            <w:tcW w:w="94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39</w:t>
            </w:r>
          </w:p>
        </w:tc>
        <w:tc>
          <w:tcPr>
            <w:tcW w:w="5300" w:type="dxa"/>
            <w:vAlign w:val="bottom"/>
          </w:tcPr>
          <w:p>
            <w:pPr>
              <w:ind w:left="280"/>
              <w:spacing w:after="0"/>
              <w:rPr>
                <w:sz w:val="20"/>
                <w:szCs w:val="20"/>
                <w:color w:val="auto"/>
              </w:rPr>
            </w:pPr>
            <w:r>
              <w:rPr>
                <w:rFonts w:ascii="Courier New" w:cs="Courier New" w:eastAsia="Courier New" w:hAnsi="Courier New"/>
                <w:sz w:val="16"/>
                <w:szCs w:val="16"/>
                <w:color w:val="auto"/>
              </w:rPr>
              <w:t>Chairman, Chief Executive Officer and President</w:t>
            </w:r>
          </w:p>
        </w:tc>
      </w:tr>
      <w:tr>
        <w:trPr>
          <w:trHeight w:val="179"/>
        </w:trPr>
        <w:tc>
          <w:tcPr>
            <w:tcW w:w="3340" w:type="dxa"/>
            <w:vAlign w:val="bottom"/>
          </w:tcPr>
          <w:p>
            <w:pPr>
              <w:spacing w:after="0" w:line="179" w:lineRule="exact"/>
              <w:rPr>
                <w:sz w:val="20"/>
                <w:szCs w:val="20"/>
                <w:color w:val="auto"/>
              </w:rPr>
            </w:pPr>
            <w:r>
              <w:rPr>
                <w:rFonts w:ascii="Courier New" w:cs="Courier New" w:eastAsia="Courier New" w:hAnsi="Courier New"/>
                <w:sz w:val="16"/>
                <w:szCs w:val="16"/>
                <w:color w:val="auto"/>
              </w:rPr>
              <w:t>Donald D. Baldwin.................</w:t>
            </w:r>
          </w:p>
        </w:tc>
        <w:tc>
          <w:tcPr>
            <w:tcW w:w="94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39</w:t>
            </w:r>
          </w:p>
        </w:tc>
        <w:tc>
          <w:tcPr>
            <w:tcW w:w="530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Vice President of Sales and Marketing</w:t>
            </w:r>
          </w:p>
        </w:tc>
      </w:tr>
      <w:tr>
        <w:trPr>
          <w:trHeight w:val="179"/>
        </w:trPr>
        <w:tc>
          <w:tcPr>
            <w:tcW w:w="3340" w:type="dxa"/>
            <w:vAlign w:val="bottom"/>
          </w:tcPr>
          <w:p>
            <w:pPr>
              <w:spacing w:after="0" w:line="179" w:lineRule="exact"/>
              <w:rPr>
                <w:sz w:val="20"/>
                <w:szCs w:val="20"/>
                <w:color w:val="auto"/>
              </w:rPr>
            </w:pPr>
            <w:r>
              <w:rPr>
                <w:rFonts w:ascii="Courier New" w:cs="Courier New" w:eastAsia="Courier New" w:hAnsi="Courier New"/>
                <w:sz w:val="16"/>
                <w:szCs w:val="16"/>
                <w:color w:val="auto"/>
              </w:rPr>
              <w:t>Kipp A. Bedard....................</w:t>
            </w:r>
          </w:p>
        </w:tc>
        <w:tc>
          <w:tcPr>
            <w:tcW w:w="94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40</w:t>
            </w:r>
          </w:p>
        </w:tc>
        <w:tc>
          <w:tcPr>
            <w:tcW w:w="530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Vice President of Corporate Affairs</w:t>
            </w:r>
          </w:p>
        </w:tc>
      </w:tr>
      <w:tr>
        <w:trPr>
          <w:trHeight w:val="179"/>
        </w:trPr>
        <w:tc>
          <w:tcPr>
            <w:tcW w:w="3340" w:type="dxa"/>
            <w:vAlign w:val="bottom"/>
          </w:tcPr>
          <w:p>
            <w:pPr>
              <w:spacing w:after="0" w:line="179" w:lineRule="exact"/>
              <w:rPr>
                <w:sz w:val="20"/>
                <w:szCs w:val="20"/>
                <w:color w:val="auto"/>
              </w:rPr>
            </w:pPr>
            <w:r>
              <w:rPr>
                <w:rFonts w:ascii="Courier New" w:cs="Courier New" w:eastAsia="Courier New" w:hAnsi="Courier New"/>
                <w:sz w:val="16"/>
                <w:szCs w:val="16"/>
                <w:color w:val="auto"/>
              </w:rPr>
              <w:t>Robert M. Donnelly................</w:t>
            </w:r>
          </w:p>
        </w:tc>
        <w:tc>
          <w:tcPr>
            <w:tcW w:w="94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60</w:t>
            </w:r>
          </w:p>
        </w:tc>
        <w:tc>
          <w:tcPr>
            <w:tcW w:w="530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Vice President of Memory Products</w:t>
            </w:r>
          </w:p>
        </w:tc>
      </w:tr>
      <w:tr>
        <w:trPr>
          <w:trHeight w:val="179"/>
        </w:trPr>
        <w:tc>
          <w:tcPr>
            <w:tcW w:w="3340" w:type="dxa"/>
            <w:vAlign w:val="bottom"/>
          </w:tcPr>
          <w:p>
            <w:pPr>
              <w:spacing w:after="0" w:line="179" w:lineRule="exact"/>
              <w:rPr>
                <w:sz w:val="20"/>
                <w:szCs w:val="20"/>
                <w:color w:val="auto"/>
              </w:rPr>
            </w:pPr>
            <w:r>
              <w:rPr>
                <w:rFonts w:ascii="Courier New" w:cs="Courier New" w:eastAsia="Courier New" w:hAnsi="Courier New"/>
                <w:sz w:val="16"/>
                <w:szCs w:val="16"/>
                <w:color w:val="auto"/>
              </w:rPr>
              <w:t>D. Mark Durcan....................</w:t>
            </w:r>
          </w:p>
        </w:tc>
        <w:tc>
          <w:tcPr>
            <w:tcW w:w="94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38</w:t>
            </w:r>
          </w:p>
        </w:tc>
        <w:tc>
          <w:tcPr>
            <w:tcW w:w="530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w w:val="96"/>
              </w:rPr>
              <w:t>Chief Technical Officer and Vice President of Research</w:t>
            </w:r>
          </w:p>
        </w:tc>
      </w:tr>
      <w:tr>
        <w:trPr>
          <w:trHeight w:val="179"/>
        </w:trPr>
        <w:tc>
          <w:tcPr>
            <w:tcW w:w="3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30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&amp; Development</w:t>
            </w:r>
          </w:p>
        </w:tc>
      </w:tr>
      <w:tr>
        <w:trPr>
          <w:trHeight w:val="179"/>
        </w:trPr>
        <w:tc>
          <w:tcPr>
            <w:tcW w:w="3340" w:type="dxa"/>
            <w:vAlign w:val="bottom"/>
          </w:tcPr>
          <w:p>
            <w:pPr>
              <w:spacing w:after="0" w:line="179" w:lineRule="exact"/>
              <w:rPr>
                <w:sz w:val="20"/>
                <w:szCs w:val="20"/>
                <w:color w:val="auto"/>
              </w:rPr>
            </w:pPr>
            <w:r>
              <w:rPr>
                <w:rFonts w:ascii="Courier New" w:cs="Courier New" w:eastAsia="Courier New" w:hAnsi="Courier New"/>
                <w:sz w:val="16"/>
                <w:szCs w:val="16"/>
                <w:color w:val="auto"/>
              </w:rPr>
              <w:t>Jay L. Hawkins....................</w:t>
            </w:r>
          </w:p>
        </w:tc>
        <w:tc>
          <w:tcPr>
            <w:tcW w:w="94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39</w:t>
            </w:r>
          </w:p>
        </w:tc>
        <w:tc>
          <w:tcPr>
            <w:tcW w:w="530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Vice President of Operations</w:t>
            </w:r>
          </w:p>
        </w:tc>
      </w:tr>
      <w:tr>
        <w:trPr>
          <w:trHeight w:val="179"/>
        </w:trPr>
        <w:tc>
          <w:tcPr>
            <w:tcW w:w="3340" w:type="dxa"/>
            <w:vAlign w:val="bottom"/>
          </w:tcPr>
          <w:p>
            <w:pPr>
              <w:spacing w:after="0" w:line="179" w:lineRule="exact"/>
              <w:rPr>
                <w:sz w:val="20"/>
                <w:szCs w:val="20"/>
                <w:color w:val="auto"/>
              </w:rPr>
            </w:pPr>
            <w:r>
              <w:rPr>
                <w:rFonts w:ascii="Courier New" w:cs="Courier New" w:eastAsia="Courier New" w:hAnsi="Courier New"/>
                <w:sz w:val="16"/>
                <w:szCs w:val="16"/>
                <w:color w:val="auto"/>
              </w:rPr>
              <w:t>Joel J. Kocher....................</w:t>
            </w:r>
          </w:p>
        </w:tc>
        <w:tc>
          <w:tcPr>
            <w:tcW w:w="94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43</w:t>
            </w:r>
          </w:p>
        </w:tc>
        <w:tc>
          <w:tcPr>
            <w:tcW w:w="530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Chairman and Chief Executive Officer of Micron</w:t>
            </w:r>
          </w:p>
        </w:tc>
      </w:tr>
      <w:tr>
        <w:trPr>
          <w:trHeight w:val="179"/>
        </w:trPr>
        <w:tc>
          <w:tcPr>
            <w:tcW w:w="3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30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Electronics, Inc.</w:t>
            </w:r>
          </w:p>
        </w:tc>
      </w:tr>
      <w:tr>
        <w:trPr>
          <w:trHeight w:val="179"/>
        </w:trPr>
        <w:tc>
          <w:tcPr>
            <w:tcW w:w="3340" w:type="dxa"/>
            <w:vAlign w:val="bottom"/>
          </w:tcPr>
          <w:p>
            <w:pPr>
              <w:spacing w:after="0" w:line="179" w:lineRule="exact"/>
              <w:rPr>
                <w:sz w:val="20"/>
                <w:szCs w:val="20"/>
                <w:color w:val="auto"/>
              </w:rPr>
            </w:pPr>
            <w:r>
              <w:rPr>
                <w:rFonts w:ascii="Courier New" w:cs="Courier New" w:eastAsia="Courier New" w:hAnsi="Courier New"/>
                <w:sz w:val="16"/>
                <w:szCs w:val="16"/>
                <w:color w:val="auto"/>
              </w:rPr>
              <w:t>Roderic W. Lewis..................</w:t>
            </w:r>
          </w:p>
        </w:tc>
        <w:tc>
          <w:tcPr>
            <w:tcW w:w="94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44</w:t>
            </w:r>
          </w:p>
        </w:tc>
        <w:tc>
          <w:tcPr>
            <w:tcW w:w="530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Vice President of Legal Affairs, General Counsel and</w:t>
            </w:r>
          </w:p>
        </w:tc>
      </w:tr>
      <w:tr>
        <w:trPr>
          <w:trHeight w:val="179"/>
        </w:trPr>
        <w:tc>
          <w:tcPr>
            <w:tcW w:w="3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30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Corporate Secretary</w:t>
            </w:r>
          </w:p>
        </w:tc>
      </w:tr>
      <w:tr>
        <w:trPr>
          <w:trHeight w:val="179"/>
        </w:trPr>
        <w:tc>
          <w:tcPr>
            <w:tcW w:w="3340" w:type="dxa"/>
            <w:vAlign w:val="bottom"/>
          </w:tcPr>
          <w:p>
            <w:pPr>
              <w:spacing w:after="0" w:line="179" w:lineRule="exact"/>
              <w:rPr>
                <w:sz w:val="20"/>
                <w:szCs w:val="20"/>
                <w:color w:val="auto"/>
              </w:rPr>
            </w:pPr>
            <w:r>
              <w:rPr>
                <w:rFonts w:ascii="Courier New" w:cs="Courier New" w:eastAsia="Courier New" w:hAnsi="Courier New"/>
                <w:sz w:val="16"/>
                <w:szCs w:val="16"/>
                <w:color w:val="auto"/>
              </w:rPr>
              <w:t>Wilbur G. Stover, Jr..............</w:t>
            </w:r>
          </w:p>
        </w:tc>
        <w:tc>
          <w:tcPr>
            <w:tcW w:w="94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46</w:t>
            </w:r>
          </w:p>
        </w:tc>
        <w:tc>
          <w:tcPr>
            <w:tcW w:w="530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w w:val="98"/>
              </w:rPr>
              <w:t>Vice President of Finance and Chief Financial Officer</w:t>
            </w:r>
          </w:p>
        </w:tc>
      </w:tr>
      <w:tr>
        <w:trPr>
          <w:trHeight w:val="179"/>
        </w:trPr>
        <w:tc>
          <w:tcPr>
            <w:tcW w:w="3340" w:type="dxa"/>
            <w:vAlign w:val="bottom"/>
          </w:tcPr>
          <w:p>
            <w:pPr>
              <w:spacing w:after="0" w:line="179" w:lineRule="exact"/>
              <w:rPr>
                <w:sz w:val="20"/>
                <w:szCs w:val="20"/>
                <w:color w:val="auto"/>
              </w:rPr>
            </w:pPr>
            <w:r>
              <w:rPr>
                <w:rFonts w:ascii="Courier New" w:cs="Courier New" w:eastAsia="Courier New" w:hAnsi="Courier New"/>
                <w:sz w:val="16"/>
                <w:szCs w:val="16"/>
                <w:color w:val="auto"/>
              </w:rPr>
              <w:t>James W. Bagley...................</w:t>
            </w:r>
          </w:p>
        </w:tc>
        <w:tc>
          <w:tcPr>
            <w:tcW w:w="94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60</w:t>
            </w:r>
          </w:p>
        </w:tc>
        <w:tc>
          <w:tcPr>
            <w:tcW w:w="530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Director</w:t>
            </w:r>
          </w:p>
        </w:tc>
      </w:tr>
      <w:tr>
        <w:trPr>
          <w:trHeight w:val="179"/>
        </w:trPr>
        <w:tc>
          <w:tcPr>
            <w:tcW w:w="3340" w:type="dxa"/>
            <w:vAlign w:val="bottom"/>
          </w:tcPr>
          <w:p>
            <w:pPr>
              <w:spacing w:after="0" w:line="179" w:lineRule="exact"/>
              <w:rPr>
                <w:sz w:val="20"/>
                <w:szCs w:val="20"/>
                <w:color w:val="auto"/>
              </w:rPr>
            </w:pPr>
            <w:r>
              <w:rPr>
                <w:rFonts w:ascii="Courier New" w:cs="Courier New" w:eastAsia="Courier New" w:hAnsi="Courier New"/>
                <w:sz w:val="16"/>
                <w:szCs w:val="16"/>
                <w:color w:val="auto"/>
              </w:rPr>
              <w:t>Robert A. Lothrop.................</w:t>
            </w:r>
          </w:p>
        </w:tc>
        <w:tc>
          <w:tcPr>
            <w:tcW w:w="94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73</w:t>
            </w:r>
          </w:p>
        </w:tc>
        <w:tc>
          <w:tcPr>
            <w:tcW w:w="530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Director</w:t>
            </w:r>
          </w:p>
        </w:tc>
      </w:tr>
      <w:tr>
        <w:trPr>
          <w:trHeight w:val="179"/>
        </w:trPr>
        <w:tc>
          <w:tcPr>
            <w:tcW w:w="3340" w:type="dxa"/>
            <w:vAlign w:val="bottom"/>
          </w:tcPr>
          <w:p>
            <w:pPr>
              <w:spacing w:after="0" w:line="179" w:lineRule="exact"/>
              <w:rPr>
                <w:sz w:val="20"/>
                <w:szCs w:val="20"/>
                <w:color w:val="auto"/>
              </w:rPr>
            </w:pPr>
            <w:r>
              <w:rPr>
                <w:rFonts w:ascii="Courier New" w:cs="Courier New" w:eastAsia="Courier New" w:hAnsi="Courier New"/>
                <w:sz w:val="16"/>
                <w:szCs w:val="16"/>
                <w:color w:val="auto"/>
              </w:rPr>
              <w:t>Thomas T. Nicholson...............</w:t>
            </w:r>
          </w:p>
        </w:tc>
        <w:tc>
          <w:tcPr>
            <w:tcW w:w="94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63</w:t>
            </w:r>
          </w:p>
        </w:tc>
        <w:tc>
          <w:tcPr>
            <w:tcW w:w="530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Director</w:t>
            </w:r>
          </w:p>
        </w:tc>
      </w:tr>
      <w:tr>
        <w:trPr>
          <w:trHeight w:val="179"/>
        </w:trPr>
        <w:tc>
          <w:tcPr>
            <w:tcW w:w="3340" w:type="dxa"/>
            <w:vAlign w:val="bottom"/>
          </w:tcPr>
          <w:p>
            <w:pPr>
              <w:spacing w:after="0" w:line="179" w:lineRule="exact"/>
              <w:rPr>
                <w:sz w:val="20"/>
                <w:szCs w:val="20"/>
                <w:color w:val="auto"/>
              </w:rPr>
            </w:pPr>
            <w:r>
              <w:rPr>
                <w:rFonts w:ascii="Courier New" w:cs="Courier New" w:eastAsia="Courier New" w:hAnsi="Courier New"/>
                <w:sz w:val="16"/>
                <w:szCs w:val="16"/>
                <w:color w:val="auto"/>
              </w:rPr>
              <w:t>Don J. Simplot....................</w:t>
            </w:r>
          </w:p>
        </w:tc>
        <w:tc>
          <w:tcPr>
            <w:tcW w:w="94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64</w:t>
            </w:r>
          </w:p>
        </w:tc>
        <w:tc>
          <w:tcPr>
            <w:tcW w:w="530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Director</w:t>
            </w:r>
          </w:p>
        </w:tc>
      </w:tr>
      <w:tr>
        <w:trPr>
          <w:trHeight w:val="179"/>
        </w:trPr>
        <w:tc>
          <w:tcPr>
            <w:tcW w:w="3340" w:type="dxa"/>
            <w:vAlign w:val="bottom"/>
          </w:tcPr>
          <w:p>
            <w:pPr>
              <w:spacing w:after="0" w:line="179" w:lineRule="exact"/>
              <w:rPr>
                <w:sz w:val="20"/>
                <w:szCs w:val="20"/>
                <w:color w:val="auto"/>
              </w:rPr>
            </w:pPr>
            <w:r>
              <w:rPr>
                <w:rFonts w:ascii="Courier New" w:cs="Courier New" w:eastAsia="Courier New" w:hAnsi="Courier New"/>
                <w:sz w:val="16"/>
                <w:szCs w:val="16"/>
                <w:color w:val="auto"/>
              </w:rPr>
              <w:t>Gordon C. Smith...................</w:t>
            </w:r>
          </w:p>
        </w:tc>
        <w:tc>
          <w:tcPr>
            <w:tcW w:w="94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70</w:t>
            </w:r>
          </w:p>
        </w:tc>
        <w:tc>
          <w:tcPr>
            <w:tcW w:w="530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Director</w:t>
            </w:r>
          </w:p>
        </w:tc>
      </w:tr>
      <w:tr>
        <w:trPr>
          <w:trHeight w:val="179"/>
        </w:trPr>
        <w:tc>
          <w:tcPr>
            <w:tcW w:w="3340" w:type="dxa"/>
            <w:vAlign w:val="bottom"/>
          </w:tcPr>
          <w:p>
            <w:pPr>
              <w:spacing w:after="0" w:line="179" w:lineRule="exact"/>
              <w:rPr>
                <w:sz w:val="20"/>
                <w:szCs w:val="20"/>
                <w:color w:val="auto"/>
              </w:rPr>
            </w:pPr>
            <w:r>
              <w:rPr>
                <w:rFonts w:ascii="Courier New" w:cs="Courier New" w:eastAsia="Courier New" w:hAnsi="Courier New"/>
                <w:sz w:val="16"/>
                <w:szCs w:val="16"/>
                <w:color w:val="auto"/>
              </w:rPr>
              <w:t>William P. Weber..................</w:t>
            </w:r>
          </w:p>
        </w:tc>
        <w:tc>
          <w:tcPr>
            <w:tcW w:w="94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59</w:t>
            </w:r>
          </w:p>
        </w:tc>
        <w:tc>
          <w:tcPr>
            <w:tcW w:w="530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Director</w:t>
            </w:r>
          </w:p>
        </w:tc>
      </w:tr>
    </w:tbl>
    <w:p>
      <w:pPr>
        <w:spacing w:after="0" w:line="362" w:lineRule="exact"/>
        <w:rPr>
          <w:sz w:val="20"/>
          <w:szCs w:val="20"/>
          <w:color w:val="auto"/>
        </w:rPr>
      </w:pPr>
    </w:p>
    <w:p>
      <w:pPr>
        <w:ind w:right="2779" w:firstLine="186"/>
        <w:spacing w:after="0" w:line="236" w:lineRule="auto"/>
        <w:rPr>
          <w:sz w:val="20"/>
          <w:szCs w:val="20"/>
          <w:color w:val="auto"/>
        </w:rPr>
      </w:pPr>
      <w:r>
        <w:rPr>
          <w:rFonts w:ascii="Courier New" w:cs="Courier New" w:eastAsia="Courier New" w:hAnsi="Courier New"/>
          <w:sz w:val="16"/>
          <w:szCs w:val="16"/>
          <w:color w:val="auto"/>
        </w:rPr>
        <w:t>Steven R. Appleton joined MTI in February 1983 and has served in various capacities with the Company and its subsidiaries. Mr. Appleton first became an officer of MTI in August 1989 and has served in various officer positions, including overseeing the Company's semiconductor operations as President, Chief Executive Officer and Director of Micron Semiconductor, Inc. ("MSI"), then a wholly-owned subsidiary of MTI, from July 1992 to November 1994. From April 1991 until July 1992 and since May 1994, Mr. Appleton has served on MTI's Board of Directors. Since September 1994, Mr. Appleton has served as the Chief Executive Officer, President and Chairman of the Board of Directors of MTI. Mr. Appleton also serves as a Director of MEI. Mr. Appleton holds a BA in Business Management from Boise State University.</w:t>
      </w:r>
    </w:p>
    <w:p>
      <w:pPr>
        <w:spacing w:after="0" w:line="186" w:lineRule="exact"/>
        <w:rPr>
          <w:sz w:val="20"/>
          <w:szCs w:val="20"/>
          <w:color w:val="auto"/>
        </w:rPr>
      </w:pPr>
    </w:p>
    <w:p>
      <w:pPr>
        <w:ind w:right="2879" w:firstLine="186"/>
        <w:spacing w:after="0" w:line="236" w:lineRule="auto"/>
        <w:rPr>
          <w:sz w:val="20"/>
          <w:szCs w:val="20"/>
          <w:color w:val="auto"/>
        </w:rPr>
      </w:pPr>
      <w:r>
        <w:rPr>
          <w:rFonts w:ascii="Courier New" w:cs="Courier New" w:eastAsia="Courier New" w:hAnsi="Courier New"/>
          <w:sz w:val="16"/>
          <w:szCs w:val="16"/>
          <w:color w:val="auto"/>
        </w:rPr>
        <w:t>Donald D. Baldwin joined MTI in April 1984 and has served in various capacities with the Company and its subsidiaries. Mr. Baldwin first became an officer of MTI in May 1991 and has served in various officer positions, including Vice President, Sales of MSI from July 1992 to November 1994. Mr. Baldwin served as Vice President, Sales for MTI from November 1994 through June 1997, at which time he became Vice President of Sales and Marketing. Mr. Baldwin holds a BA in Marketing from Boise State University.</w:t>
      </w:r>
    </w:p>
    <w:p>
      <w:pPr>
        <w:spacing w:after="0" w:line="184" w:lineRule="exact"/>
        <w:rPr>
          <w:sz w:val="20"/>
          <w:szCs w:val="20"/>
          <w:color w:val="auto"/>
        </w:rPr>
      </w:pPr>
    </w:p>
    <w:p>
      <w:pPr>
        <w:ind w:right="2879" w:firstLine="186"/>
        <w:spacing w:after="0" w:line="236" w:lineRule="auto"/>
        <w:rPr>
          <w:sz w:val="20"/>
          <w:szCs w:val="20"/>
          <w:color w:val="auto"/>
        </w:rPr>
      </w:pPr>
      <w:r>
        <w:rPr>
          <w:rFonts w:ascii="Courier New" w:cs="Courier New" w:eastAsia="Courier New" w:hAnsi="Courier New"/>
          <w:sz w:val="16"/>
          <w:szCs w:val="16"/>
          <w:color w:val="auto"/>
        </w:rPr>
        <w:t>Kipp A. Bedard joined MTI in November 1983 and has served in various capacities with the Company and its subsidiaries. Mr. Bedard first became an officer of MTI in April 1990 and has served in various officer positions, including Vice President, Corporate Affairs of MSI from July 1992 to January 1994. Since January 1994, Mr. Bedard has served as Vice President of Corporate Affairs for MTI. Mr. Bedard holds a BBA in Accounting from Boise State University.</w:t>
      </w:r>
    </w:p>
    <w:p>
      <w:pPr>
        <w:spacing w:after="0" w:line="184" w:lineRule="exact"/>
        <w:rPr>
          <w:sz w:val="20"/>
          <w:szCs w:val="20"/>
          <w:color w:val="auto"/>
        </w:rPr>
      </w:pPr>
    </w:p>
    <w:p>
      <w:pPr>
        <w:ind w:right="2959" w:firstLine="186"/>
        <w:spacing w:after="0" w:line="274" w:lineRule="auto"/>
        <w:rPr>
          <w:sz w:val="20"/>
          <w:szCs w:val="20"/>
          <w:color w:val="auto"/>
        </w:rPr>
      </w:pPr>
      <w:r>
        <w:rPr>
          <w:rFonts w:ascii="Courier New" w:cs="Courier New" w:eastAsia="Courier New" w:hAnsi="Courier New"/>
          <w:sz w:val="14"/>
          <w:szCs w:val="14"/>
          <w:color w:val="auto"/>
        </w:rPr>
        <w:t>Robert M. Donnelly joined MTI in September 1988 and has served in various technical positions with the Company and its subsidiaries. Mr. Donnelly first became an officer of MTI in August 1989 and has served in various officer positions, including Vice President, SRAM Products Group of MSI from July 1992 to November 1994. Mr. Donnelly was named Vice President, SRAM Products Group for MTI in November 1994. Mr. Donnelly served as Vice President, SRAM Design and Product Engineering for MTI from October 1995 through November</w:t>
      </w:r>
    </w:p>
    <w:p>
      <w:pPr>
        <w:spacing w:after="0" w:line="158"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11/57</w:t>
      </w:r>
    </w:p>
    <w:p>
      <w:pPr>
        <w:sectPr>
          <w:pgSz w:w="11900" w:h="16838" w:orient="portrait"/>
          <w:cols w:equalWidth="0" w:num="1">
            <w:col w:w="10219"/>
          </w:cols>
          <w:pgMar w:left="240" w:top="648" w:right="1440" w:bottom="1440" w:gutter="0" w:footer="0" w:header="0"/>
        </w:sectPr>
      </w:pPr>
    </w:p>
    <w:bookmarkStart w:id="11" w:name="page12"/>
    <w:bookmarkEnd w:id="11"/>
    <w:p>
      <w:pPr>
        <w:ind w:right="2959"/>
        <w:spacing w:after="0" w:line="295" w:lineRule="auto"/>
        <w:rPr>
          <w:sz w:val="20"/>
          <w:szCs w:val="20"/>
          <w:color w:val="auto"/>
        </w:rPr>
      </w:pPr>
      <w:r>
        <w:rPr>
          <w:rFonts w:ascii="Courier New" w:cs="Courier New" w:eastAsia="Courier New" w:hAnsi="Courier New"/>
          <w:sz w:val="14"/>
          <w:szCs w:val="14"/>
          <w:color w:val="auto"/>
        </w:rPr>
        <w:t>1996, at which time he became Vice President of Memory Products. Mr. Donnelly holds a BS in Electrical Engineering from the University of Louisville.</w:t>
      </w:r>
    </w:p>
    <w:p>
      <w:pPr>
        <w:spacing w:after="0" w:line="147" w:lineRule="exact"/>
        <w:rPr>
          <w:sz w:val="20"/>
          <w:szCs w:val="20"/>
          <w:color w:val="auto"/>
        </w:rPr>
      </w:pPr>
    </w:p>
    <w:p>
      <w:pPr>
        <w:ind w:right="2779" w:firstLine="186"/>
        <w:spacing w:after="0" w:line="274" w:lineRule="auto"/>
        <w:rPr>
          <w:sz w:val="20"/>
          <w:szCs w:val="20"/>
          <w:color w:val="auto"/>
        </w:rPr>
      </w:pPr>
      <w:r>
        <w:rPr>
          <w:rFonts w:ascii="Courier New" w:cs="Courier New" w:eastAsia="Courier New" w:hAnsi="Courier New"/>
          <w:sz w:val="14"/>
          <w:szCs w:val="14"/>
          <w:color w:val="auto"/>
        </w:rPr>
        <w:t>D. Mark Durcan joined MTI in 1984 and has served in various technical positions with the Company and its subsidiaries, including Process Integration Manager from December 1989 until May 1995 and Manager of Process Research and Development from May 1995 until June 1996. Mr. Durcan served as Vice President, Process Research and Development from June 1996 through June 1997, at which time he became Chief Technical Officer and Vice President of Research &amp; Development. Mr. Durcan holds a BS and MS in Chemical Engineering from Rice University.</w:t>
      </w:r>
    </w:p>
    <w:p>
      <w:pPr>
        <w:spacing w:after="0" w:line="164" w:lineRule="exact"/>
        <w:rPr>
          <w:sz w:val="20"/>
          <w:szCs w:val="20"/>
          <w:color w:val="auto"/>
        </w:rPr>
      </w:pPr>
    </w:p>
    <w:p>
      <w:pPr>
        <w:ind w:right="2779" w:firstLine="186"/>
        <w:spacing w:after="0" w:line="236" w:lineRule="auto"/>
        <w:rPr>
          <w:sz w:val="20"/>
          <w:szCs w:val="20"/>
          <w:color w:val="auto"/>
        </w:rPr>
      </w:pPr>
      <w:r>
        <w:rPr>
          <w:rFonts w:ascii="Courier New" w:cs="Courier New" w:eastAsia="Courier New" w:hAnsi="Courier New"/>
          <w:sz w:val="16"/>
          <w:szCs w:val="16"/>
          <w:color w:val="auto"/>
        </w:rPr>
        <w:t>Jay L. Hawkins joined MTI in March 1984 and has served in various manufacturing positions for the Company and its subsidiaries, including Director of Manufacturing for MSI from July 1992 to November 1994 and Director of Manufacturing for MTI from November 1994 to February 1996. Mr. Hawkins served as Vice President, Manufacturing Administration from February 1996 through June 1997, at which time he became Vice President of Operations. Mr. Hawkins holds a BBA in Marketing from Boise State University.</w:t>
      </w:r>
    </w:p>
    <w:p>
      <w:pPr>
        <w:spacing w:after="0" w:line="184" w:lineRule="exact"/>
        <w:rPr>
          <w:sz w:val="20"/>
          <w:szCs w:val="20"/>
          <w:color w:val="auto"/>
        </w:rPr>
      </w:pPr>
    </w:p>
    <w:p>
      <w:pPr>
        <w:ind w:right="2779" w:firstLine="186"/>
        <w:spacing w:after="0" w:line="273" w:lineRule="auto"/>
        <w:rPr>
          <w:sz w:val="20"/>
          <w:szCs w:val="20"/>
          <w:color w:val="auto"/>
        </w:rPr>
      </w:pPr>
      <w:r>
        <w:rPr>
          <w:rFonts w:ascii="Courier New" w:cs="Courier New" w:eastAsia="Courier New" w:hAnsi="Courier New"/>
          <w:sz w:val="14"/>
          <w:szCs w:val="14"/>
          <w:color w:val="auto"/>
        </w:rPr>
        <w:t>Joel J. Kocher joined MEI in January 1998. Prior to joining MEI, Mr. Kocher was employed by Dell Computer Corporation from 1987 until September 1994, most recently serving as President of Worldwide Marketing, Sales and Service. In October 1994, Mr. Kocher joined Artistsoft, where he initially served as Executive Vice President and Chief Operating Officer and subsequently served from October 1995 until December 1996 as President, Chief Operating Officer and Director of Artistsoft. From December 1996 until August 1997, Mr. Kocher served as President and Chief Operating Officer at Power Computing Corporation. Since January 1998, Mr. Kocher has served as the President of MEI and since June 1998 has also served as Chairman and Chief Executive Officer of MEI. Mr. Kocher holds a BBA in Marketing from the University of Florida.</w:t>
      </w:r>
    </w:p>
    <w:p>
      <w:pPr>
        <w:spacing w:after="0" w:line="343" w:lineRule="exact"/>
        <w:rPr>
          <w:sz w:val="20"/>
          <w:szCs w:val="20"/>
          <w:color w:val="auto"/>
        </w:rPr>
      </w:pPr>
    </w:p>
    <w:p>
      <w:pPr>
        <w:ind w:right="2779" w:firstLine="186"/>
        <w:spacing w:after="0" w:line="236" w:lineRule="auto"/>
        <w:rPr>
          <w:sz w:val="20"/>
          <w:szCs w:val="20"/>
          <w:color w:val="auto"/>
        </w:rPr>
      </w:pPr>
      <w:r>
        <w:rPr>
          <w:rFonts w:ascii="Courier New" w:cs="Courier New" w:eastAsia="Courier New" w:hAnsi="Courier New"/>
          <w:sz w:val="16"/>
          <w:szCs w:val="16"/>
          <w:color w:val="auto"/>
        </w:rPr>
        <w:t>Roderic W. Lewis joined MTI in 1991 and has served in various capacities with the Company and its subsidiaries, including Assistant General Counsel for MTI from August 1993 to April 1995. From April 1995 to July 1996, Mr. Lewis served as Vice President, General Counsel and Corporate Secretary for MEI. Mr. Lewis served as Vice President, General Counsel and Corporate Secretary for MTI from July 1996 until November 1996, at which time he became Vice President of Legal Affairs, General Counsel and Corporate Secretary. Mr. Lewis holds a BA in Economics and Asian Studies from Brigham Young University and a JD from Columbia University School of Law.</w:t>
      </w:r>
    </w:p>
    <w:p>
      <w:pPr>
        <w:spacing w:after="0" w:line="185" w:lineRule="exact"/>
        <w:rPr>
          <w:sz w:val="20"/>
          <w:szCs w:val="20"/>
          <w:color w:val="auto"/>
        </w:rPr>
      </w:pPr>
    </w:p>
    <w:p>
      <w:pPr>
        <w:ind w:right="2779" w:firstLine="186"/>
        <w:spacing w:after="0" w:line="236" w:lineRule="auto"/>
        <w:rPr>
          <w:sz w:val="20"/>
          <w:szCs w:val="20"/>
          <w:color w:val="auto"/>
        </w:rPr>
      </w:pPr>
      <w:r>
        <w:rPr>
          <w:rFonts w:ascii="Courier New" w:cs="Courier New" w:eastAsia="Courier New" w:hAnsi="Courier New"/>
          <w:sz w:val="16"/>
          <w:szCs w:val="16"/>
          <w:color w:val="auto"/>
        </w:rPr>
        <w:t>Wilbur G. Stover, Jr. joined MTI in June 1989 and has served in various financial positions with the Company and its subsidiaries, including Vice President, Finance and Chief Financial Officer of MSI from August 1992 to September 1994. Since September 1994, Mr. Stover has served as MTI's Chief Financial Officer and Vice President of Finance. From October 1994 through September 1996, Mr. Stover served on MTI's Board of Directors. Mr. Stover holds a BA in Business Administration from Washington State University.</w:t>
      </w:r>
    </w:p>
    <w:p>
      <w:pPr>
        <w:spacing w:after="0" w:line="184" w:lineRule="exact"/>
        <w:rPr>
          <w:sz w:val="20"/>
          <w:szCs w:val="20"/>
          <w:color w:val="auto"/>
        </w:rPr>
      </w:pPr>
    </w:p>
    <w:p>
      <w:pPr>
        <w:ind w:right="2879" w:firstLine="186"/>
        <w:spacing w:after="0" w:line="236" w:lineRule="auto"/>
        <w:rPr>
          <w:sz w:val="20"/>
          <w:szCs w:val="20"/>
          <w:color w:val="auto"/>
        </w:rPr>
      </w:pPr>
      <w:r>
        <w:rPr>
          <w:rFonts w:ascii="Courier New" w:cs="Courier New" w:eastAsia="Courier New" w:hAnsi="Courier New"/>
          <w:sz w:val="16"/>
          <w:szCs w:val="16"/>
          <w:color w:val="auto"/>
        </w:rPr>
        <w:t>James W. Bagley became the Chairman and Chief Executive Officer of Lam Research Corporation ("Lam") in August 1997, upon consummation of a merger of OnTrak Systems, Inc. ("OnTrak") into Lam. From June 1996 to August 1997, Mr. Bagley served as the Chairman and Chief Executive Officer of OnTrak. Prior to joining OnTrak, Mr. Bagley was employed by Applied Materials, Inc. for 15 years in various senior management positions, including Chief Operating Officer and Vice Chairman of the Board. Mr. Bagley currently is a Director of KLA-Tencor Corporation, Teradyne, Inc. and Kulicke &amp; Soffe Industries, Inc. He has served on MTI's Board of Directors since June 1997. Mr. Bagley holds a BS in Electrical Engineering and MS in Electrical Engineering from Mississippi State University.</w:t>
      </w:r>
    </w:p>
    <w:p>
      <w:pPr>
        <w:spacing w:after="0" w:line="186" w:lineRule="exact"/>
        <w:rPr>
          <w:sz w:val="20"/>
          <w:szCs w:val="20"/>
          <w:color w:val="auto"/>
        </w:rPr>
      </w:pPr>
    </w:p>
    <w:p>
      <w:pPr>
        <w:ind w:right="2879" w:firstLine="186"/>
        <w:spacing w:after="0" w:line="236" w:lineRule="auto"/>
        <w:rPr>
          <w:sz w:val="20"/>
          <w:szCs w:val="20"/>
          <w:color w:val="auto"/>
        </w:rPr>
      </w:pPr>
      <w:r>
        <w:rPr>
          <w:rFonts w:ascii="Courier New" w:cs="Courier New" w:eastAsia="Courier New" w:hAnsi="Courier New"/>
          <w:sz w:val="16"/>
          <w:szCs w:val="16"/>
          <w:color w:val="auto"/>
        </w:rPr>
        <w:t>Robert A. Lothrop served as Senior Vice President of the J.R. Simplot Company from January 1986 until his retirement in January 1991. From August 1986 until July 1992 and since May 1994, Mr. Lothrop has served on the Board of Directors of MTI. From July 1992 until November 1994, he served as a Director of MSI. Mr. Lothrop also serves as a Director of MEI. Mr. Lothrop holds a BS in Engineering from the University of Idaho.</w:t>
      </w:r>
    </w:p>
    <w:p>
      <w:pPr>
        <w:spacing w:after="0" w:line="183" w:lineRule="exact"/>
        <w:rPr>
          <w:sz w:val="20"/>
          <w:szCs w:val="20"/>
          <w:color w:val="auto"/>
        </w:rPr>
      </w:pPr>
    </w:p>
    <w:p>
      <w:pPr>
        <w:ind w:right="2779" w:firstLine="186"/>
        <w:spacing w:after="0" w:line="276" w:lineRule="auto"/>
        <w:rPr>
          <w:sz w:val="20"/>
          <w:szCs w:val="20"/>
          <w:color w:val="auto"/>
        </w:rPr>
      </w:pPr>
      <w:r>
        <w:rPr>
          <w:rFonts w:ascii="Courier New" w:cs="Courier New" w:eastAsia="Courier New" w:hAnsi="Courier New"/>
          <w:sz w:val="14"/>
          <w:szCs w:val="14"/>
          <w:color w:val="auto"/>
        </w:rPr>
        <w:t>Thomas T. Nicholson has served as Vice President and a Director of Honda of Seattle and Toyota of Seattle since 1988. Mr. Nicholson has also served since 1982 as President of Mountain View Equipment Company and since 1962 has been a partner of CCT Land &amp; Cattle. He has served on MTI's Board of Directors since May 1980. Mr. Nicholson holds a BS in Agriculture from the University of Idaho.</w:t>
      </w:r>
    </w:p>
    <w:p>
      <w:pPr>
        <w:spacing w:after="0" w:line="155"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12/57</w:t>
      </w:r>
    </w:p>
    <w:p>
      <w:pPr>
        <w:sectPr>
          <w:pgSz w:w="11900" w:h="16838" w:orient="portrait"/>
          <w:cols w:equalWidth="0" w:num="1">
            <w:col w:w="10219"/>
          </w:cols>
          <w:pgMar w:left="240" w:top="654" w:right="1440" w:bottom="1440" w:gutter="0" w:footer="0" w:header="0"/>
        </w:sectPr>
      </w:pPr>
    </w:p>
    <w:bookmarkStart w:id="12" w:name="page13"/>
    <w:bookmarkEnd w:id="12"/>
    <w:p>
      <w:pPr>
        <w:ind w:right="2959" w:firstLine="186"/>
        <w:spacing w:after="0" w:line="236" w:lineRule="auto"/>
        <w:rPr>
          <w:sz w:val="20"/>
          <w:szCs w:val="20"/>
          <w:color w:val="auto"/>
        </w:rPr>
      </w:pPr>
      <w:r>
        <w:rPr>
          <w:rFonts w:ascii="Courier New" w:cs="Courier New" w:eastAsia="Courier New" w:hAnsi="Courier New"/>
          <w:sz w:val="16"/>
          <w:szCs w:val="16"/>
          <w:color w:val="auto"/>
        </w:rPr>
        <w:t>Don J. Simplot served as the President of Simplot Financial Corporation, a wholly-owned subsidiary of the J.R. Simplot Company, from February 1985 until January 1992. Since 1955, Mr. Don J. Simplot has served in various capacities with the J.R. Simplot Company and presently serves as a Corporate Vice President. Since April 1994, he has also served as a member of the Office of the Chairman of the J.R. Simplot Company. He has served on MTI's Board of Directors since February 1982. Mr. Don Simplot is also a Director of AirSensors, Inc.</w:t>
      </w:r>
    </w:p>
    <w:p>
      <w:pPr>
        <w:spacing w:after="0" w:line="184" w:lineRule="exact"/>
        <w:rPr>
          <w:sz w:val="20"/>
          <w:szCs w:val="20"/>
          <w:color w:val="auto"/>
        </w:rPr>
      </w:pPr>
    </w:p>
    <w:p>
      <w:pPr>
        <w:ind w:right="2779" w:firstLine="186"/>
        <w:spacing w:after="0" w:line="236" w:lineRule="auto"/>
        <w:rPr>
          <w:sz w:val="20"/>
          <w:szCs w:val="20"/>
          <w:color w:val="auto"/>
        </w:rPr>
      </w:pPr>
      <w:r>
        <w:rPr>
          <w:rFonts w:ascii="Courier New" w:cs="Courier New" w:eastAsia="Courier New" w:hAnsi="Courier New"/>
          <w:sz w:val="16"/>
          <w:szCs w:val="16"/>
          <w:color w:val="auto"/>
        </w:rPr>
        <w:t>Gordon C. Smith has served as President of Wesmar, Inc. since September 1996 and has served as Secretary and Treasurer of SSI Management Corp. since September 1994. Mr. Smith served in various management positions from July 1980 until January 1992 for Simplot Financial Corporation, a wholly-owned subsidiary of the J.R. Simplot Company. From May 1988 until his retirement in March 1994, Mr. Smith served as the President and Chief Executive Officer of the J.R. Simplot Company. From February 1982 until February 1984 and since September 1990, he has served on MTI's Board of Directors. Mr. Smith holds a bachelor's degree in Accounting from Idaho State University.</w:t>
      </w:r>
    </w:p>
    <w:p>
      <w:pPr>
        <w:spacing w:after="0" w:line="185" w:lineRule="exact"/>
        <w:rPr>
          <w:sz w:val="20"/>
          <w:szCs w:val="20"/>
          <w:color w:val="auto"/>
        </w:rPr>
      </w:pPr>
    </w:p>
    <w:p>
      <w:pPr>
        <w:ind w:right="2779" w:firstLine="186"/>
        <w:spacing w:after="0" w:line="236" w:lineRule="auto"/>
        <w:rPr>
          <w:sz w:val="20"/>
          <w:szCs w:val="20"/>
          <w:color w:val="auto"/>
        </w:rPr>
      </w:pPr>
      <w:r>
        <w:rPr>
          <w:rFonts w:ascii="Courier New" w:cs="Courier New" w:eastAsia="Courier New" w:hAnsi="Courier New"/>
          <w:sz w:val="16"/>
          <w:szCs w:val="16"/>
          <w:color w:val="auto"/>
        </w:rPr>
        <w:t>William P. Weber served in various capacities with Texas Instruments Incorporated and its subsidiaries from 1962 until April 1998. From December 1986 until December 1993 he served as the President of Texas Instrument's worldwide semiconductor operations and from December 1993 until his retirement in April 1998, he served as Vice Chairman of Texas Instruments Incorporated. He is a member of the Board of Directors of Kmart Corporation and Unigraphics Solutions, Inc. He has served on MTI's Board of Directors since July 1998. Mr. Weber holds a BS in Engineering from Lamar University and a MS in Engineering from Southern Methodist University.</w:t>
      </w:r>
    </w:p>
    <w:p>
      <w:pPr>
        <w:spacing w:after="0" w:line="185" w:lineRule="exact"/>
        <w:rPr>
          <w:sz w:val="20"/>
          <w:szCs w:val="20"/>
          <w:color w:val="auto"/>
        </w:rPr>
      </w:pPr>
    </w:p>
    <w:p>
      <w:pPr>
        <w:ind w:right="2959" w:firstLine="186"/>
        <w:spacing w:after="0" w:line="234" w:lineRule="auto"/>
        <w:rPr>
          <w:sz w:val="20"/>
          <w:szCs w:val="20"/>
          <w:color w:val="auto"/>
        </w:rPr>
      </w:pPr>
      <w:r>
        <w:rPr>
          <w:rFonts w:ascii="Courier New" w:cs="Courier New" w:eastAsia="Courier New" w:hAnsi="Courier New"/>
          <w:sz w:val="16"/>
          <w:szCs w:val="16"/>
          <w:color w:val="auto"/>
        </w:rPr>
        <w:t>There is no family relationship between any director or executive officer of the Company.</w:t>
      </w:r>
    </w:p>
    <w:p>
      <w:pPr>
        <w:spacing w:after="0" w:line="177"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13/57</w:t>
      </w:r>
    </w:p>
    <w:p>
      <w:pPr>
        <w:sectPr>
          <w:pgSz w:w="11900" w:h="16838" w:orient="portrait"/>
          <w:cols w:equalWidth="0" w:num="1">
            <w:col w:w="10219"/>
          </w:cols>
          <w:pgMar w:left="240" w:top="654" w:right="1440" w:bottom="1440" w:gutter="0" w:footer="0" w:header="0"/>
        </w:sectPr>
      </w:pPr>
    </w:p>
    <w:bookmarkStart w:id="13" w:name="page14"/>
    <w:bookmarkEnd w:id="13"/>
    <w:p>
      <w:pPr>
        <w:spacing w:after="0"/>
        <w:tabs>
          <w:tab w:leader="none" w:pos="820" w:val="left"/>
        </w:tabs>
        <w:rPr>
          <w:sz w:val="20"/>
          <w:szCs w:val="20"/>
          <w:color w:val="auto"/>
        </w:rPr>
      </w:pPr>
      <w:r>
        <w:rPr>
          <w:rFonts w:ascii="Courier New" w:cs="Courier New" w:eastAsia="Courier New" w:hAnsi="Courier New"/>
          <w:sz w:val="16"/>
          <w:szCs w:val="16"/>
          <w:color w:val="auto"/>
        </w:rPr>
        <w:t>Item 2.</w:t>
      </w:r>
      <w:r>
        <w:rPr>
          <w:sz w:val="20"/>
          <w:szCs w:val="20"/>
          <w:color w:val="auto"/>
        </w:rPr>
        <w:tab/>
      </w:r>
      <w:r>
        <w:rPr>
          <w:rFonts w:ascii="Courier New" w:cs="Courier New" w:eastAsia="Courier New" w:hAnsi="Courier New"/>
          <w:sz w:val="14"/>
          <w:szCs w:val="14"/>
          <w:color w:val="auto"/>
        </w:rPr>
        <w:t>Properties</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Semiconductor operations</w:t>
      </w:r>
    </w:p>
    <w:p>
      <w:pPr>
        <w:spacing w:after="0" w:line="183" w:lineRule="exact"/>
        <w:rPr>
          <w:sz w:val="20"/>
          <w:szCs w:val="20"/>
          <w:color w:val="auto"/>
        </w:rPr>
      </w:pPr>
    </w:p>
    <w:p>
      <w:pPr>
        <w:ind w:right="2779" w:firstLine="186"/>
        <w:spacing w:after="0" w:line="235" w:lineRule="auto"/>
        <w:rPr>
          <w:sz w:val="20"/>
          <w:szCs w:val="20"/>
          <w:color w:val="auto"/>
        </w:rPr>
      </w:pPr>
      <w:r>
        <w:rPr>
          <w:rFonts w:ascii="Courier New" w:cs="Courier New" w:eastAsia="Courier New" w:hAnsi="Courier New"/>
          <w:sz w:val="16"/>
          <w:szCs w:val="16"/>
          <w:color w:val="auto"/>
        </w:rPr>
        <w:t>The Company's corporate headquarters and principal semiconductor manufacturing, engineering, administrative and support facilities are located on an approximately 830 acre site in Boise, Idaho. All facilities have been constructed since 1981 and are owned by the Company. The Company has approximately 1.9 million square feet of building space at this primary site.</w:t>
      </w:r>
    </w:p>
    <w:p>
      <w:pPr>
        <w:spacing w:after="0" w:line="7" w:lineRule="exact"/>
        <w:rPr>
          <w:sz w:val="20"/>
          <w:szCs w:val="20"/>
          <w:color w:val="auto"/>
        </w:rPr>
      </w:pPr>
    </w:p>
    <w:p>
      <w:pPr>
        <w:jc w:val="both"/>
        <w:ind w:right="3159"/>
        <w:spacing w:after="0" w:line="235" w:lineRule="auto"/>
        <w:rPr>
          <w:sz w:val="20"/>
          <w:szCs w:val="20"/>
          <w:color w:val="auto"/>
        </w:rPr>
      </w:pPr>
      <w:r>
        <w:rPr>
          <w:rFonts w:ascii="Courier New" w:cs="Courier New" w:eastAsia="Courier New" w:hAnsi="Courier New"/>
          <w:sz w:val="16"/>
          <w:szCs w:val="16"/>
          <w:color w:val="auto"/>
        </w:rPr>
        <w:t>Of the total, approximately 494,000 square feet is production space, 633,000 square feet is facility support space and 770,000 square feet is office and other space.</w:t>
      </w:r>
    </w:p>
    <w:p>
      <w:pPr>
        <w:spacing w:after="0" w:line="183" w:lineRule="exact"/>
        <w:rPr>
          <w:sz w:val="20"/>
          <w:szCs w:val="20"/>
          <w:color w:val="auto"/>
        </w:rPr>
      </w:pPr>
    </w:p>
    <w:p>
      <w:pPr>
        <w:ind w:right="2779" w:firstLine="186"/>
        <w:spacing w:after="0" w:line="273" w:lineRule="auto"/>
        <w:rPr>
          <w:sz w:val="20"/>
          <w:szCs w:val="20"/>
          <w:color w:val="auto"/>
        </w:rPr>
      </w:pPr>
      <w:r>
        <w:rPr>
          <w:rFonts w:ascii="Courier New" w:cs="Courier New" w:eastAsia="Courier New" w:hAnsi="Courier New"/>
          <w:sz w:val="14"/>
          <w:szCs w:val="14"/>
          <w:color w:val="auto"/>
        </w:rPr>
        <w:t>The Company also has a number of additional properties including a 590,000 square foot wafer fabrication facility located on 61 acres in Avezzano, Italy and a 532,000 square foot assembly and test facility located on 7 acres in Singapore. The Avezzano facility is comprised of 115,000 square feet of production space, 251,000 square feet of facility support space and 224,000 of office and other space. The Singapore assembly and test facility is comprised of 205,000 square feet of production space, 186,000 square feet of facility support space and 141,000 square feet of office and other space. Approximately 15,000 square feet out of a total 418,000 square foot wafer fabrication facility at the Richardson facility is being used for design engineering.</w:t>
      </w:r>
    </w:p>
    <w:p>
      <w:pPr>
        <w:spacing w:after="0" w:line="344" w:lineRule="exact"/>
        <w:rPr>
          <w:sz w:val="20"/>
          <w:szCs w:val="20"/>
          <w:color w:val="auto"/>
        </w:rPr>
      </w:pPr>
    </w:p>
    <w:p>
      <w:pPr>
        <w:ind w:right="2779" w:firstLine="186"/>
        <w:spacing w:after="0" w:line="274" w:lineRule="auto"/>
        <w:rPr>
          <w:sz w:val="20"/>
          <w:szCs w:val="20"/>
          <w:color w:val="auto"/>
        </w:rPr>
      </w:pPr>
      <w:r>
        <w:rPr>
          <w:rFonts w:ascii="Courier New" w:cs="Courier New" w:eastAsia="Courier New" w:hAnsi="Courier New"/>
          <w:sz w:val="14"/>
          <w:szCs w:val="14"/>
          <w:color w:val="auto"/>
        </w:rPr>
        <w:t>In 1995, the Company initiated construction of an approximate 2 million square foot semiconductor memory manufacturing facility located on 2,400 acres in Lehi, Utah. Completion of this facility was suspended in February 1996 as a result of the decline in average selling prices for semiconductor memory products. As of September 2, 1999, the Company had incurred construction costs of $707 million to build the existing structure. Market conditions for semiconductor memory products will dictate when the Lehi complex is completed.</w:t>
      </w:r>
    </w:p>
    <w:p>
      <w:pPr>
        <w:spacing w:after="0" w:line="164" w:lineRule="exact"/>
        <w:rPr>
          <w:sz w:val="20"/>
          <w:szCs w:val="20"/>
          <w:color w:val="auto"/>
        </w:rPr>
      </w:pPr>
    </w:p>
    <w:p>
      <w:pPr>
        <w:ind w:right="2879" w:firstLine="279"/>
        <w:spacing w:after="0" w:line="276" w:lineRule="auto"/>
        <w:rPr>
          <w:sz w:val="20"/>
          <w:szCs w:val="20"/>
          <w:color w:val="auto"/>
        </w:rPr>
      </w:pPr>
      <w:r>
        <w:rPr>
          <w:rFonts w:ascii="Courier New" w:cs="Courier New" w:eastAsia="Courier New" w:hAnsi="Courier New"/>
          <w:sz w:val="14"/>
          <w:szCs w:val="14"/>
          <w:color w:val="auto"/>
        </w:rPr>
        <w:t>Equipment with a net book value of approximately $200 million was pledged as collateral for outstanding debt and capital leases as of September 2, 1999. Substantially all of the Company's facilities and equipment at the Boise and Lehi sites not otherwise collateralized for outstanding debt and capital leases is pledged as collateral for MTI's $400 million credit agreement.</w:t>
      </w:r>
    </w:p>
    <w:p>
      <w:pPr>
        <w:spacing w:after="0" w:line="155"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PC Operations</w:t>
      </w:r>
    </w:p>
    <w:p>
      <w:pPr>
        <w:spacing w:after="0" w:line="183" w:lineRule="exact"/>
        <w:rPr>
          <w:sz w:val="20"/>
          <w:szCs w:val="20"/>
          <w:color w:val="auto"/>
        </w:rPr>
      </w:pPr>
    </w:p>
    <w:p>
      <w:pPr>
        <w:ind w:right="2779" w:firstLine="186"/>
        <w:spacing w:after="0" w:line="236" w:lineRule="auto"/>
        <w:rPr>
          <w:sz w:val="20"/>
          <w:szCs w:val="20"/>
          <w:color w:val="auto"/>
        </w:rPr>
      </w:pPr>
      <w:r>
        <w:rPr>
          <w:rFonts w:ascii="Courier New" w:cs="Courier New" w:eastAsia="Courier New" w:hAnsi="Courier New"/>
          <w:sz w:val="16"/>
          <w:szCs w:val="16"/>
          <w:color w:val="auto"/>
        </w:rPr>
        <w:t>The Company's PC operations are based in a number of MEI-owned or leased facilities aggregating approximately 625,000 square feet located in Nampa, Idaho. Approximately 215,000 square feet of the Nampa facilities are dedicated to PC manufacturing. The balance of the Nampa facilities is dedicated to sales, technical support, customer service, administrative functions, semiconductor operations and warehouse space. MEI leases a 81,000 square foot facility in Minneapolis, Minnesota, dedicated primarily to PC sales, technical support and administrative functions and a 74,000 square foot facility in Meridian, Idaho, dedicated to a PC call center.</w:t>
      </w:r>
    </w:p>
    <w:p>
      <w:pPr>
        <w:spacing w:after="0" w:line="358"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Item 3.</w:t>
      </w:r>
      <w:r>
        <w:rPr>
          <w:sz w:val="20"/>
          <w:szCs w:val="20"/>
          <w:color w:val="auto"/>
        </w:rPr>
        <w:tab/>
      </w:r>
      <w:r>
        <w:rPr>
          <w:rFonts w:ascii="Courier New" w:cs="Courier New" w:eastAsia="Courier New" w:hAnsi="Courier New"/>
          <w:sz w:val="14"/>
          <w:szCs w:val="14"/>
          <w:color w:val="auto"/>
        </w:rPr>
        <w:t>Legal Proceedings</w:t>
      </w:r>
    </w:p>
    <w:p>
      <w:pPr>
        <w:spacing w:after="0" w:line="183" w:lineRule="exact"/>
        <w:rPr>
          <w:sz w:val="20"/>
          <w:szCs w:val="20"/>
          <w:color w:val="auto"/>
        </w:rPr>
      </w:pPr>
    </w:p>
    <w:p>
      <w:pPr>
        <w:jc w:val="both"/>
        <w:ind w:right="3239" w:firstLine="186"/>
        <w:spacing w:after="0" w:line="283" w:lineRule="auto"/>
        <w:rPr>
          <w:sz w:val="20"/>
          <w:szCs w:val="20"/>
          <w:color w:val="auto"/>
        </w:rPr>
      </w:pPr>
      <w:r>
        <w:rPr>
          <w:rFonts w:ascii="Courier New" w:cs="Courier New" w:eastAsia="Courier New" w:hAnsi="Courier New"/>
          <w:sz w:val="14"/>
          <w:szCs w:val="14"/>
          <w:color w:val="auto"/>
        </w:rPr>
        <w:t>The Company is a party in various legal actions arising out of the normal course of business. (See "Item 7. Management's Discussion and Analysis of Financial Condition and Results of Operations-Certain Factors.")</w:t>
      </w:r>
    </w:p>
    <w:p>
      <w:pPr>
        <w:spacing w:after="0" w:line="327"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Item 4.</w:t>
      </w:r>
      <w:r>
        <w:rPr>
          <w:sz w:val="20"/>
          <w:szCs w:val="20"/>
          <w:color w:val="auto"/>
        </w:rPr>
        <w:tab/>
      </w:r>
      <w:r>
        <w:rPr>
          <w:rFonts w:ascii="Courier New" w:cs="Courier New" w:eastAsia="Courier New" w:hAnsi="Courier New"/>
          <w:sz w:val="14"/>
          <w:szCs w:val="14"/>
          <w:color w:val="auto"/>
        </w:rPr>
        <w:t>Submission of Matters to a Vote of Security Holders</w:t>
      </w:r>
    </w:p>
    <w:p>
      <w:pPr>
        <w:spacing w:after="0" w:line="183" w:lineRule="exact"/>
        <w:rPr>
          <w:sz w:val="20"/>
          <w:szCs w:val="20"/>
          <w:color w:val="auto"/>
        </w:rPr>
      </w:pPr>
    </w:p>
    <w:p>
      <w:pPr>
        <w:ind w:right="3339" w:firstLine="186"/>
        <w:spacing w:after="0" w:line="234" w:lineRule="auto"/>
        <w:rPr>
          <w:sz w:val="20"/>
          <w:szCs w:val="20"/>
          <w:color w:val="auto"/>
        </w:rPr>
      </w:pPr>
      <w:r>
        <w:rPr>
          <w:rFonts w:ascii="Courier New" w:cs="Courier New" w:eastAsia="Courier New" w:hAnsi="Courier New"/>
          <w:sz w:val="16"/>
          <w:szCs w:val="16"/>
          <w:color w:val="auto"/>
        </w:rPr>
        <w:t>There were no matters submitted to a vote of security holders during the fourth quarter of 1999.</w:t>
      </w:r>
    </w:p>
    <w:p>
      <w:pPr>
        <w:spacing w:after="0" w:line="177"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14/57</w:t>
      </w:r>
    </w:p>
    <w:p>
      <w:pPr>
        <w:sectPr>
          <w:pgSz w:w="11900" w:h="16838" w:orient="portrait"/>
          <w:cols w:equalWidth="0" w:num="1">
            <w:col w:w="10219"/>
          </w:cols>
          <w:pgMar w:left="240" w:top="648" w:right="1440" w:bottom="1440" w:gutter="0" w:footer="0" w:header="0"/>
        </w:sectPr>
      </w:pPr>
    </w:p>
    <w:bookmarkStart w:id="14" w:name="page15"/>
    <w:bookmarkEnd w:id="14"/>
    <w:p>
      <w:pPr>
        <w:ind w:left="3340"/>
        <w:spacing w:after="0"/>
        <w:rPr>
          <w:sz w:val="20"/>
          <w:szCs w:val="20"/>
          <w:color w:val="auto"/>
        </w:rPr>
      </w:pPr>
      <w:r>
        <w:rPr>
          <w:rFonts w:ascii="Courier New" w:cs="Courier New" w:eastAsia="Courier New" w:hAnsi="Courier New"/>
          <w:sz w:val="16"/>
          <w:szCs w:val="16"/>
          <w:color w:val="auto"/>
        </w:rPr>
        <w:t>PART II</w:t>
      </w:r>
    </w:p>
    <w:p>
      <w:pPr>
        <w:spacing w:after="0" w:line="355"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Item 5.</w:t>
      </w:r>
      <w:r>
        <w:rPr>
          <w:sz w:val="20"/>
          <w:szCs w:val="20"/>
          <w:color w:val="auto"/>
        </w:rPr>
        <w:tab/>
      </w:r>
      <w:r>
        <w:rPr>
          <w:rFonts w:ascii="Courier New" w:cs="Courier New" w:eastAsia="Courier New" w:hAnsi="Courier New"/>
          <w:sz w:val="14"/>
          <w:szCs w:val="14"/>
          <w:color w:val="auto"/>
        </w:rPr>
        <w:t>Market for Registrant's Common Equity and Related Stockholder Matters</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Market for Common Stock</w:t>
      </w:r>
    </w:p>
    <w:p>
      <w:pPr>
        <w:spacing w:after="0" w:line="183" w:lineRule="exact"/>
        <w:rPr>
          <w:sz w:val="20"/>
          <w:szCs w:val="20"/>
          <w:color w:val="auto"/>
        </w:rPr>
      </w:pPr>
    </w:p>
    <w:p>
      <w:pPr>
        <w:ind w:right="3440" w:firstLine="465"/>
        <w:spacing w:after="0" w:line="235" w:lineRule="auto"/>
        <w:rPr>
          <w:sz w:val="20"/>
          <w:szCs w:val="20"/>
          <w:color w:val="auto"/>
        </w:rPr>
      </w:pPr>
      <w:r>
        <w:rPr>
          <w:rFonts w:ascii="Courier New" w:cs="Courier New" w:eastAsia="Courier New" w:hAnsi="Courier New"/>
          <w:sz w:val="16"/>
          <w:szCs w:val="16"/>
          <w:color w:val="auto"/>
        </w:rPr>
        <w:t>MTI's common stock is listed on the New York Stock Exchange and is traded under the symbol "MU." The following table represents the high and low closing sales prices for MTI's common stock for each quarter of 1999 and 1998, as reported by The Wall Street Journal.</w:t>
      </w:r>
    </w:p>
    <w:p>
      <w:pPr>
        <w:spacing w:after="0" w:line="200" w:lineRule="exact"/>
        <w:rPr>
          <w:sz w:val="20"/>
          <w:szCs w:val="20"/>
          <w:color w:val="auto"/>
        </w:rPr>
      </w:pPr>
    </w:p>
    <w:p>
      <w:pPr>
        <w:spacing w:after="0" w:line="336" w:lineRule="exact"/>
        <w:rPr>
          <w:sz w:val="20"/>
          <w:szCs w:val="20"/>
          <w:color w:val="auto"/>
        </w:rPr>
      </w:pPr>
    </w:p>
    <w:tbl>
      <w:tblPr>
        <w:tblLayout w:type="fixed"/>
        <w:tblInd w:w="740" w:type="dxa"/>
        <w:tblCellMar>
          <w:top w:w="0" w:type="dxa"/>
          <w:left w:w="0" w:type="dxa"/>
          <w:bottom w:w="0" w:type="dxa"/>
          <w:right w:w="0" w:type="dxa"/>
        </w:tblCellMar>
      </w:tblPr>
      <w:tr>
        <w:trPr>
          <w:trHeight w:val="181"/>
        </w:trPr>
        <w:tc>
          <w:tcPr>
            <w:tcW w:w="2980" w:type="dxa"/>
            <w:vAlign w:val="bottom"/>
          </w:tcPr>
          <w:p>
            <w:pPr>
              <w:spacing w:after="0"/>
              <w:rPr>
                <w:sz w:val="15"/>
                <w:szCs w:val="15"/>
                <w:color w:val="auto"/>
              </w:rPr>
            </w:pPr>
          </w:p>
        </w:tc>
        <w:tc>
          <w:tcPr>
            <w:tcW w:w="10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High</w:t>
            </w: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Low</w:t>
            </w:r>
          </w:p>
        </w:tc>
      </w:tr>
      <w:tr>
        <w:trPr>
          <w:trHeight w:val="179"/>
        </w:trPr>
        <w:tc>
          <w:tcPr>
            <w:tcW w:w="2980" w:type="dxa"/>
            <w:vAlign w:val="bottom"/>
          </w:tcPr>
          <w:p>
            <w:pPr>
              <w:spacing w:after="0"/>
              <w:rPr>
                <w:sz w:val="15"/>
                <w:szCs w:val="15"/>
                <w:color w:val="auto"/>
              </w:rPr>
            </w:pP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980" w:type="dxa"/>
            <w:vAlign w:val="bottom"/>
          </w:tcPr>
          <w:p>
            <w:pPr>
              <w:spacing w:after="0" w:line="179" w:lineRule="exact"/>
              <w:rPr>
                <w:sz w:val="20"/>
                <w:szCs w:val="20"/>
                <w:color w:val="auto"/>
              </w:rPr>
            </w:pPr>
            <w:r>
              <w:rPr>
                <w:rFonts w:ascii="Courier New" w:cs="Courier New" w:eastAsia="Courier New" w:hAnsi="Courier New"/>
                <w:sz w:val="16"/>
                <w:szCs w:val="16"/>
                <w:color w:val="auto"/>
              </w:rPr>
              <w:t>1999:</w:t>
            </w:r>
          </w:p>
        </w:tc>
        <w:tc>
          <w:tcPr>
            <w:tcW w:w="10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358"/>
        </w:trPr>
        <w:tc>
          <w:tcPr>
            <w:tcW w:w="2980" w:type="dxa"/>
            <w:vAlign w:val="bottom"/>
          </w:tcPr>
          <w:p>
            <w:pPr>
              <w:ind w:left="180"/>
              <w:spacing w:after="0"/>
              <w:rPr>
                <w:sz w:val="20"/>
                <w:szCs w:val="20"/>
                <w:color w:val="auto"/>
              </w:rPr>
            </w:pPr>
            <w:r>
              <w:rPr>
                <w:rFonts w:ascii="Courier New" w:cs="Courier New" w:eastAsia="Courier New" w:hAnsi="Courier New"/>
                <w:sz w:val="16"/>
                <w:szCs w:val="16"/>
                <w:color w:val="auto"/>
              </w:rPr>
              <w:t>4th quarter.................</w:t>
            </w: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$75.250</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$38.063</w:t>
            </w:r>
          </w:p>
        </w:tc>
      </w:tr>
      <w:tr>
        <w:trPr>
          <w:trHeight w:val="179"/>
        </w:trPr>
        <w:tc>
          <w:tcPr>
            <w:tcW w:w="29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3rd quarter.................</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59.937</w:t>
            </w: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34.500</w:t>
            </w:r>
          </w:p>
        </w:tc>
      </w:tr>
      <w:tr>
        <w:trPr>
          <w:trHeight w:val="179"/>
        </w:trPr>
        <w:tc>
          <w:tcPr>
            <w:tcW w:w="29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2nd quarter.................</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79.500</w:t>
            </w: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46.875</w:t>
            </w:r>
          </w:p>
        </w:tc>
      </w:tr>
      <w:tr>
        <w:trPr>
          <w:trHeight w:val="179"/>
        </w:trPr>
        <w:tc>
          <w:tcPr>
            <w:tcW w:w="29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1st quarter.................</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47.625</w:t>
            </w: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25.062</w:t>
            </w:r>
          </w:p>
        </w:tc>
      </w:tr>
      <w:tr>
        <w:trPr>
          <w:trHeight w:val="179"/>
        </w:trPr>
        <w:tc>
          <w:tcPr>
            <w:tcW w:w="2980" w:type="dxa"/>
            <w:vAlign w:val="bottom"/>
          </w:tcPr>
          <w:p>
            <w:pPr>
              <w:spacing w:after="0" w:line="179" w:lineRule="exact"/>
              <w:rPr>
                <w:sz w:val="20"/>
                <w:szCs w:val="20"/>
                <w:color w:val="auto"/>
              </w:rPr>
            </w:pPr>
            <w:r>
              <w:rPr>
                <w:rFonts w:ascii="Courier New" w:cs="Courier New" w:eastAsia="Courier New" w:hAnsi="Courier New"/>
                <w:sz w:val="16"/>
                <w:szCs w:val="16"/>
                <w:color w:val="auto"/>
              </w:rPr>
              <w:t>1998:</w:t>
            </w:r>
          </w:p>
        </w:tc>
        <w:tc>
          <w:tcPr>
            <w:tcW w:w="10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29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4th quarter.................</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$35.250</w:t>
            </w: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$20.125</w:t>
            </w:r>
          </w:p>
        </w:tc>
      </w:tr>
      <w:tr>
        <w:trPr>
          <w:trHeight w:val="179"/>
        </w:trPr>
        <w:tc>
          <w:tcPr>
            <w:tcW w:w="29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3rd quarter.................</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34.938</w:t>
            </w: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23.813</w:t>
            </w:r>
          </w:p>
        </w:tc>
      </w:tr>
      <w:tr>
        <w:trPr>
          <w:trHeight w:val="179"/>
        </w:trPr>
        <w:tc>
          <w:tcPr>
            <w:tcW w:w="29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2nd quarter.................</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38.000</w:t>
            </w: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22.000</w:t>
            </w:r>
          </w:p>
        </w:tc>
      </w:tr>
      <w:tr>
        <w:trPr>
          <w:trHeight w:val="179"/>
        </w:trPr>
        <w:tc>
          <w:tcPr>
            <w:tcW w:w="29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1st quarter.................</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45.312</w:t>
            </w: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23.125</w:t>
            </w:r>
          </w:p>
        </w:tc>
      </w:tr>
    </w:tbl>
    <w:p>
      <w:pPr>
        <w:spacing w:after="0" w:line="355"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Holders of Record</w:t>
      </w:r>
    </w:p>
    <w:p>
      <w:pPr>
        <w:spacing w:after="0" w:line="183" w:lineRule="exact"/>
        <w:rPr>
          <w:sz w:val="20"/>
          <w:szCs w:val="20"/>
          <w:color w:val="auto"/>
        </w:rPr>
      </w:pPr>
    </w:p>
    <w:p>
      <w:pPr>
        <w:ind w:right="3620" w:firstLine="465"/>
        <w:spacing w:after="0" w:line="295" w:lineRule="auto"/>
        <w:rPr>
          <w:sz w:val="20"/>
          <w:szCs w:val="20"/>
          <w:color w:val="auto"/>
        </w:rPr>
      </w:pPr>
      <w:r>
        <w:rPr>
          <w:rFonts w:ascii="Courier New" w:cs="Courier New" w:eastAsia="Courier New" w:hAnsi="Courier New"/>
          <w:sz w:val="14"/>
          <w:szCs w:val="14"/>
          <w:color w:val="auto"/>
        </w:rPr>
        <w:t>As of October 29, 1999, there were 4,955 shareholders of record of MTI's common stock and one shareholder of record of MTI's Class A Common Stock.</w:t>
      </w:r>
    </w:p>
    <w:p>
      <w:pPr>
        <w:spacing w:after="0" w:line="14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Dividends</w:t>
      </w:r>
    </w:p>
    <w:p>
      <w:pPr>
        <w:spacing w:after="0" w:line="183" w:lineRule="exact"/>
        <w:rPr>
          <w:sz w:val="20"/>
          <w:szCs w:val="20"/>
          <w:color w:val="auto"/>
        </w:rPr>
      </w:pPr>
    </w:p>
    <w:p>
      <w:pPr>
        <w:ind w:right="3620" w:firstLine="186"/>
        <w:spacing w:after="0" w:line="235" w:lineRule="auto"/>
        <w:rPr>
          <w:sz w:val="20"/>
          <w:szCs w:val="20"/>
          <w:color w:val="auto"/>
        </w:rPr>
      </w:pPr>
      <w:r>
        <w:rPr>
          <w:rFonts w:ascii="Courier New" w:cs="Courier New" w:eastAsia="Courier New" w:hAnsi="Courier New"/>
          <w:sz w:val="16"/>
          <w:szCs w:val="16"/>
          <w:color w:val="auto"/>
        </w:rPr>
        <w:t>MTI did not declare or pay any dividends during 1999 or 1998. Future dividends, if any, will vary depending on MTI's profitability and anticipated capital requirements.</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320" w:type="dxa"/>
            <w:vAlign w:val="bottom"/>
          </w:tcPr>
          <w:p>
            <w:pPr>
              <w:spacing w:after="0"/>
              <w:rPr>
                <w:sz w:val="20"/>
                <w:szCs w:val="20"/>
                <w:color w:val="auto"/>
              </w:rPr>
            </w:pPr>
            <w:r>
              <w:rPr>
                <w:rFonts w:ascii="Courier New" w:cs="Courier New" w:eastAsia="Courier New" w:hAnsi="Courier New"/>
                <w:sz w:val="16"/>
                <w:szCs w:val="16"/>
                <w:color w:val="auto"/>
              </w:rPr>
              <w:t>Item 6.  Selected Financial Data</w:t>
            </w:r>
          </w:p>
        </w:tc>
        <w:tc>
          <w:tcPr>
            <w:tcW w:w="9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358"/>
        </w:trPr>
        <w:tc>
          <w:tcPr>
            <w:tcW w:w="4320" w:type="dxa"/>
            <w:vAlign w:val="bottom"/>
          </w:tcPr>
          <w:p>
            <w:pPr>
              <w:ind w:left="3800"/>
              <w:spacing w:after="0"/>
              <w:rPr>
                <w:sz w:val="20"/>
                <w:szCs w:val="20"/>
                <w:color w:val="auto"/>
              </w:rPr>
            </w:pPr>
            <w:r>
              <w:rPr>
                <w:rFonts w:ascii="Courier New" w:cs="Courier New" w:eastAsia="Courier New" w:hAnsi="Courier New"/>
                <w:sz w:val="16"/>
                <w:szCs w:val="16"/>
                <w:color w:val="auto"/>
              </w:rPr>
              <w:t>1999</w:t>
            </w:r>
          </w:p>
        </w:tc>
        <w:tc>
          <w:tcPr>
            <w:tcW w:w="980" w:type="dxa"/>
            <w:vAlign w:val="bottom"/>
          </w:tcPr>
          <w:p>
            <w:pPr>
              <w:spacing w:after="0"/>
              <w:rPr>
                <w:sz w:val="24"/>
                <w:szCs w:val="24"/>
                <w:color w:val="auto"/>
              </w:rPr>
            </w:pPr>
          </w:p>
        </w:tc>
        <w:tc>
          <w:tcPr>
            <w:tcW w:w="1480" w:type="dxa"/>
            <w:vAlign w:val="bottom"/>
          </w:tcPr>
          <w:p>
            <w:pPr>
              <w:jc w:val="right"/>
              <w:ind w:right="1042"/>
              <w:spacing w:after="0"/>
              <w:rPr>
                <w:sz w:val="20"/>
                <w:szCs w:val="20"/>
                <w:color w:val="auto"/>
              </w:rPr>
            </w:pPr>
            <w:r>
              <w:rPr>
                <w:rFonts w:ascii="Courier New" w:cs="Courier New" w:eastAsia="Courier New" w:hAnsi="Courier New"/>
                <w:sz w:val="16"/>
                <w:szCs w:val="16"/>
                <w:color w:val="auto"/>
                <w:w w:val="88"/>
              </w:rPr>
              <w:t>1998</w:t>
            </w:r>
          </w:p>
        </w:tc>
        <w:tc>
          <w:tcPr>
            <w:tcW w:w="52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3"/>
              </w:rPr>
              <w:t>1997</w:t>
            </w:r>
          </w:p>
        </w:tc>
        <w:tc>
          <w:tcPr>
            <w:tcW w:w="13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1996</w:t>
            </w:r>
          </w:p>
        </w:tc>
        <w:tc>
          <w:tcPr>
            <w:tcW w:w="13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1995</w:t>
            </w:r>
          </w:p>
        </w:tc>
        <w:tc>
          <w:tcPr>
            <w:tcW w:w="880" w:type="dxa"/>
            <w:vAlign w:val="bottom"/>
          </w:tcPr>
          <w:p>
            <w:pPr>
              <w:spacing w:after="0"/>
              <w:rPr>
                <w:sz w:val="24"/>
                <w:szCs w:val="24"/>
                <w:color w:val="auto"/>
              </w:rPr>
            </w:pPr>
          </w:p>
        </w:tc>
      </w:tr>
      <w:tr>
        <w:trPr>
          <w:trHeight w:val="179"/>
        </w:trPr>
        <w:tc>
          <w:tcPr>
            <w:tcW w:w="4320" w:type="dxa"/>
            <w:vAlign w:val="bottom"/>
          </w:tcPr>
          <w:p>
            <w:pPr>
              <w:spacing w:after="0"/>
              <w:rPr>
                <w:sz w:val="15"/>
                <w:szCs w:val="15"/>
                <w:color w:val="auto"/>
              </w:rPr>
            </w:pPr>
          </w:p>
        </w:tc>
        <w:tc>
          <w:tcPr>
            <w:tcW w:w="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c>
          <w:tcPr>
            <w:tcW w:w="13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600" w:type="dxa"/>
            <w:vAlign w:val="bottom"/>
            <w:gridSpan w:val="4"/>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(Amunts in millions, except for per share data)</w:t>
            </w:r>
          </w:p>
        </w:tc>
        <w:tc>
          <w:tcPr>
            <w:tcW w:w="880" w:type="dxa"/>
            <w:vAlign w:val="bottom"/>
          </w:tcPr>
          <w:p>
            <w:pPr>
              <w:spacing w:after="0"/>
              <w:rPr>
                <w:sz w:val="15"/>
                <w:szCs w:val="15"/>
                <w:color w:val="auto"/>
              </w:rPr>
            </w:pPr>
          </w:p>
        </w:tc>
      </w:tr>
      <w:tr>
        <w:trPr>
          <w:trHeight w:val="358"/>
        </w:trPr>
        <w:tc>
          <w:tcPr>
            <w:tcW w:w="432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9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$3,764.0</w:t>
            </w:r>
          </w:p>
        </w:tc>
        <w:tc>
          <w:tcPr>
            <w:tcW w:w="1480" w:type="dxa"/>
            <w:vAlign w:val="bottom"/>
          </w:tcPr>
          <w:p>
            <w:pPr>
              <w:jc w:val="right"/>
              <w:ind w:right="2"/>
              <w:spacing w:after="0"/>
              <w:rPr>
                <w:sz w:val="20"/>
                <w:szCs w:val="20"/>
                <w:color w:val="auto"/>
              </w:rPr>
            </w:pPr>
            <w:r>
              <w:rPr>
                <w:rFonts w:ascii="Courier New" w:cs="Courier New" w:eastAsia="Courier New" w:hAnsi="Courier New"/>
                <w:sz w:val="16"/>
                <w:szCs w:val="16"/>
                <w:color w:val="auto"/>
              </w:rPr>
              <w:t>$3,025.3</w:t>
            </w:r>
          </w:p>
        </w:tc>
        <w:tc>
          <w:tcPr>
            <w:tcW w:w="520" w:type="dxa"/>
            <w:vAlign w:val="bottom"/>
          </w:tcPr>
          <w:p>
            <w:pPr>
              <w:spacing w:after="0"/>
              <w:rPr>
                <w:sz w:val="24"/>
                <w:szCs w:val="24"/>
                <w:color w:val="auto"/>
              </w:rPr>
            </w:pPr>
          </w:p>
        </w:tc>
        <w:tc>
          <w:tcPr>
            <w:tcW w:w="13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$3,523.2</w:t>
            </w:r>
          </w:p>
        </w:tc>
        <w:tc>
          <w:tcPr>
            <w:tcW w:w="13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$3,653.8</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$2,952.7</w:t>
            </w:r>
          </w:p>
        </w:tc>
      </w:tr>
      <w:tr>
        <w:trPr>
          <w:trHeight w:val="179"/>
        </w:trPr>
        <w:tc>
          <w:tcPr>
            <w:tcW w:w="4320" w:type="dxa"/>
            <w:vAlign w:val="bottom"/>
          </w:tcPr>
          <w:p>
            <w:pPr>
              <w:spacing w:after="0" w:line="179" w:lineRule="exact"/>
              <w:rPr>
                <w:sz w:val="20"/>
                <w:szCs w:val="20"/>
                <w:color w:val="auto"/>
              </w:rPr>
            </w:pPr>
            <w:r>
              <w:rPr>
                <w:rFonts w:ascii="Courier New" w:cs="Courier New" w:eastAsia="Courier New" w:hAnsi="Courier New"/>
                <w:sz w:val="16"/>
                <w:szCs w:val="16"/>
                <w:color w:val="auto"/>
              </w:rPr>
              <w:t>Gross margin................................</w:t>
            </w:r>
          </w:p>
        </w:tc>
        <w:tc>
          <w:tcPr>
            <w:tcW w:w="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813.6</w:t>
            </w:r>
          </w:p>
        </w:tc>
        <w:tc>
          <w:tcPr>
            <w:tcW w:w="14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280.4</w:t>
            </w:r>
          </w:p>
        </w:tc>
        <w:tc>
          <w:tcPr>
            <w:tcW w:w="520" w:type="dxa"/>
            <w:vAlign w:val="bottom"/>
          </w:tcPr>
          <w:p>
            <w:pPr>
              <w:spacing w:after="0"/>
              <w:rPr>
                <w:sz w:val="15"/>
                <w:szCs w:val="15"/>
                <w:color w:val="auto"/>
              </w:rPr>
            </w:pPr>
          </w:p>
        </w:tc>
        <w:tc>
          <w:tcPr>
            <w:tcW w:w="13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974.8</w:t>
            </w:r>
          </w:p>
        </w:tc>
        <w:tc>
          <w:tcPr>
            <w:tcW w:w="13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1,455.4</w:t>
            </w: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1,624.0</w:t>
            </w:r>
          </w:p>
        </w:tc>
      </w:tr>
      <w:tr>
        <w:trPr>
          <w:trHeight w:val="179"/>
        </w:trPr>
        <w:tc>
          <w:tcPr>
            <w:tcW w:w="4320" w:type="dxa"/>
            <w:vAlign w:val="bottom"/>
          </w:tcPr>
          <w:p>
            <w:pPr>
              <w:spacing w:after="0" w:line="179" w:lineRule="exact"/>
              <w:rPr>
                <w:sz w:val="20"/>
                <w:szCs w:val="20"/>
                <w:color w:val="auto"/>
              </w:rPr>
            </w:pPr>
            <w:r>
              <w:rPr>
                <w:rFonts w:ascii="Courier New" w:cs="Courier New" w:eastAsia="Courier New" w:hAnsi="Courier New"/>
                <w:sz w:val="16"/>
                <w:szCs w:val="16"/>
                <w:color w:val="auto"/>
              </w:rPr>
              <w:t>Operating income (loss).....................</w:t>
            </w:r>
          </w:p>
        </w:tc>
        <w:tc>
          <w:tcPr>
            <w:tcW w:w="9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(47.0)</w:t>
            </w:r>
          </w:p>
        </w:tc>
        <w:tc>
          <w:tcPr>
            <w:tcW w:w="14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(516.4)</w:t>
            </w:r>
          </w:p>
        </w:tc>
        <w:tc>
          <w:tcPr>
            <w:tcW w:w="520" w:type="dxa"/>
            <w:vAlign w:val="bottom"/>
          </w:tcPr>
          <w:p>
            <w:pPr>
              <w:spacing w:after="0"/>
              <w:rPr>
                <w:sz w:val="15"/>
                <w:szCs w:val="15"/>
                <w:color w:val="auto"/>
              </w:rPr>
            </w:pPr>
          </w:p>
        </w:tc>
        <w:tc>
          <w:tcPr>
            <w:tcW w:w="13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374.1</w:t>
            </w:r>
          </w:p>
        </w:tc>
        <w:tc>
          <w:tcPr>
            <w:tcW w:w="13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940.5</w:t>
            </w: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1,307.8</w:t>
            </w:r>
          </w:p>
        </w:tc>
      </w:tr>
      <w:tr>
        <w:trPr>
          <w:trHeight w:val="179"/>
        </w:trPr>
        <w:tc>
          <w:tcPr>
            <w:tcW w:w="4320" w:type="dxa"/>
            <w:vAlign w:val="bottom"/>
          </w:tcPr>
          <w:p>
            <w:pPr>
              <w:spacing w:after="0" w:line="179" w:lineRule="exact"/>
              <w:rPr>
                <w:sz w:val="20"/>
                <w:szCs w:val="20"/>
                <w:color w:val="auto"/>
              </w:rPr>
            </w:pPr>
            <w:r>
              <w:rPr>
                <w:rFonts w:ascii="Courier New" w:cs="Courier New" w:eastAsia="Courier New" w:hAnsi="Courier New"/>
                <w:sz w:val="16"/>
                <w:szCs w:val="16"/>
                <w:color w:val="auto"/>
              </w:rPr>
              <w:t>Net income (loss)...........................</w:t>
            </w:r>
          </w:p>
        </w:tc>
        <w:tc>
          <w:tcPr>
            <w:tcW w:w="9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(68.9)</w:t>
            </w:r>
          </w:p>
        </w:tc>
        <w:tc>
          <w:tcPr>
            <w:tcW w:w="14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(247.1)</w:t>
            </w:r>
          </w:p>
        </w:tc>
        <w:tc>
          <w:tcPr>
            <w:tcW w:w="520" w:type="dxa"/>
            <w:vAlign w:val="bottom"/>
          </w:tcPr>
          <w:p>
            <w:pPr>
              <w:spacing w:after="0"/>
              <w:rPr>
                <w:sz w:val="15"/>
                <w:szCs w:val="15"/>
                <w:color w:val="auto"/>
              </w:rPr>
            </w:pPr>
          </w:p>
        </w:tc>
        <w:tc>
          <w:tcPr>
            <w:tcW w:w="13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315.0</w:t>
            </w:r>
          </w:p>
        </w:tc>
        <w:tc>
          <w:tcPr>
            <w:tcW w:w="13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593.5</w:t>
            </w: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844.1</w:t>
            </w:r>
          </w:p>
        </w:tc>
      </w:tr>
      <w:tr>
        <w:trPr>
          <w:trHeight w:val="179"/>
        </w:trPr>
        <w:tc>
          <w:tcPr>
            <w:tcW w:w="4320" w:type="dxa"/>
            <w:vAlign w:val="bottom"/>
          </w:tcPr>
          <w:p>
            <w:pPr>
              <w:spacing w:after="0" w:line="179" w:lineRule="exact"/>
              <w:rPr>
                <w:sz w:val="20"/>
                <w:szCs w:val="20"/>
                <w:color w:val="auto"/>
              </w:rPr>
            </w:pPr>
            <w:r>
              <w:rPr>
                <w:rFonts w:ascii="Courier New" w:cs="Courier New" w:eastAsia="Courier New" w:hAnsi="Courier New"/>
                <w:sz w:val="16"/>
                <w:szCs w:val="16"/>
                <w:color w:val="auto"/>
              </w:rPr>
              <w:t>Diluted earnings (loss) per share...........</w:t>
            </w:r>
          </w:p>
        </w:tc>
        <w:tc>
          <w:tcPr>
            <w:tcW w:w="9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(0.26)</w:t>
            </w:r>
          </w:p>
        </w:tc>
        <w:tc>
          <w:tcPr>
            <w:tcW w:w="14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(1.15)</w:t>
            </w:r>
          </w:p>
        </w:tc>
        <w:tc>
          <w:tcPr>
            <w:tcW w:w="520" w:type="dxa"/>
            <w:vAlign w:val="bottom"/>
          </w:tcPr>
          <w:p>
            <w:pPr>
              <w:spacing w:after="0"/>
              <w:rPr>
                <w:sz w:val="15"/>
                <w:szCs w:val="15"/>
                <w:color w:val="auto"/>
              </w:rPr>
            </w:pPr>
          </w:p>
        </w:tc>
        <w:tc>
          <w:tcPr>
            <w:tcW w:w="13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1.44</w:t>
            </w:r>
          </w:p>
        </w:tc>
        <w:tc>
          <w:tcPr>
            <w:tcW w:w="13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2.78</w:t>
            </w: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4.00</w:t>
            </w:r>
          </w:p>
        </w:tc>
      </w:tr>
      <w:tr>
        <w:trPr>
          <w:trHeight w:val="179"/>
        </w:trPr>
        <w:tc>
          <w:tcPr>
            <w:tcW w:w="4320" w:type="dxa"/>
            <w:vAlign w:val="bottom"/>
          </w:tcPr>
          <w:p>
            <w:pPr>
              <w:spacing w:after="0" w:line="179" w:lineRule="exact"/>
              <w:rPr>
                <w:sz w:val="20"/>
                <w:szCs w:val="20"/>
                <w:color w:val="auto"/>
              </w:rPr>
            </w:pPr>
            <w:r>
              <w:rPr>
                <w:rFonts w:ascii="Courier New" w:cs="Courier New" w:eastAsia="Courier New" w:hAnsi="Courier New"/>
                <w:sz w:val="16"/>
                <w:szCs w:val="16"/>
                <w:color w:val="auto"/>
              </w:rPr>
              <w:t>Cash dividend declared per share............</w:t>
            </w:r>
          </w:p>
        </w:tc>
        <w:tc>
          <w:tcPr>
            <w:tcW w:w="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c>
          <w:tcPr>
            <w:tcW w:w="13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0.15</w:t>
            </w: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0.15</w:t>
            </w:r>
          </w:p>
        </w:tc>
      </w:tr>
      <w:tr>
        <w:trPr>
          <w:trHeight w:val="179"/>
        </w:trPr>
        <w:tc>
          <w:tcPr>
            <w:tcW w:w="4320" w:type="dxa"/>
            <w:vAlign w:val="bottom"/>
          </w:tcPr>
          <w:p>
            <w:pPr>
              <w:spacing w:after="0" w:line="179" w:lineRule="exact"/>
              <w:rPr>
                <w:sz w:val="20"/>
                <w:szCs w:val="20"/>
                <w:color w:val="auto"/>
              </w:rPr>
            </w:pPr>
            <w:r>
              <w:rPr>
                <w:rFonts w:ascii="Courier New" w:cs="Courier New" w:eastAsia="Courier New" w:hAnsi="Courier New"/>
                <w:sz w:val="16"/>
                <w:szCs w:val="16"/>
                <w:color w:val="auto"/>
              </w:rPr>
              <w:t>Current assets..............................</w:t>
            </w:r>
          </w:p>
        </w:tc>
        <w:tc>
          <w:tcPr>
            <w:tcW w:w="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2,830.0</w:t>
            </w:r>
          </w:p>
        </w:tc>
        <w:tc>
          <w:tcPr>
            <w:tcW w:w="14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1,500.9</w:t>
            </w:r>
          </w:p>
        </w:tc>
        <w:tc>
          <w:tcPr>
            <w:tcW w:w="520" w:type="dxa"/>
            <w:vAlign w:val="bottom"/>
          </w:tcPr>
          <w:p>
            <w:pPr>
              <w:spacing w:after="0"/>
              <w:rPr>
                <w:sz w:val="15"/>
                <w:szCs w:val="15"/>
                <w:color w:val="auto"/>
              </w:rPr>
            </w:pPr>
          </w:p>
        </w:tc>
        <w:tc>
          <w:tcPr>
            <w:tcW w:w="13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1,983.4</w:t>
            </w:r>
          </w:p>
        </w:tc>
        <w:tc>
          <w:tcPr>
            <w:tcW w:w="13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964.0</w:t>
            </w: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1,274.1</w:t>
            </w:r>
          </w:p>
        </w:tc>
      </w:tr>
      <w:tr>
        <w:trPr>
          <w:trHeight w:val="179"/>
        </w:trPr>
        <w:tc>
          <w:tcPr>
            <w:tcW w:w="4320" w:type="dxa"/>
            <w:vAlign w:val="bottom"/>
          </w:tcPr>
          <w:p>
            <w:pPr>
              <w:spacing w:after="0" w:line="179" w:lineRule="exact"/>
              <w:rPr>
                <w:sz w:val="20"/>
                <w:szCs w:val="20"/>
                <w:color w:val="auto"/>
              </w:rPr>
            </w:pPr>
            <w:r>
              <w:rPr>
                <w:rFonts w:ascii="Courier New" w:cs="Courier New" w:eastAsia="Courier New" w:hAnsi="Courier New"/>
                <w:sz w:val="16"/>
                <w:szCs w:val="16"/>
                <w:color w:val="auto"/>
              </w:rPr>
              <w:t>Property, plant and equipment, net..........</w:t>
            </w:r>
          </w:p>
        </w:tc>
        <w:tc>
          <w:tcPr>
            <w:tcW w:w="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3,799.6</w:t>
            </w:r>
          </w:p>
        </w:tc>
        <w:tc>
          <w:tcPr>
            <w:tcW w:w="14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3,035.3</w:t>
            </w:r>
          </w:p>
        </w:tc>
        <w:tc>
          <w:tcPr>
            <w:tcW w:w="520" w:type="dxa"/>
            <w:vAlign w:val="bottom"/>
          </w:tcPr>
          <w:p>
            <w:pPr>
              <w:spacing w:after="0"/>
              <w:rPr>
                <w:sz w:val="15"/>
                <w:szCs w:val="15"/>
                <w:color w:val="auto"/>
              </w:rPr>
            </w:pPr>
          </w:p>
        </w:tc>
        <w:tc>
          <w:tcPr>
            <w:tcW w:w="13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2,763.9</w:t>
            </w:r>
          </w:p>
        </w:tc>
        <w:tc>
          <w:tcPr>
            <w:tcW w:w="13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2,708.1</w:t>
            </w: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1,385.6</w:t>
            </w:r>
          </w:p>
        </w:tc>
      </w:tr>
      <w:tr>
        <w:trPr>
          <w:trHeight w:val="179"/>
        </w:trPr>
        <w:tc>
          <w:tcPr>
            <w:tcW w:w="4320" w:type="dxa"/>
            <w:vAlign w:val="bottom"/>
          </w:tcPr>
          <w:p>
            <w:pPr>
              <w:spacing w:after="0" w:line="179" w:lineRule="exact"/>
              <w:rPr>
                <w:sz w:val="20"/>
                <w:szCs w:val="20"/>
                <w:color w:val="auto"/>
              </w:rPr>
            </w:pPr>
            <w:r>
              <w:rPr>
                <w:rFonts w:ascii="Courier New" w:cs="Courier New" w:eastAsia="Courier New" w:hAnsi="Courier New"/>
                <w:sz w:val="16"/>
                <w:szCs w:val="16"/>
                <w:color w:val="auto"/>
              </w:rPr>
              <w:t>Total assets................................</w:t>
            </w:r>
          </w:p>
        </w:tc>
        <w:tc>
          <w:tcPr>
            <w:tcW w:w="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6,965.2</w:t>
            </w:r>
          </w:p>
        </w:tc>
        <w:tc>
          <w:tcPr>
            <w:tcW w:w="14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4,703.5</w:t>
            </w:r>
          </w:p>
        </w:tc>
        <w:tc>
          <w:tcPr>
            <w:tcW w:w="520" w:type="dxa"/>
            <w:vAlign w:val="bottom"/>
          </w:tcPr>
          <w:p>
            <w:pPr>
              <w:spacing w:after="0"/>
              <w:rPr>
                <w:sz w:val="15"/>
                <w:szCs w:val="15"/>
                <w:color w:val="auto"/>
              </w:rPr>
            </w:pPr>
          </w:p>
        </w:tc>
        <w:tc>
          <w:tcPr>
            <w:tcW w:w="13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4,876.9</w:t>
            </w:r>
          </w:p>
        </w:tc>
        <w:tc>
          <w:tcPr>
            <w:tcW w:w="13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3,751.5</w:t>
            </w: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2,774.9</w:t>
            </w:r>
          </w:p>
        </w:tc>
      </w:tr>
      <w:tr>
        <w:trPr>
          <w:trHeight w:val="179"/>
        </w:trPr>
        <w:tc>
          <w:tcPr>
            <w:tcW w:w="4320" w:type="dxa"/>
            <w:vAlign w:val="bottom"/>
          </w:tcPr>
          <w:p>
            <w:pPr>
              <w:spacing w:after="0" w:line="179" w:lineRule="exact"/>
              <w:rPr>
                <w:sz w:val="20"/>
                <w:szCs w:val="20"/>
                <w:color w:val="auto"/>
              </w:rPr>
            </w:pPr>
            <w:r>
              <w:rPr>
                <w:rFonts w:ascii="Courier New" w:cs="Courier New" w:eastAsia="Courier New" w:hAnsi="Courier New"/>
                <w:sz w:val="16"/>
                <w:szCs w:val="16"/>
                <w:color w:val="auto"/>
              </w:rPr>
              <w:t>Current liabilities.........................</w:t>
            </w:r>
          </w:p>
        </w:tc>
        <w:tc>
          <w:tcPr>
            <w:tcW w:w="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922.0</w:t>
            </w:r>
          </w:p>
        </w:tc>
        <w:tc>
          <w:tcPr>
            <w:tcW w:w="14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745.7</w:t>
            </w:r>
          </w:p>
        </w:tc>
        <w:tc>
          <w:tcPr>
            <w:tcW w:w="520" w:type="dxa"/>
            <w:vAlign w:val="bottom"/>
          </w:tcPr>
          <w:p>
            <w:pPr>
              <w:spacing w:after="0"/>
              <w:rPr>
                <w:sz w:val="15"/>
                <w:szCs w:val="15"/>
                <w:color w:val="auto"/>
              </w:rPr>
            </w:pPr>
          </w:p>
        </w:tc>
        <w:tc>
          <w:tcPr>
            <w:tcW w:w="13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753.2</w:t>
            </w:r>
          </w:p>
        </w:tc>
        <w:tc>
          <w:tcPr>
            <w:tcW w:w="13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664.5</w:t>
            </w: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604.8</w:t>
            </w:r>
          </w:p>
        </w:tc>
      </w:tr>
      <w:tr>
        <w:trPr>
          <w:trHeight w:val="179"/>
        </w:trPr>
        <w:tc>
          <w:tcPr>
            <w:tcW w:w="4320" w:type="dxa"/>
            <w:vAlign w:val="bottom"/>
          </w:tcPr>
          <w:p>
            <w:pPr>
              <w:spacing w:after="0" w:line="179" w:lineRule="exact"/>
              <w:rPr>
                <w:sz w:val="20"/>
                <w:szCs w:val="20"/>
                <w:color w:val="auto"/>
              </w:rPr>
            </w:pPr>
            <w:r>
              <w:rPr>
                <w:rFonts w:ascii="Courier New" w:cs="Courier New" w:eastAsia="Courier New" w:hAnsi="Courier New"/>
                <w:sz w:val="16"/>
                <w:szCs w:val="16"/>
                <w:color w:val="auto"/>
              </w:rPr>
              <w:t>Long-term debt..............................</w:t>
            </w:r>
          </w:p>
        </w:tc>
        <w:tc>
          <w:tcPr>
            <w:tcW w:w="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1,527.5</w:t>
            </w:r>
          </w:p>
        </w:tc>
        <w:tc>
          <w:tcPr>
            <w:tcW w:w="14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758.8</w:t>
            </w:r>
          </w:p>
        </w:tc>
        <w:tc>
          <w:tcPr>
            <w:tcW w:w="520" w:type="dxa"/>
            <w:vAlign w:val="bottom"/>
          </w:tcPr>
          <w:p>
            <w:pPr>
              <w:spacing w:after="0"/>
              <w:rPr>
                <w:sz w:val="15"/>
                <w:szCs w:val="15"/>
                <w:color w:val="auto"/>
              </w:rPr>
            </w:pPr>
          </w:p>
        </w:tc>
        <w:tc>
          <w:tcPr>
            <w:tcW w:w="13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762.3</w:t>
            </w:r>
          </w:p>
        </w:tc>
        <w:tc>
          <w:tcPr>
            <w:tcW w:w="13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314.6</w:t>
            </w: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129.4</w:t>
            </w:r>
          </w:p>
        </w:tc>
      </w:tr>
      <w:tr>
        <w:trPr>
          <w:trHeight w:val="179"/>
        </w:trPr>
        <w:tc>
          <w:tcPr>
            <w:tcW w:w="4320" w:type="dxa"/>
            <w:vAlign w:val="bottom"/>
          </w:tcPr>
          <w:p>
            <w:pPr>
              <w:spacing w:after="0" w:line="179" w:lineRule="exact"/>
              <w:rPr>
                <w:sz w:val="20"/>
                <w:szCs w:val="20"/>
                <w:color w:val="auto"/>
              </w:rPr>
            </w:pPr>
            <w:r>
              <w:rPr>
                <w:rFonts w:ascii="Courier New" w:cs="Courier New" w:eastAsia="Courier New" w:hAnsi="Courier New"/>
                <w:sz w:val="16"/>
                <w:szCs w:val="16"/>
                <w:color w:val="auto"/>
              </w:rPr>
              <w:t>Shareholders' equity........................</w:t>
            </w:r>
          </w:p>
        </w:tc>
        <w:tc>
          <w:tcPr>
            <w:tcW w:w="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3,964.1</w:t>
            </w:r>
          </w:p>
        </w:tc>
        <w:tc>
          <w:tcPr>
            <w:tcW w:w="14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2,701.3</w:t>
            </w:r>
          </w:p>
        </w:tc>
        <w:tc>
          <w:tcPr>
            <w:tcW w:w="520" w:type="dxa"/>
            <w:vAlign w:val="bottom"/>
          </w:tcPr>
          <w:p>
            <w:pPr>
              <w:spacing w:after="0"/>
              <w:rPr>
                <w:sz w:val="15"/>
                <w:szCs w:val="15"/>
                <w:color w:val="auto"/>
              </w:rPr>
            </w:pPr>
          </w:p>
        </w:tc>
        <w:tc>
          <w:tcPr>
            <w:tcW w:w="13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2,904.2</w:t>
            </w:r>
          </w:p>
        </w:tc>
        <w:tc>
          <w:tcPr>
            <w:tcW w:w="13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2,502.0</w:t>
            </w: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1,896.2</w:t>
            </w:r>
          </w:p>
        </w:tc>
      </w:tr>
    </w:tbl>
    <w:p>
      <w:pPr>
        <w:spacing w:after="0" w:line="362" w:lineRule="exact"/>
        <w:rPr>
          <w:sz w:val="20"/>
          <w:szCs w:val="20"/>
          <w:color w:val="auto"/>
        </w:rPr>
      </w:pPr>
    </w:p>
    <w:p>
      <w:pPr>
        <w:ind w:right="3620" w:firstLine="186"/>
        <w:spacing w:after="0" w:line="235" w:lineRule="auto"/>
        <w:rPr>
          <w:sz w:val="20"/>
          <w:szCs w:val="20"/>
          <w:color w:val="auto"/>
        </w:rPr>
      </w:pPr>
      <w:r>
        <w:rPr>
          <w:rFonts w:ascii="Courier New" w:cs="Courier New" w:eastAsia="Courier New" w:hAnsi="Courier New"/>
          <w:sz w:val="16"/>
          <w:szCs w:val="16"/>
          <w:color w:val="auto"/>
        </w:rPr>
        <w:t>Certain Fiscal 1998 and 1997 amounts have been restated as a result of a merger with Rendition, Inc. which was accounted for as a business combination using the pooling-of-interests method.</w:t>
      </w:r>
    </w:p>
    <w:p>
      <w:pPr>
        <w:spacing w:after="0" w:line="183" w:lineRule="exact"/>
        <w:rPr>
          <w:sz w:val="20"/>
          <w:szCs w:val="20"/>
          <w:color w:val="auto"/>
        </w:rPr>
      </w:pPr>
    </w:p>
    <w:p>
      <w:pPr>
        <w:ind w:right="3520" w:firstLine="186"/>
        <w:spacing w:after="0" w:line="234" w:lineRule="auto"/>
        <w:rPr>
          <w:sz w:val="20"/>
          <w:szCs w:val="20"/>
          <w:color w:val="auto"/>
        </w:rPr>
      </w:pPr>
      <w:r>
        <w:rPr>
          <w:rFonts w:ascii="Courier New" w:cs="Courier New" w:eastAsia="Courier New" w:hAnsi="Courier New"/>
          <w:sz w:val="16"/>
          <w:szCs w:val="16"/>
          <w:color w:val="auto"/>
        </w:rPr>
        <w:t>See "Item 7. Management's Discussion and Analysis of Financial Condition and Results of Operations-Certain Factors."</w:t>
      </w:r>
    </w:p>
    <w:p>
      <w:pPr>
        <w:spacing w:after="0" w:line="177"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15/57</w:t>
      </w:r>
    </w:p>
    <w:p>
      <w:pPr>
        <w:sectPr>
          <w:pgSz w:w="11900" w:h="16838" w:orient="portrait"/>
          <w:cols w:equalWidth="0" w:num="1">
            <w:col w:w="10780"/>
          </w:cols>
          <w:pgMar w:left="240" w:top="648" w:right="879" w:bottom="1440" w:gutter="0" w:footer="0" w:header="0"/>
        </w:sectPr>
      </w:pPr>
    </w:p>
    <w:bookmarkStart w:id="15" w:name="page16"/>
    <w:bookmarkEnd w:id="15"/>
    <w:p>
      <w:pPr>
        <w:ind w:right="2779"/>
        <w:spacing w:after="0" w:line="234" w:lineRule="auto"/>
        <w:rPr>
          <w:sz w:val="20"/>
          <w:szCs w:val="20"/>
          <w:color w:val="auto"/>
        </w:rPr>
      </w:pPr>
      <w:r>
        <w:rPr>
          <w:rFonts w:ascii="Courier New" w:cs="Courier New" w:eastAsia="Courier New" w:hAnsi="Courier New"/>
          <w:sz w:val="16"/>
          <w:szCs w:val="16"/>
          <w:color w:val="auto"/>
        </w:rPr>
        <w:t>Item 7. Management's Discussion and Analysis of Financial Condition and Results of Operations</w:t>
      </w:r>
    </w:p>
    <w:p>
      <w:pPr>
        <w:spacing w:after="0" w:line="183" w:lineRule="exact"/>
        <w:rPr>
          <w:sz w:val="20"/>
          <w:szCs w:val="20"/>
          <w:color w:val="auto"/>
        </w:rPr>
      </w:pPr>
    </w:p>
    <w:p>
      <w:pPr>
        <w:ind w:right="3239" w:firstLine="186"/>
        <w:spacing w:after="0" w:line="236" w:lineRule="auto"/>
        <w:rPr>
          <w:sz w:val="20"/>
          <w:szCs w:val="20"/>
          <w:color w:val="auto"/>
        </w:rPr>
      </w:pPr>
      <w:r>
        <w:rPr>
          <w:rFonts w:ascii="Courier New" w:cs="Courier New" w:eastAsia="Courier New" w:hAnsi="Courier New"/>
          <w:sz w:val="16"/>
          <w:szCs w:val="16"/>
          <w:color w:val="auto"/>
        </w:rPr>
        <w:t>Micron Technology, Inc. and its subsidiaries (hereinafter referred to collectively as the "Company") principally design, develop, manufacture and market semiconductor memory products and personal computer ("PC") systems. Micron Technology, Inc. and its wholly-owned subsidiaries are hereinafter referred to collectively as "MTI." The Company's PC operations are operated through Micron Electronics, Inc. ("MEI"), a 63% owned, publicly-traded subsidiary of MTI.</w:t>
      </w:r>
    </w:p>
    <w:p>
      <w:pPr>
        <w:spacing w:after="0" w:line="184" w:lineRule="exact"/>
        <w:rPr>
          <w:sz w:val="20"/>
          <w:szCs w:val="20"/>
          <w:color w:val="auto"/>
        </w:rPr>
      </w:pPr>
    </w:p>
    <w:p>
      <w:pPr>
        <w:ind w:right="2779" w:firstLine="186"/>
        <w:spacing w:after="0" w:line="236" w:lineRule="auto"/>
        <w:rPr>
          <w:sz w:val="20"/>
          <w:szCs w:val="20"/>
          <w:color w:val="auto"/>
        </w:rPr>
      </w:pPr>
      <w:r>
        <w:rPr>
          <w:rFonts w:ascii="Courier New" w:cs="Courier New" w:eastAsia="Courier New" w:hAnsi="Courier New"/>
          <w:sz w:val="16"/>
          <w:szCs w:val="16"/>
          <w:color w:val="auto"/>
        </w:rPr>
        <w:t>On September 30, 1998, MTI completed the acquisition of substantially all of the semiconductor memory operations of Texas Instruments Incorporated ("TI"). As a result of the acquisition, the Company now operates a wafer fabrication facility in Avezzano, Italy, an assembly and test facility in Singapore and a design engineering center in Richardson, Texas. MTI also has interests in two joint venture wafer fabrication facilities located in Singapore and Japan. The Company's results of operations for fiscal 1999 reflect eleven months results of operations for the acquired operations.</w:t>
      </w:r>
    </w:p>
    <w:p>
      <w:pPr>
        <w:spacing w:after="0" w:line="184" w:lineRule="exact"/>
        <w:rPr>
          <w:sz w:val="20"/>
          <w:szCs w:val="20"/>
          <w:color w:val="auto"/>
        </w:rPr>
      </w:pPr>
    </w:p>
    <w:p>
      <w:pPr>
        <w:ind w:right="2879" w:firstLine="186"/>
        <w:spacing w:after="0" w:line="270" w:lineRule="auto"/>
        <w:rPr>
          <w:sz w:val="20"/>
          <w:szCs w:val="20"/>
          <w:color w:val="auto"/>
        </w:rPr>
      </w:pPr>
      <w:r>
        <w:rPr>
          <w:rFonts w:ascii="Courier New" w:cs="Courier New" w:eastAsia="Courier New" w:hAnsi="Courier New"/>
          <w:sz w:val="14"/>
          <w:szCs w:val="14"/>
          <w:color w:val="auto"/>
        </w:rPr>
        <w:t>The following discussion contains trend information and other forward-looking statements (including, for example, statements regarding future operating results, future capital expenditures and facility expansion, new product introductions, technological developments, acquisitions and the effect thereof and industry trends) that involve a number of risks and uncertainties. The Company's actual results could differ materially from the Company's historical results of operations and those discussed in the forward-looking statements. Factors that could cause actual results to differ materially include, but are not limited to, those identified in "Certain Factors." This discussion should be read in conjunction with the Consolidated Financial Statements and</w:t>
      </w:r>
    </w:p>
    <w:p>
      <w:pPr>
        <w:spacing w:after="0" w:line="5"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accompanying notes. All period references are to the Company's fiscal periods ended September 2, 1999, September 3, 1998, or August 28, 1997, unless otherwise indicated. All per share amounts are presented on a diluted basis unless otherwise stated. All 1998 and 1997 financial data of the Company has been restated to include the results of operations of Rendition, Inc., which was merged with the Company on September 11, 1998.</w:t>
      </w:r>
    </w:p>
    <w:p>
      <w:pPr>
        <w:spacing w:after="0" w:line="183" w:lineRule="exact"/>
        <w:rPr>
          <w:sz w:val="20"/>
          <w:szCs w:val="20"/>
          <w:color w:val="auto"/>
        </w:rPr>
      </w:pPr>
    </w:p>
    <w:p>
      <w:pPr>
        <w:ind w:right="2779" w:firstLine="186"/>
        <w:spacing w:after="0" w:line="236" w:lineRule="auto"/>
        <w:rPr>
          <w:sz w:val="20"/>
          <w:szCs w:val="20"/>
          <w:color w:val="auto"/>
        </w:rPr>
      </w:pPr>
      <w:r>
        <w:rPr>
          <w:rFonts w:ascii="Courier New" w:cs="Courier New" w:eastAsia="Courier New" w:hAnsi="Courier New"/>
          <w:sz w:val="16"/>
          <w:szCs w:val="16"/>
          <w:color w:val="auto"/>
        </w:rPr>
        <w:t>In connection with the preparation of its Consolidated Financial Statements for 1999, the Company implemented a recently issued accounting standard which calls for information regarding the Company's operations to be reported by segments. The Company is organized into two primary operating segments pursuant to its primary product categories: "Semiconductor operations" and "PC operations." Reference is made to the information regarding net sales, operating profit and identifiable assets by reportable segments and net sales by geographic region, under the heading "Operating Segment and Geographic Information" in the "Notes to Consolidated Financial Statements."</w:t>
      </w:r>
    </w:p>
    <w:p>
      <w:pPr>
        <w:spacing w:after="0" w:line="179"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16/57</w:t>
      </w:r>
    </w:p>
    <w:p>
      <w:pPr>
        <w:sectPr>
          <w:pgSz w:w="11900" w:h="16838" w:orient="portrait"/>
          <w:cols w:equalWidth="0" w:num="1">
            <w:col w:w="10219"/>
          </w:cols>
          <w:pgMar w:left="240" w:top="654" w:right="1440"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81"/>
        </w:trPr>
        <w:tc>
          <w:tcPr>
            <w:tcW w:w="4460" w:type="dxa"/>
            <w:vAlign w:val="bottom"/>
          </w:tcPr>
          <w:p>
            <w:pPr>
              <w:spacing w:after="0"/>
              <w:rPr>
                <w:sz w:val="20"/>
                <w:szCs w:val="20"/>
                <w:color w:val="auto"/>
              </w:rPr>
            </w:pPr>
            <w:r>
              <w:rPr>
                <w:rFonts w:ascii="Courier New" w:cs="Courier New" w:eastAsia="Courier New" w:hAnsi="Courier New"/>
                <w:sz w:val="16"/>
                <w:szCs w:val="16"/>
                <w:color w:val="auto"/>
              </w:rPr>
              <w:t>Results of Operations</w:t>
            </w:r>
          </w:p>
        </w:tc>
        <w:tc>
          <w:tcPr>
            <w:tcW w:w="1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537"/>
        </w:trPr>
        <w:tc>
          <w:tcPr>
            <w:tcW w:w="4460" w:type="dxa"/>
            <w:vAlign w:val="bottom"/>
          </w:tcPr>
          <w:p>
            <w:pPr>
              <w:spacing w:after="0"/>
              <w:rPr>
                <w:sz w:val="24"/>
                <w:szCs w:val="24"/>
                <w:color w:val="auto"/>
              </w:rPr>
            </w:pPr>
          </w:p>
        </w:tc>
        <w:tc>
          <w:tcPr>
            <w:tcW w:w="13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1999</w:t>
            </w:r>
          </w:p>
        </w:tc>
        <w:tc>
          <w:tcPr>
            <w:tcW w:w="520" w:type="dxa"/>
            <w:vAlign w:val="bottom"/>
          </w:tcPr>
          <w:p>
            <w:pPr>
              <w:spacing w:after="0"/>
              <w:rPr>
                <w:sz w:val="24"/>
                <w:szCs w:val="24"/>
                <w:color w:val="auto"/>
              </w:rPr>
            </w:pPr>
          </w:p>
        </w:tc>
        <w:tc>
          <w:tcPr>
            <w:tcW w:w="1520" w:type="dxa"/>
            <w:vAlign w:val="bottom"/>
          </w:tcPr>
          <w:p>
            <w:pPr>
              <w:jc w:val="right"/>
              <w:ind w:right="2"/>
              <w:spacing w:after="0"/>
              <w:rPr>
                <w:sz w:val="20"/>
                <w:szCs w:val="20"/>
                <w:color w:val="auto"/>
              </w:rPr>
            </w:pPr>
            <w:r>
              <w:rPr>
                <w:rFonts w:ascii="Courier New" w:cs="Courier New" w:eastAsia="Courier New" w:hAnsi="Courier New"/>
                <w:sz w:val="16"/>
                <w:szCs w:val="16"/>
                <w:color w:val="auto"/>
              </w:rPr>
              <w:t>1998</w:t>
            </w:r>
          </w:p>
        </w:tc>
        <w:tc>
          <w:tcPr>
            <w:tcW w:w="560" w:type="dxa"/>
            <w:vAlign w:val="bottom"/>
          </w:tcPr>
          <w:p>
            <w:pPr>
              <w:spacing w:after="0"/>
              <w:rPr>
                <w:sz w:val="24"/>
                <w:szCs w:val="24"/>
                <w:color w:val="auto"/>
              </w:rPr>
            </w:pPr>
          </w:p>
        </w:tc>
      </w:tr>
      <w:tr>
        <w:trPr>
          <w:trHeight w:val="179"/>
        </w:trPr>
        <w:tc>
          <w:tcPr>
            <w:tcW w:w="4460" w:type="dxa"/>
            <w:vAlign w:val="bottom"/>
          </w:tcPr>
          <w:p>
            <w:pPr>
              <w:spacing w:after="0"/>
              <w:rPr>
                <w:sz w:val="15"/>
                <w:szCs w:val="15"/>
                <w:color w:val="auto"/>
              </w:rPr>
            </w:pPr>
          </w:p>
        </w:tc>
        <w:tc>
          <w:tcPr>
            <w:tcW w:w="182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208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4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(dollars in millions)</w:t>
            </w:r>
          </w:p>
        </w:tc>
      </w:tr>
      <w:tr>
        <w:trPr>
          <w:trHeight w:val="358"/>
        </w:trPr>
        <w:tc>
          <w:tcPr>
            <w:tcW w:w="446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1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79"/>
        </w:trPr>
        <w:tc>
          <w:tcPr>
            <w:tcW w:w="44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8"/>
              </w:rPr>
              <w:t>Semiconductor operations.....................</w:t>
            </w:r>
          </w:p>
        </w:tc>
        <w:tc>
          <w:tcPr>
            <w:tcW w:w="13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$2,569.7</w:t>
            </w:r>
          </w:p>
        </w:tc>
        <w:tc>
          <w:tcPr>
            <w:tcW w:w="5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68%</w:t>
            </w:r>
          </w:p>
        </w:tc>
        <w:tc>
          <w:tcPr>
            <w:tcW w:w="152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$1,421.2</w:t>
            </w:r>
          </w:p>
        </w:tc>
        <w:tc>
          <w:tcPr>
            <w:tcW w:w="5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47%</w:t>
            </w:r>
          </w:p>
        </w:tc>
      </w:tr>
      <w:tr>
        <w:trPr>
          <w:trHeight w:val="179"/>
        </w:trPr>
        <w:tc>
          <w:tcPr>
            <w:tcW w:w="44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8"/>
              </w:rPr>
              <w:t>PC operations................................</w:t>
            </w:r>
          </w:p>
        </w:tc>
        <w:tc>
          <w:tcPr>
            <w:tcW w:w="13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1,239.9</w:t>
            </w:r>
          </w:p>
        </w:tc>
        <w:tc>
          <w:tcPr>
            <w:tcW w:w="5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33%</w:t>
            </w:r>
          </w:p>
        </w:tc>
        <w:tc>
          <w:tcPr>
            <w:tcW w:w="152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1,497.6</w:t>
            </w:r>
          </w:p>
        </w:tc>
        <w:tc>
          <w:tcPr>
            <w:tcW w:w="5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50%</w:t>
            </w:r>
          </w:p>
        </w:tc>
      </w:tr>
      <w:tr>
        <w:trPr>
          <w:trHeight w:val="179"/>
        </w:trPr>
        <w:tc>
          <w:tcPr>
            <w:tcW w:w="44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8"/>
              </w:rPr>
              <w:t>All other....................................</w:t>
            </w:r>
          </w:p>
        </w:tc>
        <w:tc>
          <w:tcPr>
            <w:tcW w:w="13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5.2</w:t>
            </w:r>
          </w:p>
        </w:tc>
        <w:tc>
          <w:tcPr>
            <w:tcW w:w="5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0%</w:t>
            </w:r>
          </w:p>
        </w:tc>
        <w:tc>
          <w:tcPr>
            <w:tcW w:w="152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167.3</w:t>
            </w:r>
          </w:p>
        </w:tc>
        <w:tc>
          <w:tcPr>
            <w:tcW w:w="5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5%</w:t>
            </w:r>
          </w:p>
        </w:tc>
      </w:tr>
      <w:tr>
        <w:trPr>
          <w:trHeight w:val="179"/>
        </w:trPr>
        <w:tc>
          <w:tcPr>
            <w:tcW w:w="44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8"/>
              </w:rPr>
              <w:t>Intersegment.................................</w:t>
            </w:r>
          </w:p>
        </w:tc>
        <w:tc>
          <w:tcPr>
            <w:tcW w:w="1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(50.8)</w:t>
            </w:r>
          </w:p>
        </w:tc>
        <w:tc>
          <w:tcPr>
            <w:tcW w:w="5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3"/>
              </w:rPr>
              <w:t>(1)%</w:t>
            </w:r>
          </w:p>
        </w:tc>
        <w:tc>
          <w:tcPr>
            <w:tcW w:w="15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(60.8)</w:t>
            </w:r>
          </w:p>
        </w:tc>
        <w:tc>
          <w:tcPr>
            <w:tcW w:w="5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w:t>
            </w:r>
          </w:p>
        </w:tc>
      </w:tr>
      <w:tr>
        <w:trPr>
          <w:trHeight w:val="179"/>
        </w:trPr>
        <w:tc>
          <w:tcPr>
            <w:tcW w:w="4460" w:type="dxa"/>
            <w:vAlign w:val="bottom"/>
          </w:tcPr>
          <w:p>
            <w:pPr>
              <w:spacing w:after="0"/>
              <w:rPr>
                <w:sz w:val="15"/>
                <w:szCs w:val="15"/>
                <w:color w:val="auto"/>
              </w:rPr>
            </w:pPr>
          </w:p>
        </w:tc>
        <w:tc>
          <w:tcPr>
            <w:tcW w:w="13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5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0"/>
              </w:rPr>
              <w:t>---</w:t>
            </w:r>
          </w:p>
        </w:tc>
        <w:tc>
          <w:tcPr>
            <w:tcW w:w="152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46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6"/>
              </w:rPr>
              <w:t>Consolidated net sales........................</w:t>
            </w:r>
          </w:p>
        </w:tc>
        <w:tc>
          <w:tcPr>
            <w:tcW w:w="130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$3,764.0</w:t>
            </w:r>
          </w:p>
        </w:tc>
        <w:tc>
          <w:tcPr>
            <w:tcW w:w="52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3"/>
              </w:rPr>
              <w:t>100%</w:t>
            </w:r>
          </w:p>
        </w:tc>
        <w:tc>
          <w:tcPr>
            <w:tcW w:w="1520" w:type="dxa"/>
            <w:vAlign w:val="bottom"/>
          </w:tcPr>
          <w:p>
            <w:pPr>
              <w:jc w:val="right"/>
              <w:ind w:right="182"/>
              <w:spacing w:after="0"/>
              <w:rPr>
                <w:sz w:val="20"/>
                <w:szCs w:val="20"/>
                <w:color w:val="auto"/>
              </w:rPr>
            </w:pPr>
            <w:r>
              <w:rPr>
                <w:rFonts w:ascii="Courier New" w:cs="Courier New" w:eastAsia="Courier New" w:hAnsi="Courier New"/>
                <w:sz w:val="16"/>
                <w:szCs w:val="16"/>
                <w:color w:val="auto"/>
              </w:rPr>
              <w:t>$3,025.3</w:t>
            </w:r>
          </w:p>
        </w:tc>
        <w:tc>
          <w:tcPr>
            <w:tcW w:w="560" w:type="dxa"/>
            <w:vAlign w:val="bottom"/>
          </w:tcPr>
          <w:p>
            <w:pPr>
              <w:jc w:val="right"/>
              <w:ind w:right="2"/>
              <w:spacing w:after="0"/>
              <w:rPr>
                <w:sz w:val="20"/>
                <w:szCs w:val="20"/>
                <w:color w:val="auto"/>
              </w:rPr>
            </w:pPr>
            <w:r>
              <w:rPr>
                <w:rFonts w:ascii="Courier New" w:cs="Courier New" w:eastAsia="Courier New" w:hAnsi="Courier New"/>
                <w:sz w:val="16"/>
                <w:szCs w:val="16"/>
                <w:color w:val="auto"/>
              </w:rPr>
              <w:t>100%</w:t>
            </w:r>
          </w:p>
        </w:tc>
      </w:tr>
      <w:tr>
        <w:trPr>
          <w:trHeight w:val="179"/>
        </w:trPr>
        <w:tc>
          <w:tcPr>
            <w:tcW w:w="4460" w:type="dxa"/>
            <w:vAlign w:val="bottom"/>
          </w:tcPr>
          <w:p>
            <w:pPr>
              <w:spacing w:after="0"/>
              <w:rPr>
                <w:sz w:val="15"/>
                <w:szCs w:val="15"/>
                <w:color w:val="auto"/>
              </w:rPr>
            </w:pPr>
          </w:p>
        </w:tc>
        <w:tc>
          <w:tcPr>
            <w:tcW w:w="13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c>
          <w:tcPr>
            <w:tcW w:w="152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c>
          <w:tcPr>
            <w:tcW w:w="560" w:type="dxa"/>
            <w:vAlign w:val="bottom"/>
          </w:tcPr>
          <w:p>
            <w:pPr>
              <w:spacing w:after="0"/>
              <w:rPr>
                <w:sz w:val="15"/>
                <w:szCs w:val="15"/>
                <w:color w:val="auto"/>
              </w:rPr>
            </w:pPr>
          </w:p>
        </w:tc>
      </w:tr>
      <w:tr>
        <w:trPr>
          <w:trHeight w:val="358"/>
        </w:trPr>
        <w:tc>
          <w:tcPr>
            <w:tcW w:w="4460" w:type="dxa"/>
            <w:vAlign w:val="bottom"/>
          </w:tcPr>
          <w:p>
            <w:pPr>
              <w:spacing w:after="0"/>
              <w:rPr>
                <w:sz w:val="20"/>
                <w:szCs w:val="20"/>
                <w:color w:val="auto"/>
              </w:rPr>
            </w:pPr>
            <w:r>
              <w:rPr>
                <w:rFonts w:ascii="Courier New" w:cs="Courier New" w:eastAsia="Courier New" w:hAnsi="Courier New"/>
                <w:sz w:val="16"/>
                <w:szCs w:val="16"/>
                <w:color w:val="auto"/>
              </w:rPr>
              <w:t>Operating income (loss):</w:t>
            </w:r>
          </w:p>
        </w:tc>
        <w:tc>
          <w:tcPr>
            <w:tcW w:w="1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79"/>
        </w:trPr>
        <w:tc>
          <w:tcPr>
            <w:tcW w:w="44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8"/>
              </w:rPr>
              <w:t>Semiconductor operations.....................</w:t>
            </w:r>
          </w:p>
        </w:tc>
        <w:tc>
          <w:tcPr>
            <w:tcW w:w="13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42.8</w:t>
            </w:r>
          </w:p>
        </w:tc>
        <w:tc>
          <w:tcPr>
            <w:tcW w:w="520" w:type="dxa"/>
            <w:vAlign w:val="bottom"/>
          </w:tcPr>
          <w:p>
            <w:pPr>
              <w:spacing w:after="0"/>
              <w:rPr>
                <w:sz w:val="15"/>
                <w:szCs w:val="15"/>
                <w:color w:val="auto"/>
              </w:rPr>
            </w:pPr>
          </w:p>
        </w:tc>
        <w:tc>
          <w:tcPr>
            <w:tcW w:w="15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(370.6)</w:t>
            </w:r>
          </w:p>
        </w:tc>
        <w:tc>
          <w:tcPr>
            <w:tcW w:w="560" w:type="dxa"/>
            <w:vAlign w:val="bottom"/>
          </w:tcPr>
          <w:p>
            <w:pPr>
              <w:spacing w:after="0"/>
              <w:rPr>
                <w:sz w:val="15"/>
                <w:szCs w:val="15"/>
                <w:color w:val="auto"/>
              </w:rPr>
            </w:pPr>
          </w:p>
        </w:tc>
      </w:tr>
      <w:tr>
        <w:trPr>
          <w:trHeight w:val="179"/>
        </w:trPr>
        <w:tc>
          <w:tcPr>
            <w:tcW w:w="44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8"/>
              </w:rPr>
              <w:t>PC operations................................</w:t>
            </w:r>
          </w:p>
        </w:tc>
        <w:tc>
          <w:tcPr>
            <w:tcW w:w="1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(32.3)</w:t>
            </w:r>
          </w:p>
        </w:tc>
        <w:tc>
          <w:tcPr>
            <w:tcW w:w="520" w:type="dxa"/>
            <w:vAlign w:val="bottom"/>
          </w:tcPr>
          <w:p>
            <w:pPr>
              <w:spacing w:after="0"/>
              <w:rPr>
                <w:sz w:val="15"/>
                <w:szCs w:val="15"/>
                <w:color w:val="auto"/>
              </w:rPr>
            </w:pPr>
          </w:p>
        </w:tc>
        <w:tc>
          <w:tcPr>
            <w:tcW w:w="15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(108.8)</w:t>
            </w:r>
          </w:p>
        </w:tc>
        <w:tc>
          <w:tcPr>
            <w:tcW w:w="560" w:type="dxa"/>
            <w:vAlign w:val="bottom"/>
          </w:tcPr>
          <w:p>
            <w:pPr>
              <w:spacing w:after="0"/>
              <w:rPr>
                <w:sz w:val="15"/>
                <w:szCs w:val="15"/>
                <w:color w:val="auto"/>
              </w:rPr>
            </w:pPr>
          </w:p>
        </w:tc>
      </w:tr>
      <w:tr>
        <w:trPr>
          <w:trHeight w:val="179"/>
        </w:trPr>
        <w:tc>
          <w:tcPr>
            <w:tcW w:w="44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8"/>
              </w:rPr>
              <w:t>All other....................................</w:t>
            </w:r>
          </w:p>
        </w:tc>
        <w:tc>
          <w:tcPr>
            <w:tcW w:w="1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(58.3)</w:t>
            </w:r>
          </w:p>
        </w:tc>
        <w:tc>
          <w:tcPr>
            <w:tcW w:w="520" w:type="dxa"/>
            <w:vAlign w:val="bottom"/>
          </w:tcPr>
          <w:p>
            <w:pPr>
              <w:spacing w:after="0"/>
              <w:rPr>
                <w:sz w:val="15"/>
                <w:szCs w:val="15"/>
                <w:color w:val="auto"/>
              </w:rPr>
            </w:pPr>
          </w:p>
        </w:tc>
        <w:tc>
          <w:tcPr>
            <w:tcW w:w="15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(36.9)</w:t>
            </w:r>
          </w:p>
        </w:tc>
        <w:tc>
          <w:tcPr>
            <w:tcW w:w="560" w:type="dxa"/>
            <w:vAlign w:val="bottom"/>
          </w:tcPr>
          <w:p>
            <w:pPr>
              <w:spacing w:after="0"/>
              <w:rPr>
                <w:sz w:val="15"/>
                <w:szCs w:val="15"/>
                <w:color w:val="auto"/>
              </w:rPr>
            </w:pPr>
          </w:p>
        </w:tc>
      </w:tr>
      <w:tr>
        <w:trPr>
          <w:trHeight w:val="179"/>
        </w:trPr>
        <w:tc>
          <w:tcPr>
            <w:tcW w:w="44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8"/>
              </w:rPr>
              <w:t>Intersegment.................................</w:t>
            </w:r>
          </w:p>
        </w:tc>
        <w:tc>
          <w:tcPr>
            <w:tcW w:w="13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0.8</w:t>
            </w:r>
          </w:p>
        </w:tc>
        <w:tc>
          <w:tcPr>
            <w:tcW w:w="520" w:type="dxa"/>
            <w:vAlign w:val="bottom"/>
          </w:tcPr>
          <w:p>
            <w:pPr>
              <w:spacing w:after="0"/>
              <w:rPr>
                <w:sz w:val="15"/>
                <w:szCs w:val="15"/>
                <w:color w:val="auto"/>
              </w:rPr>
            </w:pPr>
          </w:p>
        </w:tc>
        <w:tc>
          <w:tcPr>
            <w:tcW w:w="15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(0.1)</w:t>
            </w:r>
          </w:p>
        </w:tc>
        <w:tc>
          <w:tcPr>
            <w:tcW w:w="560" w:type="dxa"/>
            <w:vAlign w:val="bottom"/>
          </w:tcPr>
          <w:p>
            <w:pPr>
              <w:spacing w:after="0"/>
              <w:rPr>
                <w:sz w:val="15"/>
                <w:szCs w:val="15"/>
                <w:color w:val="auto"/>
              </w:rPr>
            </w:pPr>
          </w:p>
        </w:tc>
      </w:tr>
      <w:tr>
        <w:trPr>
          <w:trHeight w:val="179"/>
        </w:trPr>
        <w:tc>
          <w:tcPr>
            <w:tcW w:w="4460" w:type="dxa"/>
            <w:vAlign w:val="bottom"/>
          </w:tcPr>
          <w:p>
            <w:pPr>
              <w:spacing w:after="0"/>
              <w:rPr>
                <w:sz w:val="15"/>
                <w:szCs w:val="15"/>
                <w:color w:val="auto"/>
              </w:rPr>
            </w:pPr>
          </w:p>
        </w:tc>
        <w:tc>
          <w:tcPr>
            <w:tcW w:w="13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c>
          <w:tcPr>
            <w:tcW w:w="152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c>
          <w:tcPr>
            <w:tcW w:w="560" w:type="dxa"/>
            <w:vAlign w:val="bottom"/>
          </w:tcPr>
          <w:p>
            <w:pPr>
              <w:spacing w:after="0"/>
              <w:rPr>
                <w:sz w:val="15"/>
                <w:szCs w:val="15"/>
                <w:color w:val="auto"/>
              </w:rPr>
            </w:pPr>
          </w:p>
        </w:tc>
      </w:tr>
      <w:tr>
        <w:trPr>
          <w:trHeight w:val="358"/>
        </w:trPr>
        <w:tc>
          <w:tcPr>
            <w:tcW w:w="446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6"/>
              </w:rPr>
              <w:t>Consolidated operating income (loss)..........</w:t>
            </w:r>
          </w:p>
        </w:tc>
        <w:tc>
          <w:tcPr>
            <w:tcW w:w="13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(47.0)</w:t>
            </w:r>
          </w:p>
        </w:tc>
        <w:tc>
          <w:tcPr>
            <w:tcW w:w="520" w:type="dxa"/>
            <w:vAlign w:val="bottom"/>
          </w:tcPr>
          <w:p>
            <w:pPr>
              <w:spacing w:after="0"/>
              <w:rPr>
                <w:sz w:val="24"/>
                <w:szCs w:val="24"/>
                <w:color w:val="auto"/>
              </w:rPr>
            </w:pPr>
          </w:p>
        </w:tc>
        <w:tc>
          <w:tcPr>
            <w:tcW w:w="15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(516.4)</w:t>
            </w:r>
          </w:p>
        </w:tc>
        <w:tc>
          <w:tcPr>
            <w:tcW w:w="560" w:type="dxa"/>
            <w:vAlign w:val="bottom"/>
          </w:tcPr>
          <w:p>
            <w:pPr>
              <w:spacing w:after="0"/>
              <w:rPr>
                <w:sz w:val="24"/>
                <w:szCs w:val="24"/>
                <w:color w:val="auto"/>
              </w:rPr>
            </w:pPr>
          </w:p>
        </w:tc>
      </w:tr>
      <w:tr>
        <w:trPr>
          <w:trHeight w:val="358"/>
        </w:trPr>
        <w:tc>
          <w:tcPr>
            <w:tcW w:w="446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6"/>
              </w:rPr>
              <w:t>Net income (loss).............................</w:t>
            </w:r>
          </w:p>
        </w:tc>
        <w:tc>
          <w:tcPr>
            <w:tcW w:w="13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(68.9)</w:t>
            </w:r>
          </w:p>
        </w:tc>
        <w:tc>
          <w:tcPr>
            <w:tcW w:w="520" w:type="dxa"/>
            <w:vAlign w:val="bottom"/>
          </w:tcPr>
          <w:p>
            <w:pPr>
              <w:spacing w:after="0"/>
              <w:rPr>
                <w:sz w:val="24"/>
                <w:szCs w:val="24"/>
                <w:color w:val="auto"/>
              </w:rPr>
            </w:pPr>
          </w:p>
        </w:tc>
        <w:tc>
          <w:tcPr>
            <w:tcW w:w="15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(247.1)</w:t>
            </w:r>
          </w:p>
        </w:tc>
        <w:tc>
          <w:tcPr>
            <w:tcW w:w="560" w:type="dxa"/>
            <w:vAlign w:val="bottom"/>
          </w:tcPr>
          <w:p>
            <w:pPr>
              <w:spacing w:after="0"/>
              <w:rPr>
                <w:sz w:val="24"/>
                <w:szCs w:val="24"/>
                <w:color w:val="auto"/>
              </w:rPr>
            </w:pPr>
          </w:p>
        </w:tc>
      </w:tr>
      <w:tr>
        <w:trPr>
          <w:trHeight w:val="358"/>
        </w:trPr>
        <w:tc>
          <w:tcPr>
            <w:tcW w:w="446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6"/>
              </w:rPr>
              <w:t>Earnings (loss) per share.....................</w:t>
            </w:r>
          </w:p>
        </w:tc>
        <w:tc>
          <w:tcPr>
            <w:tcW w:w="13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(0.26)</w:t>
            </w:r>
          </w:p>
        </w:tc>
        <w:tc>
          <w:tcPr>
            <w:tcW w:w="520" w:type="dxa"/>
            <w:vAlign w:val="bottom"/>
          </w:tcPr>
          <w:p>
            <w:pPr>
              <w:spacing w:after="0"/>
              <w:rPr>
                <w:sz w:val="24"/>
                <w:szCs w:val="24"/>
                <w:color w:val="auto"/>
              </w:rPr>
            </w:pPr>
          </w:p>
        </w:tc>
        <w:tc>
          <w:tcPr>
            <w:tcW w:w="15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(1.15)</w:t>
            </w:r>
          </w:p>
        </w:tc>
        <w:tc>
          <w:tcPr>
            <w:tcW w:w="560" w:type="dxa"/>
            <w:vAlign w:val="bottom"/>
          </w:tcPr>
          <w:p>
            <w:pPr>
              <w:spacing w:after="0"/>
              <w:rPr>
                <w:sz w:val="24"/>
                <w:szCs w:val="24"/>
                <w:color w:val="auto"/>
              </w:rPr>
            </w:pPr>
          </w:p>
        </w:tc>
      </w:tr>
    </w:tbl>
    <w:p>
      <w:pPr>
        <w:spacing w:after="0" w:line="362" w:lineRule="exact"/>
        <w:rPr>
          <w:sz w:val="20"/>
          <w:szCs w:val="20"/>
          <w:color w:val="auto"/>
        </w:rPr>
      </w:pPr>
    </w:p>
    <w:p>
      <w:pPr>
        <w:ind w:right="920" w:firstLine="186"/>
        <w:spacing w:after="0" w:line="236" w:lineRule="auto"/>
        <w:rPr>
          <w:sz w:val="20"/>
          <w:szCs w:val="20"/>
          <w:color w:val="auto"/>
        </w:rPr>
      </w:pPr>
      <w:r>
        <w:rPr>
          <w:rFonts w:ascii="Courier New" w:cs="Courier New" w:eastAsia="Courier New" w:hAnsi="Courier New"/>
          <w:sz w:val="16"/>
          <w:szCs w:val="16"/>
          <w:color w:val="auto"/>
        </w:rPr>
        <w:t>Financial information for "All other" segments of the Company in 1999 primarily reflects the operating results for the Company's flat panel and radio frequency identification ("RFID") operations. Financial information for "All other" segments in 1998 and 1997 also reflects operating results for the Company's former contract manufacturing and construction subsidiaries. Results of operations for 1999 were adversely affected by $24 million in combined charges related to the Company's flat panel display and RFID operations. In the third quarter of 1999, the Company sold certain of its flat panel display assets to PixTech, Inc. In the fourth quarter of 1999, the Company's majority owned RFID subsidiary, Micron Communications, Inc., ceased operations. (See "Other Operating Expense (Income).")</w:t>
      </w:r>
    </w:p>
    <w:p>
      <w:pPr>
        <w:spacing w:after="0" w:line="186" w:lineRule="exact"/>
        <w:rPr>
          <w:sz w:val="20"/>
          <w:szCs w:val="20"/>
          <w:color w:val="auto"/>
        </w:rPr>
      </w:pPr>
    </w:p>
    <w:p>
      <w:pPr>
        <w:ind w:right="920" w:firstLine="186"/>
        <w:spacing w:after="0" w:line="273" w:lineRule="auto"/>
        <w:rPr>
          <w:sz w:val="20"/>
          <w:szCs w:val="20"/>
          <w:color w:val="auto"/>
        </w:rPr>
      </w:pPr>
      <w:r>
        <w:rPr>
          <w:rFonts w:ascii="Courier New" w:cs="Courier New" w:eastAsia="Courier New" w:hAnsi="Courier New"/>
          <w:sz w:val="14"/>
          <w:szCs w:val="14"/>
          <w:color w:val="auto"/>
        </w:rPr>
        <w:t>Intersegment sales represent sales between different segments of the Company and are eliminated to arrive at consolidated net sales. Intersegment sales for 1999 and 1998 are primarily comprised of sales from the Company's semiconductor operations segment to the Company's PC operations segment. Intersegment sales for 1998 and 1997 also include intersegment sales generated by the Company's construction and contract manufacturing subsidiaries, both of which have been sold. All other net sales for 1998 and 1997 include sales of $145.7 million and $292.4 million, respectively, from MEI's contract manufacturing subsidiary, which was sold in February 1998. (See "Notes to Consolidated Financial Statements - Operating Segment and Geographic Information.")</w:t>
      </w:r>
    </w:p>
    <w:p>
      <w:pPr>
        <w:spacing w:after="0" w:line="338"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Net Sales</w:t>
      </w:r>
    </w:p>
    <w:p>
      <w:pPr>
        <w:spacing w:after="0" w:line="183" w:lineRule="exact"/>
        <w:rPr>
          <w:sz w:val="20"/>
          <w:szCs w:val="20"/>
          <w:color w:val="auto"/>
        </w:rPr>
      </w:pPr>
    </w:p>
    <w:p>
      <w:pPr>
        <w:ind w:right="920" w:firstLine="186"/>
        <w:spacing w:after="0" w:line="236" w:lineRule="auto"/>
        <w:rPr>
          <w:sz w:val="20"/>
          <w:szCs w:val="20"/>
          <w:color w:val="auto"/>
        </w:rPr>
      </w:pPr>
      <w:r>
        <w:rPr>
          <w:rFonts w:ascii="Courier New" w:cs="Courier New" w:eastAsia="Courier New" w:hAnsi="Courier New"/>
          <w:sz w:val="16"/>
          <w:szCs w:val="16"/>
          <w:color w:val="auto"/>
        </w:rPr>
        <w:t>Consolidated net sales for 1999 increased by 24% compared to 1998, principally due to an increase in the volume of semiconductor memory sold, partially offset by an approximate 37% decline in average selling prices of semiconductor memory products. Consolidated net sales in 1998 decreased by 14% compared to 1997, principally due to an approximate 60% decline in average selling prices of semiconductor memory products.</w:t>
      </w:r>
    </w:p>
    <w:p>
      <w:pPr>
        <w:spacing w:after="0" w:line="183" w:lineRule="exact"/>
        <w:rPr>
          <w:sz w:val="20"/>
          <w:szCs w:val="20"/>
          <w:color w:val="auto"/>
        </w:rPr>
      </w:pPr>
    </w:p>
    <w:p>
      <w:pPr>
        <w:ind w:right="920" w:firstLine="186"/>
        <w:spacing w:after="0" w:line="273" w:lineRule="auto"/>
        <w:rPr>
          <w:sz w:val="20"/>
          <w:szCs w:val="20"/>
          <w:color w:val="auto"/>
        </w:rPr>
      </w:pPr>
      <w:r>
        <w:rPr>
          <w:rFonts w:ascii="Courier New" w:cs="Courier New" w:eastAsia="Courier New" w:hAnsi="Courier New"/>
          <w:sz w:val="14"/>
          <w:szCs w:val="14"/>
          <w:color w:val="auto"/>
        </w:rPr>
        <w:t>Net sales from the Company's semiconductor operations for 1999 increased by 81% as compared to 1998, due primarily to a 187% increase in total megabits of semiconductor memory shipped, partially offset by the 37% decline in average selling prices of semiconductor memory products. This increase in shipments occurred as a result of increased product availability from continued improvements in manufacturing efficiencies due to shifts in the Company's mix of semiconductor memory products to higher average density products, ongoing transitions to successive reduced die size ("shrink") versions of existing memory products and, to a lesser extent, additional output from the Company's acquired international operations and joint ventures.</w:t>
      </w:r>
    </w:p>
    <w:p>
      <w:pPr>
        <w:spacing w:after="0" w:line="338"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17/57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7"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1997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51" w:lineRule="exact"/>
        <w:rPr>
          <w:sz w:val="20"/>
          <w:szCs w:val="20"/>
          <w:color w:val="auto"/>
        </w:rPr>
      </w:pPr>
    </w:p>
    <w:tbl>
      <w:tblPr>
        <w:tblLayout w:type="fixed"/>
        <w:tblInd w:w="80" w:type="dxa"/>
        <w:tblCellMar>
          <w:top w:w="0" w:type="dxa"/>
          <w:left w:w="0" w:type="dxa"/>
          <w:bottom w:w="0" w:type="dxa"/>
          <w:right w:w="0" w:type="dxa"/>
        </w:tblCellMar>
      </w:tblPr>
      <w:tr>
        <w:trPr>
          <w:trHeight w:val="181"/>
        </w:trPr>
        <w:tc>
          <w:tcPr>
            <w:tcW w:w="980" w:type="dxa"/>
            <w:vAlign w:val="bottom"/>
          </w:tcPr>
          <w:p>
            <w:pPr>
              <w:jc w:val="right"/>
              <w:ind w:right="142"/>
              <w:spacing w:after="0"/>
              <w:rPr>
                <w:sz w:val="20"/>
                <w:szCs w:val="20"/>
                <w:color w:val="auto"/>
              </w:rPr>
            </w:pPr>
            <w:r>
              <w:rPr>
                <w:rFonts w:ascii="Courier New" w:cs="Courier New" w:eastAsia="Courier New" w:hAnsi="Courier New"/>
                <w:sz w:val="16"/>
                <w:szCs w:val="16"/>
                <w:color w:val="auto"/>
                <w:w w:val="96"/>
              </w:rPr>
              <w:t>$1,772.4</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50%</w:t>
            </w:r>
          </w:p>
        </w:tc>
      </w:tr>
      <w:tr>
        <w:trPr>
          <w:trHeight w:val="179"/>
        </w:trPr>
        <w:tc>
          <w:tcPr>
            <w:tcW w:w="9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1,529.3</w:t>
            </w:r>
          </w:p>
        </w:tc>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44%</w:t>
            </w:r>
          </w:p>
        </w:tc>
      </w:tr>
      <w:tr>
        <w:trPr>
          <w:trHeight w:val="179"/>
        </w:trPr>
        <w:tc>
          <w:tcPr>
            <w:tcW w:w="9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387.8</w:t>
            </w:r>
          </w:p>
        </w:tc>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11%</w:t>
            </w:r>
          </w:p>
        </w:tc>
      </w:tr>
      <w:tr>
        <w:trPr>
          <w:trHeight w:val="179"/>
        </w:trPr>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(166.3)</w:t>
            </w:r>
          </w:p>
        </w:tc>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w:t>
            </w:r>
          </w:p>
        </w:tc>
      </w:tr>
      <w:tr>
        <w:trPr>
          <w:trHeight w:val="179"/>
        </w:trPr>
        <w:tc>
          <w:tcPr>
            <w:tcW w:w="9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w w:val="96"/>
              </w:rPr>
              <w:t>--------</w:t>
            </w:r>
          </w:p>
        </w:tc>
        <w:tc>
          <w:tcPr>
            <w:tcW w:w="5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980" w:type="dxa"/>
            <w:vAlign w:val="bottom"/>
          </w:tcPr>
          <w:p>
            <w:pPr>
              <w:jc w:val="right"/>
              <w:ind w:right="142"/>
              <w:spacing w:after="0"/>
              <w:rPr>
                <w:sz w:val="20"/>
                <w:szCs w:val="20"/>
                <w:color w:val="auto"/>
              </w:rPr>
            </w:pPr>
            <w:r>
              <w:rPr>
                <w:rFonts w:ascii="Courier New" w:cs="Courier New" w:eastAsia="Courier New" w:hAnsi="Courier New"/>
                <w:sz w:val="16"/>
                <w:szCs w:val="16"/>
                <w:color w:val="auto"/>
                <w:w w:val="96"/>
              </w:rPr>
              <w:t>$3,523.2</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100%</w:t>
            </w:r>
          </w:p>
        </w:tc>
      </w:tr>
    </w:tbl>
    <w:p>
      <w:pPr>
        <w:ind w:left="80"/>
        <w:spacing w:after="0" w:line="236" w:lineRule="auto"/>
        <w:rPr>
          <w:sz w:val="20"/>
          <w:szCs w:val="20"/>
          <w:color w:val="auto"/>
        </w:rPr>
      </w:pPr>
      <w:r>
        <w:rPr>
          <w:rFonts w:ascii="Courier New" w:cs="Courier New" w:eastAsia="Courier New" w:hAnsi="Courier New"/>
          <w:sz w:val="16"/>
          <w:szCs w:val="16"/>
          <w:color w:val="auto"/>
        </w:rPr>
        <w:t>========</w:t>
      </w:r>
    </w:p>
    <w:p>
      <w:pPr>
        <w:spacing w:after="0" w:line="356"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311.7</w:t>
      </w:r>
    </w:p>
    <w:p>
      <w:pPr>
        <w:ind w:left="460"/>
        <w:spacing w:after="0" w:line="236" w:lineRule="auto"/>
        <w:rPr>
          <w:sz w:val="20"/>
          <w:szCs w:val="20"/>
          <w:color w:val="auto"/>
        </w:rPr>
      </w:pPr>
      <w:r>
        <w:rPr>
          <w:rFonts w:ascii="Courier New" w:cs="Courier New" w:eastAsia="Courier New" w:hAnsi="Courier New"/>
          <w:sz w:val="16"/>
          <w:szCs w:val="16"/>
          <w:color w:val="auto"/>
        </w:rPr>
        <w:t>76.2</w:t>
      </w:r>
    </w:p>
    <w:p>
      <w:pPr>
        <w:ind w:left="360"/>
        <w:spacing w:after="0" w:line="237" w:lineRule="auto"/>
        <w:rPr>
          <w:sz w:val="20"/>
          <w:szCs w:val="20"/>
          <w:color w:val="auto"/>
        </w:rPr>
      </w:pPr>
      <w:r>
        <w:rPr>
          <w:rFonts w:ascii="Courier New" w:cs="Courier New" w:eastAsia="Courier New" w:hAnsi="Courier New"/>
          <w:sz w:val="16"/>
          <w:szCs w:val="16"/>
          <w:color w:val="auto"/>
        </w:rPr>
        <w:t>(13.8)</w:t>
      </w:r>
    </w:p>
    <w:p>
      <w:pPr>
        <w:ind w:left="560"/>
        <w:spacing w:after="0" w:line="237" w:lineRule="auto"/>
        <w:rPr>
          <w:sz w:val="20"/>
          <w:szCs w:val="20"/>
          <w:color w:val="auto"/>
        </w:rPr>
      </w:pPr>
      <w:r>
        <w:rPr>
          <w:rFonts w:ascii="Courier New" w:cs="Courier New" w:eastAsia="Courier New" w:hAnsi="Courier New"/>
          <w:sz w:val="16"/>
          <w:szCs w:val="16"/>
          <w:color w:val="auto"/>
        </w:rPr>
        <w:t>0.0</w:t>
      </w:r>
    </w:p>
    <w:p>
      <w:pPr>
        <w:ind w:left="80"/>
        <w:spacing w:after="0" w:line="237" w:lineRule="auto"/>
        <w:rPr>
          <w:sz w:val="20"/>
          <w:szCs w:val="20"/>
          <w:color w:val="auto"/>
        </w:rPr>
      </w:pPr>
      <w:r>
        <w:rPr>
          <w:rFonts w:ascii="Courier New" w:cs="Courier New" w:eastAsia="Courier New" w:hAnsi="Courier New"/>
          <w:sz w:val="16"/>
          <w:szCs w:val="16"/>
          <w:color w:val="auto"/>
        </w:rPr>
        <w:t>--------</w:t>
      </w:r>
    </w:p>
    <w:p>
      <w:pPr>
        <w:spacing w:after="0" w:line="177"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374.1</w:t>
      </w:r>
    </w:p>
    <w:p>
      <w:pPr>
        <w:spacing w:after="0" w:line="177"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315.0</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1.44</w:t>
      </w:r>
    </w:p>
    <w:p>
      <w:pPr>
        <w:sectPr>
          <w:pgSz w:w="11900" w:h="16838" w:orient="portrait"/>
          <w:cols w:equalWidth="0" w:num="2">
            <w:col w:w="8360" w:space="480"/>
            <w:col w:w="1580"/>
          </w:cols>
          <w:pgMar w:left="240" w:top="648" w:right="1239" w:bottom="1440" w:gutter="0" w:footer="0" w:header="0"/>
        </w:sectPr>
      </w:pPr>
    </w:p>
    <w:bookmarkStart w:id="17" w:name="page18"/>
    <w:bookmarkEnd w:id="17"/>
    <w:p>
      <w:pPr>
        <w:ind w:right="2959" w:firstLine="186"/>
        <w:spacing w:after="0" w:line="274" w:lineRule="auto"/>
        <w:rPr>
          <w:sz w:val="20"/>
          <w:szCs w:val="20"/>
          <w:color w:val="auto"/>
        </w:rPr>
      </w:pPr>
      <w:r>
        <w:rPr>
          <w:rFonts w:ascii="Courier New" w:cs="Courier New" w:eastAsia="Courier New" w:hAnsi="Courier New"/>
          <w:sz w:val="14"/>
          <w:szCs w:val="14"/>
          <w:color w:val="auto"/>
        </w:rPr>
        <w:t>The Company's primary memory product in 1999 was the 64 Meg Synchronous DRAM ("SDRAM"), which comprised approximately 68% of the net sales of semiconductor memory for the period. The Company's primary memory product in 1998 and 1997 was the 16 Meg DRAM (inclusive of both EDO DRAM and SDRAM), which comprised approximately 74% and 80%, respectively, of net sales of semiconductor memory. Average selling prices for the Company's primary product, the 64 Meg SDRAM, declined by 22% for 1999 as compared to 1998.</w:t>
      </w:r>
    </w:p>
    <w:p>
      <w:pPr>
        <w:spacing w:after="0" w:line="164" w:lineRule="exact"/>
        <w:rPr>
          <w:sz w:val="20"/>
          <w:szCs w:val="20"/>
          <w:color w:val="auto"/>
        </w:rPr>
      </w:pPr>
    </w:p>
    <w:p>
      <w:pPr>
        <w:ind w:right="2779" w:firstLine="186"/>
        <w:spacing w:after="0" w:line="236" w:lineRule="auto"/>
        <w:rPr>
          <w:sz w:val="20"/>
          <w:szCs w:val="20"/>
          <w:color w:val="auto"/>
        </w:rPr>
      </w:pPr>
      <w:r>
        <w:rPr>
          <w:rFonts w:ascii="Courier New" w:cs="Courier New" w:eastAsia="Courier New" w:hAnsi="Courier New"/>
          <w:sz w:val="16"/>
          <w:szCs w:val="16"/>
          <w:color w:val="auto"/>
        </w:rPr>
        <w:t>Net sales from semiconductor operations for 1998 decreased by 20% compared to 1997, primarily due to an approximate 60% decline in average selling prices of semiconductor memory products for the year, partially offset by a 110% increase in total megabits of semiconductor memory shipped. The increase in megabits shipped was principally a result of shifts in the Company's mix of semiconductor memory products to a higher average density, transitions to successive shrink versions of existing products and improved manufacturing yields on existing products.</w:t>
      </w:r>
    </w:p>
    <w:p>
      <w:pPr>
        <w:spacing w:after="0" w:line="184" w:lineRule="exact"/>
        <w:rPr>
          <w:sz w:val="20"/>
          <w:szCs w:val="20"/>
          <w:color w:val="auto"/>
        </w:rPr>
      </w:pPr>
    </w:p>
    <w:p>
      <w:pPr>
        <w:ind w:right="2779" w:firstLine="186"/>
        <w:spacing w:after="0" w:line="236" w:lineRule="auto"/>
        <w:rPr>
          <w:sz w:val="20"/>
          <w:szCs w:val="20"/>
          <w:color w:val="auto"/>
        </w:rPr>
      </w:pPr>
      <w:r>
        <w:rPr>
          <w:rFonts w:ascii="Courier New" w:cs="Courier New" w:eastAsia="Courier New" w:hAnsi="Courier New"/>
          <w:sz w:val="16"/>
          <w:szCs w:val="16"/>
          <w:color w:val="auto"/>
        </w:rPr>
        <w:t>Net sales from the Company's PC operations for 1999 were 17% lower compared to 1998 primarily due to a 12% decrease in average selling prices for the Company's PC systems and to a lesser extent, a 2% decrease in unit sales. The decline in average selling prices for the Company's desktop, notebook and server system sales, was 11%, 16% and 15%, respectively. The decline in average selling prices for the Company's PC systems was primarily a result of continued price competition in the PC industry. The 2% decrease in unit sales in 1999 is primarily attributed to a 3% decrease in sales of the Company's desktop computer systems, which was partially offset by a 30% increase in sales of the Company's server systems.</w:t>
      </w:r>
    </w:p>
    <w:p>
      <w:pPr>
        <w:spacing w:after="0" w:line="186" w:lineRule="exact"/>
        <w:rPr>
          <w:sz w:val="20"/>
          <w:szCs w:val="20"/>
          <w:color w:val="auto"/>
        </w:rPr>
      </w:pPr>
    </w:p>
    <w:p>
      <w:pPr>
        <w:ind w:right="2779" w:firstLine="186"/>
        <w:spacing w:after="0" w:line="236" w:lineRule="auto"/>
        <w:rPr>
          <w:sz w:val="20"/>
          <w:szCs w:val="20"/>
          <w:color w:val="auto"/>
        </w:rPr>
      </w:pPr>
      <w:r>
        <w:rPr>
          <w:rFonts w:ascii="Courier New" w:cs="Courier New" w:eastAsia="Courier New" w:hAnsi="Courier New"/>
          <w:sz w:val="16"/>
          <w:szCs w:val="16"/>
          <w:color w:val="auto"/>
        </w:rPr>
        <w:t>Net sales from PC operations for 1998 were flat compared to 1997 primarily due to a 11% decrease in average selling prices for the Company's PC systems offset by an increase in unit sales and a higher level of non-system revenue. The decline in average selling prices was primarily attributable to a 12% decrease in the selling prices for the Company's desktop PC systems and a 24% decline in selling prices for notebook systems. Lower prices were largely the result of industry price competitiveness, particularly for notebook products and to the Company's efforts to price its products more in line with its competition. Unit sales were 5% higher in 1998 compared to 1997 due primarily to a 49% increase in unit sales of the Company's notebook products.</w:t>
      </w:r>
    </w:p>
    <w:p>
      <w:pPr>
        <w:spacing w:after="0" w:line="179"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Gross Margin</w:t>
      </w: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88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Courier New" w:cs="Courier New" w:eastAsia="Courier New" w:hAnsi="Courier New"/>
                <w:sz w:val="16"/>
                <w:szCs w:val="16"/>
                <w:color w:val="auto"/>
                <w:w w:val="98"/>
              </w:rPr>
              <w:t>1999</w:t>
            </w:r>
          </w:p>
        </w:tc>
        <w:tc>
          <w:tcPr>
            <w:tcW w:w="112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 Change</w:t>
            </w:r>
          </w:p>
        </w:tc>
        <w:tc>
          <w:tcPr>
            <w:tcW w:w="92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1998</w:t>
            </w:r>
          </w:p>
        </w:tc>
        <w:tc>
          <w:tcPr>
            <w:tcW w:w="112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 Change</w:t>
            </w:r>
          </w:p>
        </w:tc>
        <w:tc>
          <w:tcPr>
            <w:tcW w:w="8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1997</w:t>
            </w:r>
          </w:p>
        </w:tc>
      </w:tr>
      <w:tr>
        <w:trPr>
          <w:trHeight w:val="179"/>
        </w:trPr>
        <w:tc>
          <w:tcPr>
            <w:tcW w:w="4880" w:type="dxa"/>
            <w:vAlign w:val="bottom"/>
          </w:tcPr>
          <w:p>
            <w:pPr>
              <w:spacing w:after="0"/>
              <w:rPr>
                <w:sz w:val="15"/>
                <w:szCs w:val="15"/>
                <w:color w:val="auto"/>
              </w:rPr>
            </w:pPr>
          </w:p>
        </w:tc>
        <w:tc>
          <w:tcPr>
            <w:tcW w:w="102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6"/>
              </w:rPr>
              <w:t>--------</w:t>
            </w: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160" w:type="dxa"/>
            <w:vAlign w:val="bottom"/>
            <w:gridSpan w:val="3"/>
          </w:tcPr>
          <w:p>
            <w:pPr>
              <w:jc w:val="right"/>
              <w:ind w:right="622"/>
              <w:spacing w:after="0" w:line="179" w:lineRule="exact"/>
              <w:rPr>
                <w:sz w:val="20"/>
                <w:szCs w:val="20"/>
                <w:color w:val="auto"/>
              </w:rPr>
            </w:pPr>
            <w:r>
              <w:rPr>
                <w:rFonts w:ascii="Courier New" w:cs="Courier New" w:eastAsia="Courier New" w:hAnsi="Courier New"/>
                <w:sz w:val="16"/>
                <w:szCs w:val="16"/>
                <w:color w:val="auto"/>
              </w:rPr>
              <w:t>(dollars in millions)</w:t>
            </w:r>
          </w:p>
        </w:tc>
        <w:tc>
          <w:tcPr>
            <w:tcW w:w="800" w:type="dxa"/>
            <w:vAlign w:val="bottom"/>
          </w:tcPr>
          <w:p>
            <w:pPr>
              <w:spacing w:after="0"/>
              <w:rPr>
                <w:sz w:val="15"/>
                <w:szCs w:val="15"/>
                <w:color w:val="auto"/>
              </w:rPr>
            </w:pPr>
          </w:p>
        </w:tc>
      </w:tr>
      <w:tr>
        <w:trPr>
          <w:trHeight w:val="358"/>
        </w:trPr>
        <w:tc>
          <w:tcPr>
            <w:tcW w:w="4880" w:type="dxa"/>
            <w:vAlign w:val="bottom"/>
          </w:tcPr>
          <w:p>
            <w:pPr>
              <w:spacing w:after="0"/>
              <w:rPr>
                <w:sz w:val="20"/>
                <w:szCs w:val="20"/>
                <w:color w:val="auto"/>
              </w:rPr>
            </w:pPr>
            <w:r>
              <w:rPr>
                <w:rFonts w:ascii="Courier New" w:cs="Courier New" w:eastAsia="Courier New" w:hAnsi="Courier New"/>
                <w:sz w:val="16"/>
                <w:szCs w:val="16"/>
                <w:color w:val="auto"/>
                <w:w w:val="99"/>
              </w:rPr>
              <w:t>Gross margin.......................................</w:t>
            </w:r>
          </w:p>
        </w:tc>
        <w:tc>
          <w:tcPr>
            <w:tcW w:w="1020" w:type="dxa"/>
            <w:vAlign w:val="bottom"/>
          </w:tcPr>
          <w:p>
            <w:pPr>
              <w:jc w:val="center"/>
              <w:spacing w:after="0"/>
              <w:rPr>
                <w:sz w:val="20"/>
                <w:szCs w:val="20"/>
                <w:color w:val="auto"/>
              </w:rPr>
            </w:pPr>
            <w:r>
              <w:rPr>
                <w:rFonts w:ascii="Courier New" w:cs="Courier New" w:eastAsia="Courier New" w:hAnsi="Courier New"/>
                <w:sz w:val="16"/>
                <w:szCs w:val="16"/>
                <w:color w:val="auto"/>
                <w:w w:val="93"/>
              </w:rPr>
              <w:t>$813.6</w:t>
            </w:r>
          </w:p>
        </w:tc>
        <w:tc>
          <w:tcPr>
            <w:tcW w:w="11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190.2%</w:t>
            </w:r>
          </w:p>
        </w:tc>
        <w:tc>
          <w:tcPr>
            <w:tcW w:w="92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$280.4</w:t>
            </w:r>
          </w:p>
        </w:tc>
        <w:tc>
          <w:tcPr>
            <w:tcW w:w="11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(71.2)%</w:t>
            </w: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$974.8</w:t>
            </w:r>
          </w:p>
        </w:tc>
      </w:tr>
      <w:tr>
        <w:trPr>
          <w:trHeight w:val="179"/>
        </w:trPr>
        <w:tc>
          <w:tcPr>
            <w:tcW w:w="488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as a % of net sales................................</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21.6%</w:t>
            </w:r>
          </w:p>
        </w:tc>
        <w:tc>
          <w:tcPr>
            <w:tcW w:w="1120" w:type="dxa"/>
            <w:vAlign w:val="bottom"/>
          </w:tcPr>
          <w:p>
            <w:pPr>
              <w:spacing w:after="0"/>
              <w:rPr>
                <w:sz w:val="15"/>
                <w:szCs w:val="15"/>
                <w:color w:val="auto"/>
              </w:rPr>
            </w:pPr>
          </w:p>
        </w:tc>
        <w:tc>
          <w:tcPr>
            <w:tcW w:w="9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9.3%</w:t>
            </w:r>
          </w:p>
        </w:tc>
        <w:tc>
          <w:tcPr>
            <w:tcW w:w="1120" w:type="dxa"/>
            <w:vAlign w:val="bottom"/>
          </w:tcPr>
          <w:p>
            <w:pPr>
              <w:spacing w:after="0"/>
              <w:rPr>
                <w:sz w:val="15"/>
                <w:szCs w:val="15"/>
                <w:color w:val="auto"/>
              </w:rPr>
            </w:pPr>
          </w:p>
        </w:tc>
        <w:tc>
          <w:tcPr>
            <w:tcW w:w="8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27.7%</w:t>
            </w:r>
          </w:p>
        </w:tc>
      </w:tr>
    </w:tbl>
    <w:p>
      <w:pPr>
        <w:spacing w:after="0" w:line="362" w:lineRule="exact"/>
        <w:rPr>
          <w:sz w:val="20"/>
          <w:szCs w:val="20"/>
          <w:color w:val="auto"/>
        </w:rPr>
      </w:pPr>
    </w:p>
    <w:p>
      <w:pPr>
        <w:ind w:right="2879" w:firstLine="186"/>
        <w:spacing w:after="0" w:line="274" w:lineRule="auto"/>
        <w:rPr>
          <w:sz w:val="20"/>
          <w:szCs w:val="20"/>
          <w:color w:val="auto"/>
        </w:rPr>
      </w:pPr>
      <w:r>
        <w:rPr>
          <w:rFonts w:ascii="Courier New" w:cs="Courier New" w:eastAsia="Courier New" w:hAnsi="Courier New"/>
          <w:sz w:val="14"/>
          <w:szCs w:val="14"/>
          <w:color w:val="auto"/>
        </w:rPr>
        <w:t>The increase in the Company's overall gross margin for 1999 as compared to 1998 is primarily attributable to the Company's semiconductor operations and is principally the result of decreases in per megabit manufacturing costs, partially offset by a 37% decline in average selling prices. The decrease in gross margin percentage for 1998 compared to 1997 was principally the result of lower gross margin percentages on sales of the Company's semiconductor memory products resulting primarily from a 60% decline in average selling prices.</w:t>
      </w:r>
    </w:p>
    <w:p>
      <w:pPr>
        <w:spacing w:after="0" w:line="164" w:lineRule="exact"/>
        <w:rPr>
          <w:sz w:val="20"/>
          <w:szCs w:val="20"/>
          <w:color w:val="auto"/>
        </w:rPr>
      </w:pPr>
    </w:p>
    <w:p>
      <w:pPr>
        <w:ind w:right="2779" w:firstLine="186"/>
        <w:spacing w:after="0" w:line="273" w:lineRule="auto"/>
        <w:rPr>
          <w:sz w:val="20"/>
          <w:szCs w:val="20"/>
          <w:color w:val="auto"/>
        </w:rPr>
      </w:pPr>
      <w:r>
        <w:rPr>
          <w:rFonts w:ascii="Courier New" w:cs="Courier New" w:eastAsia="Courier New" w:hAnsi="Courier New"/>
          <w:sz w:val="14"/>
          <w:szCs w:val="14"/>
          <w:color w:val="auto"/>
        </w:rPr>
        <w:t>The gross margin percentage for the Company's semiconductor operations for 1999 was 25%, compared to 6% for 1998. The gross margin increase was due to comparative decreases in per megabit manufacturing costs which were achieved primarily through continued improvements in manufacturing efficiencies principally due to shifts in the Company's mix of semiconductor memory products to a higher average density and transitions to shrink versions of existing products. The effect of these factors was partially offset by the 37% overall decrease in average selling prices for 1999 as compared to 1998 and, to a lesser extent, the inclusion of eleven months of results for the acquired international operations which had higher per unit manufacturing costs.</w:t>
      </w:r>
    </w:p>
    <w:p>
      <w:pPr>
        <w:spacing w:after="0" w:line="344" w:lineRule="exact"/>
        <w:rPr>
          <w:sz w:val="20"/>
          <w:szCs w:val="20"/>
          <w:color w:val="auto"/>
        </w:rPr>
      </w:pPr>
    </w:p>
    <w:p>
      <w:pPr>
        <w:ind w:right="2959" w:firstLine="186"/>
        <w:spacing w:after="0" w:line="273" w:lineRule="auto"/>
        <w:rPr>
          <w:sz w:val="20"/>
          <w:szCs w:val="20"/>
          <w:color w:val="auto"/>
        </w:rPr>
      </w:pPr>
      <w:r>
        <w:rPr>
          <w:rFonts w:ascii="Courier New" w:cs="Courier New" w:eastAsia="Courier New" w:hAnsi="Courier New"/>
          <w:sz w:val="14"/>
          <w:szCs w:val="14"/>
          <w:color w:val="auto"/>
        </w:rPr>
        <w:t>In connection with the acquisition of substantially all of TI's memory operations in September 1998, subject to certain terms and conditions, MTI has agreed to purchase all of the production from two joint venture wafer fabrication facilities, TECH Semiconductor Singapore Pte. Ltd. ("TECH") and KMT Semiconductor Limited ("KMT"). TECH and KMT are collectively referred to herein as the "JVs." MTI purchases semiconductor memory products from the JVs at prices generally determined quarterly and based on a discount from the Company's average selling prices. MTI is a party to various agreements with the JVs whereby MTI provides technology, engineering support and training to the JVs. MTI also performs assembly and test services on product</w:t>
      </w:r>
    </w:p>
    <w:p>
      <w:pPr>
        <w:spacing w:after="0" w:line="338"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18/57</w:t>
      </w:r>
    </w:p>
    <w:p>
      <w:pPr>
        <w:sectPr>
          <w:pgSz w:w="11900" w:h="16838" w:orient="portrait"/>
          <w:cols w:equalWidth="0" w:num="1">
            <w:col w:w="10219"/>
          </w:cols>
          <w:pgMar w:left="240" w:top="654" w:right="1440" w:bottom="954" w:gutter="0" w:footer="0" w:header="0"/>
        </w:sectPr>
      </w:pPr>
    </w:p>
    <w:bookmarkStart w:id="18" w:name="page19"/>
    <w:bookmarkEnd w:id="18"/>
    <w:p>
      <w:pPr>
        <w:ind w:right="2959"/>
        <w:spacing w:after="0" w:line="235" w:lineRule="auto"/>
        <w:rPr>
          <w:sz w:val="20"/>
          <w:szCs w:val="20"/>
          <w:color w:val="auto"/>
        </w:rPr>
      </w:pPr>
      <w:r>
        <w:rPr>
          <w:rFonts w:ascii="Courier New" w:cs="Courier New" w:eastAsia="Courier New" w:hAnsi="Courier New"/>
          <w:sz w:val="16"/>
          <w:szCs w:val="16"/>
          <w:color w:val="auto"/>
        </w:rPr>
        <w:t>manufactured by the JVs. All transactions with the JVs are recognized as part of the net cost of products purchased from the JVs. The Company realized substantially lower gross margins for sales of JV products than for products manufactured by its wholly-owned facilities in 1999.</w:t>
      </w:r>
    </w:p>
    <w:p>
      <w:pPr>
        <w:spacing w:after="0" w:line="185" w:lineRule="exact"/>
        <w:rPr>
          <w:sz w:val="20"/>
          <w:szCs w:val="20"/>
          <w:color w:val="auto"/>
        </w:rPr>
      </w:pPr>
    </w:p>
    <w:p>
      <w:pPr>
        <w:ind w:right="2959" w:firstLine="186"/>
        <w:spacing w:after="0" w:line="236" w:lineRule="auto"/>
        <w:rPr>
          <w:sz w:val="20"/>
          <w:szCs w:val="20"/>
          <w:color w:val="auto"/>
        </w:rPr>
      </w:pPr>
      <w:r>
        <w:rPr>
          <w:rFonts w:ascii="Courier New" w:cs="Courier New" w:eastAsia="Courier New" w:hAnsi="Courier New"/>
          <w:sz w:val="16"/>
          <w:szCs w:val="16"/>
          <w:color w:val="auto"/>
        </w:rPr>
        <w:t>The gross margin percentage for the Company's semiconductor operations for 1997 was 39%. The decrease in the gross margin percentage for the Company's semiconductor operations for 1998 compared to 1997 was primarily the result of the 60% decline in average selling prices for the year, partially offset by a decline in per megabit manufacturing costs. Decreases in per megabit manufacturing costs resulted principally from shifts in the Company's mix of semiconductor memory products to a higher average density, transitions to successive shrink versions of existing products and improved manufacturing yields.</w:t>
      </w:r>
    </w:p>
    <w:p>
      <w:pPr>
        <w:spacing w:after="0" w:line="185" w:lineRule="exact"/>
        <w:rPr>
          <w:sz w:val="20"/>
          <w:szCs w:val="20"/>
          <w:color w:val="auto"/>
        </w:rPr>
      </w:pPr>
    </w:p>
    <w:p>
      <w:pPr>
        <w:ind w:right="2779" w:firstLine="186"/>
        <w:spacing w:after="0" w:line="270" w:lineRule="auto"/>
        <w:rPr>
          <w:sz w:val="20"/>
          <w:szCs w:val="20"/>
          <w:color w:val="auto"/>
        </w:rPr>
      </w:pPr>
      <w:r>
        <w:rPr>
          <w:rFonts w:ascii="Courier New" w:cs="Courier New" w:eastAsia="Courier New" w:hAnsi="Courier New"/>
          <w:sz w:val="14"/>
          <w:szCs w:val="14"/>
          <w:color w:val="auto"/>
        </w:rPr>
        <w:t>The gross margin percentage for the Company's PC operations was 15% in 1999 as compared to 12% in 1998. The increase for the PC operations gross margin is principally due to lower component costs and a change in the sales mix towards higher margin systems, partially offset by a decline in average selling prices. The Company continues to experience significant pressure on its gross margins as a result of intense competition in the PC industry and consumer expectations</w:t>
      </w:r>
    </w:p>
    <w:p>
      <w:pPr>
        <w:spacing w:after="0" w:line="3" w:lineRule="exact"/>
        <w:rPr>
          <w:sz w:val="20"/>
          <w:szCs w:val="20"/>
          <w:color w:val="auto"/>
        </w:rPr>
      </w:pPr>
    </w:p>
    <w:p>
      <w:pPr>
        <w:ind w:right="3059"/>
        <w:spacing w:after="0" w:line="235" w:lineRule="auto"/>
        <w:rPr>
          <w:sz w:val="20"/>
          <w:szCs w:val="20"/>
          <w:color w:val="auto"/>
        </w:rPr>
      </w:pPr>
      <w:r>
        <w:rPr>
          <w:rFonts w:ascii="Courier New" w:cs="Courier New" w:eastAsia="Courier New" w:hAnsi="Courier New"/>
          <w:sz w:val="16"/>
          <w:szCs w:val="16"/>
          <w:color w:val="auto"/>
        </w:rPr>
        <w:t>of more powerful PC systems at lower prices. In addition, the Company's gross margin percentage will continue to depend in large part on its ability to effectively manage its inventories of PC system components.</w:t>
      </w:r>
    </w:p>
    <w:p>
      <w:pPr>
        <w:spacing w:after="0" w:line="183" w:lineRule="exact"/>
        <w:rPr>
          <w:sz w:val="20"/>
          <w:szCs w:val="20"/>
          <w:color w:val="auto"/>
        </w:rPr>
      </w:pPr>
    </w:p>
    <w:p>
      <w:pPr>
        <w:ind w:right="2779" w:firstLine="186"/>
        <w:spacing w:after="0" w:line="236" w:lineRule="auto"/>
        <w:rPr>
          <w:sz w:val="20"/>
          <w:szCs w:val="20"/>
          <w:color w:val="auto"/>
        </w:rPr>
      </w:pPr>
      <w:r>
        <w:rPr>
          <w:rFonts w:ascii="Courier New" w:cs="Courier New" w:eastAsia="Courier New" w:hAnsi="Courier New"/>
          <w:sz w:val="16"/>
          <w:szCs w:val="16"/>
          <w:color w:val="auto"/>
        </w:rPr>
        <w:t>The gross margin percentage for the Company's PC operations for 1997 was 17%. The gross margin percentage for PC operations decreased in 1998 compared to 1997 primarily as a result of significantly lower margins realized on sales of the Company's notebook systems as a result of intense price pressure on these products during the year and due to losses realized from disposition of PC component inventories. The Company's gross margin in 1998 was favorably affected, however, by an adjustment made in the fourth quarter of $12 million related to revisions of estimates for certain contingencies for product and process technology costs.</w:t>
      </w:r>
    </w:p>
    <w:p>
      <w:pPr>
        <w:spacing w:after="0" w:line="179"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Selling, General and Administrative</w:t>
      </w: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88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Courier New" w:cs="Courier New" w:eastAsia="Courier New" w:hAnsi="Courier New"/>
                <w:sz w:val="16"/>
                <w:szCs w:val="16"/>
                <w:color w:val="auto"/>
                <w:w w:val="98"/>
              </w:rPr>
              <w:t>1999</w:t>
            </w:r>
          </w:p>
        </w:tc>
        <w:tc>
          <w:tcPr>
            <w:tcW w:w="112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 Change</w:t>
            </w:r>
          </w:p>
        </w:tc>
        <w:tc>
          <w:tcPr>
            <w:tcW w:w="1020" w:type="dxa"/>
            <w:vAlign w:val="bottom"/>
          </w:tcPr>
          <w:p>
            <w:pPr>
              <w:jc w:val="center"/>
              <w:spacing w:after="0"/>
              <w:rPr>
                <w:sz w:val="20"/>
                <w:szCs w:val="20"/>
                <w:color w:val="auto"/>
              </w:rPr>
            </w:pPr>
            <w:r>
              <w:rPr>
                <w:rFonts w:ascii="Courier New" w:cs="Courier New" w:eastAsia="Courier New" w:hAnsi="Courier New"/>
                <w:sz w:val="16"/>
                <w:szCs w:val="16"/>
                <w:color w:val="auto"/>
                <w:w w:val="98"/>
              </w:rPr>
              <w:t>1998</w:t>
            </w:r>
          </w:p>
        </w:tc>
        <w:tc>
          <w:tcPr>
            <w:tcW w:w="112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 Change</w:t>
            </w:r>
          </w:p>
        </w:tc>
        <w:tc>
          <w:tcPr>
            <w:tcW w:w="880" w:type="dxa"/>
            <w:vAlign w:val="bottom"/>
          </w:tcPr>
          <w:p>
            <w:pPr>
              <w:jc w:val="center"/>
              <w:ind w:left="62"/>
              <w:spacing w:after="0"/>
              <w:rPr>
                <w:sz w:val="20"/>
                <w:szCs w:val="20"/>
                <w:color w:val="auto"/>
              </w:rPr>
            </w:pPr>
            <w:r>
              <w:rPr>
                <w:rFonts w:ascii="Courier New" w:cs="Courier New" w:eastAsia="Courier New" w:hAnsi="Courier New"/>
                <w:sz w:val="16"/>
                <w:szCs w:val="16"/>
                <w:color w:val="auto"/>
                <w:w w:val="98"/>
              </w:rPr>
              <w:t>1997</w:t>
            </w:r>
          </w:p>
        </w:tc>
      </w:tr>
      <w:tr>
        <w:trPr>
          <w:trHeight w:val="179"/>
        </w:trPr>
        <w:tc>
          <w:tcPr>
            <w:tcW w:w="4880" w:type="dxa"/>
            <w:vAlign w:val="bottom"/>
          </w:tcPr>
          <w:p>
            <w:pPr>
              <w:spacing w:after="0"/>
              <w:rPr>
                <w:sz w:val="15"/>
                <w:szCs w:val="15"/>
                <w:color w:val="auto"/>
              </w:rPr>
            </w:pPr>
          </w:p>
        </w:tc>
        <w:tc>
          <w:tcPr>
            <w:tcW w:w="102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6"/>
              </w:rPr>
              <w:t>--------</w:t>
            </w: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6"/>
              </w:rPr>
              <w:t>--------</w:t>
            </w: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center"/>
              <w:ind w:left="62"/>
              <w:spacing w:after="0" w:line="179" w:lineRule="exact"/>
              <w:rPr>
                <w:sz w:val="20"/>
                <w:szCs w:val="20"/>
                <w:color w:val="auto"/>
              </w:rPr>
            </w:pPr>
            <w:r>
              <w:rPr>
                <w:rFonts w:ascii="Courier New" w:cs="Courier New" w:eastAsia="Courier New" w:hAnsi="Courier New"/>
                <w:sz w:val="16"/>
                <w:szCs w:val="16"/>
                <w:color w:val="auto"/>
                <w:w w:val="96"/>
              </w:rPr>
              <w:t>--------</w:t>
            </w:r>
          </w:p>
        </w:tc>
      </w:tr>
      <w:tr>
        <w:trPr>
          <w:trHeight w:val="179"/>
        </w:trPr>
        <w:tc>
          <w:tcPr>
            <w:tcW w:w="4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60" w:type="dxa"/>
            <w:vAlign w:val="bottom"/>
            <w:gridSpan w:val="3"/>
          </w:tcPr>
          <w:p>
            <w:pPr>
              <w:jc w:val="right"/>
              <w:ind w:right="622"/>
              <w:spacing w:after="0" w:line="179" w:lineRule="exact"/>
              <w:rPr>
                <w:sz w:val="20"/>
                <w:szCs w:val="20"/>
                <w:color w:val="auto"/>
              </w:rPr>
            </w:pPr>
            <w:r>
              <w:rPr>
                <w:rFonts w:ascii="Courier New" w:cs="Courier New" w:eastAsia="Courier New" w:hAnsi="Courier New"/>
                <w:sz w:val="16"/>
                <w:szCs w:val="16"/>
                <w:color w:val="auto"/>
              </w:rPr>
              <w:t>(dollars in millions)</w:t>
            </w:r>
          </w:p>
        </w:tc>
        <w:tc>
          <w:tcPr>
            <w:tcW w:w="880" w:type="dxa"/>
            <w:vAlign w:val="bottom"/>
          </w:tcPr>
          <w:p>
            <w:pPr>
              <w:spacing w:after="0"/>
              <w:rPr>
                <w:sz w:val="15"/>
                <w:szCs w:val="15"/>
                <w:color w:val="auto"/>
              </w:rPr>
            </w:pPr>
          </w:p>
        </w:tc>
      </w:tr>
      <w:tr>
        <w:trPr>
          <w:trHeight w:val="358"/>
        </w:trPr>
        <w:tc>
          <w:tcPr>
            <w:tcW w:w="4880" w:type="dxa"/>
            <w:vAlign w:val="bottom"/>
          </w:tcPr>
          <w:p>
            <w:pPr>
              <w:spacing w:after="0"/>
              <w:rPr>
                <w:sz w:val="20"/>
                <w:szCs w:val="20"/>
                <w:color w:val="auto"/>
              </w:rPr>
            </w:pPr>
            <w:r>
              <w:rPr>
                <w:rFonts w:ascii="Courier New" w:cs="Courier New" w:eastAsia="Courier New" w:hAnsi="Courier New"/>
                <w:sz w:val="16"/>
                <w:szCs w:val="16"/>
                <w:color w:val="auto"/>
                <w:w w:val="99"/>
              </w:rPr>
              <w:t>Selling, general and administrative................</w:t>
            </w:r>
          </w:p>
        </w:tc>
        <w:tc>
          <w:tcPr>
            <w:tcW w:w="1020" w:type="dxa"/>
            <w:vAlign w:val="bottom"/>
          </w:tcPr>
          <w:p>
            <w:pPr>
              <w:jc w:val="center"/>
              <w:spacing w:after="0"/>
              <w:rPr>
                <w:sz w:val="20"/>
                <w:szCs w:val="20"/>
                <w:color w:val="auto"/>
              </w:rPr>
            </w:pPr>
            <w:r>
              <w:rPr>
                <w:rFonts w:ascii="Courier New" w:cs="Courier New" w:eastAsia="Courier New" w:hAnsi="Courier New"/>
                <w:sz w:val="16"/>
                <w:szCs w:val="16"/>
                <w:color w:val="auto"/>
                <w:w w:val="93"/>
              </w:rPr>
              <w:t>$486.0</w:t>
            </w:r>
          </w:p>
        </w:tc>
        <w:tc>
          <w:tcPr>
            <w:tcW w:w="11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2.1%</w:t>
            </w:r>
          </w:p>
        </w:tc>
        <w:tc>
          <w:tcPr>
            <w:tcW w:w="1020" w:type="dxa"/>
            <w:vAlign w:val="bottom"/>
          </w:tcPr>
          <w:p>
            <w:pPr>
              <w:jc w:val="center"/>
              <w:spacing w:after="0"/>
              <w:rPr>
                <w:sz w:val="20"/>
                <w:szCs w:val="20"/>
                <w:color w:val="auto"/>
              </w:rPr>
            </w:pPr>
            <w:r>
              <w:rPr>
                <w:rFonts w:ascii="Courier New" w:cs="Courier New" w:eastAsia="Courier New" w:hAnsi="Courier New"/>
                <w:sz w:val="16"/>
                <w:szCs w:val="16"/>
                <w:color w:val="auto"/>
                <w:w w:val="93"/>
              </w:rPr>
              <w:t>$476.1</w:t>
            </w:r>
          </w:p>
        </w:tc>
        <w:tc>
          <w:tcPr>
            <w:tcW w:w="11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24.4%</w:t>
            </w:r>
          </w:p>
        </w:tc>
        <w:tc>
          <w:tcPr>
            <w:tcW w:w="880" w:type="dxa"/>
            <w:vAlign w:val="bottom"/>
          </w:tcPr>
          <w:p>
            <w:pPr>
              <w:jc w:val="center"/>
              <w:ind w:left="62"/>
              <w:spacing w:after="0"/>
              <w:rPr>
                <w:sz w:val="20"/>
                <w:szCs w:val="20"/>
                <w:color w:val="auto"/>
              </w:rPr>
            </w:pPr>
            <w:r>
              <w:rPr>
                <w:rFonts w:ascii="Courier New" w:cs="Courier New" w:eastAsia="Courier New" w:hAnsi="Courier New"/>
                <w:sz w:val="16"/>
                <w:szCs w:val="16"/>
                <w:color w:val="auto"/>
                <w:w w:val="93"/>
              </w:rPr>
              <w:t>$382.7</w:t>
            </w:r>
          </w:p>
        </w:tc>
      </w:tr>
      <w:tr>
        <w:trPr>
          <w:trHeight w:val="179"/>
        </w:trPr>
        <w:tc>
          <w:tcPr>
            <w:tcW w:w="488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as a % of net sales................................</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12.9%</w:t>
            </w:r>
          </w:p>
        </w:tc>
        <w:tc>
          <w:tcPr>
            <w:tcW w:w="1120" w:type="dxa"/>
            <w:vAlign w:val="bottom"/>
          </w:tcPr>
          <w:p>
            <w:pPr>
              <w:spacing w:after="0"/>
              <w:rPr>
                <w:sz w:val="15"/>
                <w:szCs w:val="15"/>
                <w:color w:val="auto"/>
              </w:rPr>
            </w:pP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15.7%</w:t>
            </w:r>
          </w:p>
        </w:tc>
        <w:tc>
          <w:tcPr>
            <w:tcW w:w="112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10.9%</w:t>
            </w:r>
          </w:p>
        </w:tc>
      </w:tr>
    </w:tbl>
    <w:p>
      <w:pPr>
        <w:spacing w:after="0" w:line="200" w:lineRule="exact"/>
        <w:rPr>
          <w:sz w:val="20"/>
          <w:szCs w:val="20"/>
          <w:color w:val="auto"/>
        </w:rPr>
      </w:pPr>
    </w:p>
    <w:p>
      <w:pPr>
        <w:spacing w:after="0" w:line="340" w:lineRule="exact"/>
        <w:rPr>
          <w:sz w:val="20"/>
          <w:szCs w:val="20"/>
          <w:color w:val="auto"/>
        </w:rPr>
      </w:pPr>
    </w:p>
    <w:p>
      <w:pPr>
        <w:ind w:right="2879" w:firstLine="186"/>
        <w:spacing w:after="0" w:line="272" w:lineRule="auto"/>
        <w:rPr>
          <w:sz w:val="20"/>
          <w:szCs w:val="20"/>
          <w:color w:val="auto"/>
        </w:rPr>
      </w:pPr>
      <w:r>
        <w:rPr>
          <w:rFonts w:ascii="Courier New" w:cs="Courier New" w:eastAsia="Courier New" w:hAnsi="Courier New"/>
          <w:sz w:val="14"/>
          <w:szCs w:val="14"/>
          <w:color w:val="auto"/>
        </w:rPr>
        <w:t>Selling, general and administrative expenses were relatively flat in 1999 as compared to 1998. Selling, general and administrative expenses associated with the Company's semiconductor operations increased significantly for 1999 as compared to 1998 and include approximately $43 million in expenses associated with the international operations acquired from TI. Selling, general and administrative expenses for the Company's PC operations decreased substantially for these comparative periods primarily as a result of enhanced operational efficiencies and cost reductions and the sale of 90% of MEI's interest in its contract manufacturing subsidiary in 1998. As the Company's semiconductor operations and PC operations grow, selling, general and administrative expenses are expected to increase in future periods as a result of increased personnel, advertising and other costs necessary to support the expanding operations.</w:t>
      </w:r>
    </w:p>
    <w:p>
      <w:pPr>
        <w:spacing w:after="0" w:line="169" w:lineRule="exact"/>
        <w:rPr>
          <w:sz w:val="20"/>
          <w:szCs w:val="20"/>
          <w:color w:val="auto"/>
        </w:rPr>
      </w:pPr>
    </w:p>
    <w:p>
      <w:pPr>
        <w:ind w:right="2959" w:firstLine="186"/>
        <w:spacing w:after="0" w:line="236" w:lineRule="auto"/>
        <w:rPr>
          <w:sz w:val="20"/>
          <w:szCs w:val="20"/>
          <w:color w:val="auto"/>
        </w:rPr>
      </w:pPr>
      <w:r>
        <w:rPr>
          <w:rFonts w:ascii="Courier New" w:cs="Courier New" w:eastAsia="Courier New" w:hAnsi="Courier New"/>
          <w:sz w:val="16"/>
          <w:szCs w:val="16"/>
          <w:color w:val="auto"/>
        </w:rPr>
        <w:t>Selling, general and administrative expenses were higher in 1998 as compared to 1997 primarily due to increased expenses associated with the Company's PC operations. The higher level of selling, general and administrative expenses for the Company's PC operations was principally due to higher levels of personnel, advertising and technical and professional fees associated with information technology consulting services. The higher selling, general and administrative expenses for 1998 were partially offset by a lower level of performance based compensation than in 1997.</w:t>
      </w:r>
    </w:p>
    <w:p>
      <w:pPr>
        <w:spacing w:after="0" w:line="178"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Research and Development</w:t>
      </w: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220" w:type="dxa"/>
            <w:vAlign w:val="bottom"/>
          </w:tcPr>
          <w:p>
            <w:pPr>
              <w:spacing w:after="0"/>
              <w:rPr>
                <w:sz w:val="15"/>
                <w:szCs w:val="15"/>
                <w:color w:val="auto"/>
              </w:rPr>
            </w:pPr>
          </w:p>
        </w:tc>
        <w:tc>
          <w:tcPr>
            <w:tcW w:w="3680" w:type="dxa"/>
            <w:vAlign w:val="bottom"/>
          </w:tcPr>
          <w:p>
            <w:pPr>
              <w:jc w:val="right"/>
              <w:ind w:right="254"/>
              <w:spacing w:after="0"/>
              <w:rPr>
                <w:sz w:val="20"/>
                <w:szCs w:val="20"/>
                <w:color w:val="auto"/>
              </w:rPr>
            </w:pPr>
            <w:r>
              <w:rPr>
                <w:rFonts w:ascii="Courier New" w:cs="Courier New" w:eastAsia="Courier New" w:hAnsi="Courier New"/>
                <w:sz w:val="16"/>
                <w:szCs w:val="16"/>
                <w:color w:val="auto"/>
              </w:rPr>
              <w:t>1999</w:t>
            </w:r>
          </w:p>
        </w:tc>
        <w:tc>
          <w:tcPr>
            <w:tcW w:w="112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 Change</w:t>
            </w:r>
          </w:p>
        </w:tc>
        <w:tc>
          <w:tcPr>
            <w:tcW w:w="1020" w:type="dxa"/>
            <w:vAlign w:val="bottom"/>
          </w:tcPr>
          <w:p>
            <w:pPr>
              <w:jc w:val="center"/>
              <w:spacing w:after="0"/>
              <w:rPr>
                <w:sz w:val="20"/>
                <w:szCs w:val="20"/>
                <w:color w:val="auto"/>
              </w:rPr>
            </w:pPr>
            <w:r>
              <w:rPr>
                <w:rFonts w:ascii="Courier New" w:cs="Courier New" w:eastAsia="Courier New" w:hAnsi="Courier New"/>
                <w:sz w:val="16"/>
                <w:szCs w:val="16"/>
                <w:color w:val="auto"/>
                <w:w w:val="98"/>
              </w:rPr>
              <w:t>1998</w:t>
            </w:r>
          </w:p>
        </w:tc>
        <w:tc>
          <w:tcPr>
            <w:tcW w:w="112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 Change</w:t>
            </w:r>
          </w:p>
        </w:tc>
        <w:tc>
          <w:tcPr>
            <w:tcW w:w="880" w:type="dxa"/>
            <w:vAlign w:val="bottom"/>
          </w:tcPr>
          <w:p>
            <w:pPr>
              <w:jc w:val="center"/>
              <w:ind w:left="62"/>
              <w:spacing w:after="0"/>
              <w:rPr>
                <w:sz w:val="20"/>
                <w:szCs w:val="20"/>
                <w:color w:val="auto"/>
              </w:rPr>
            </w:pPr>
            <w:r>
              <w:rPr>
                <w:rFonts w:ascii="Courier New" w:cs="Courier New" w:eastAsia="Courier New" w:hAnsi="Courier New"/>
                <w:sz w:val="16"/>
                <w:szCs w:val="16"/>
                <w:color w:val="auto"/>
                <w:w w:val="98"/>
              </w:rPr>
              <w:t>1997</w:t>
            </w:r>
          </w:p>
        </w:tc>
      </w:tr>
      <w:tr>
        <w:trPr>
          <w:trHeight w:val="179"/>
        </w:trPr>
        <w:tc>
          <w:tcPr>
            <w:tcW w:w="2220" w:type="dxa"/>
            <w:vAlign w:val="bottom"/>
          </w:tcPr>
          <w:p>
            <w:pPr>
              <w:spacing w:after="0"/>
              <w:rPr>
                <w:sz w:val="15"/>
                <w:szCs w:val="15"/>
                <w:color w:val="auto"/>
              </w:rPr>
            </w:pPr>
          </w:p>
        </w:tc>
        <w:tc>
          <w:tcPr>
            <w:tcW w:w="3680" w:type="dxa"/>
            <w:vAlign w:val="bottom"/>
          </w:tcPr>
          <w:p>
            <w:pPr>
              <w:jc w:val="right"/>
              <w:ind w:right="74"/>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6"/>
              </w:rPr>
              <w:t>--------</w:t>
            </w: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center"/>
              <w:ind w:left="62"/>
              <w:spacing w:after="0" w:line="179" w:lineRule="exact"/>
              <w:rPr>
                <w:sz w:val="20"/>
                <w:szCs w:val="20"/>
                <w:color w:val="auto"/>
              </w:rPr>
            </w:pPr>
            <w:r>
              <w:rPr>
                <w:rFonts w:ascii="Courier New" w:cs="Courier New" w:eastAsia="Courier New" w:hAnsi="Courier New"/>
                <w:sz w:val="16"/>
                <w:szCs w:val="16"/>
                <w:color w:val="auto"/>
                <w:w w:val="96"/>
              </w:rPr>
              <w:t>--------</w:t>
            </w:r>
          </w:p>
        </w:tc>
      </w:tr>
      <w:tr>
        <w:trPr>
          <w:trHeight w:val="179"/>
        </w:trPr>
        <w:tc>
          <w:tcPr>
            <w:tcW w:w="222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3260" w:type="dxa"/>
            <w:vAlign w:val="bottom"/>
            <w:gridSpan w:val="3"/>
          </w:tcPr>
          <w:p>
            <w:pPr>
              <w:jc w:val="right"/>
              <w:ind w:right="622"/>
              <w:spacing w:after="0" w:line="179" w:lineRule="exact"/>
              <w:rPr>
                <w:sz w:val="20"/>
                <w:szCs w:val="20"/>
                <w:color w:val="auto"/>
              </w:rPr>
            </w:pPr>
            <w:r>
              <w:rPr>
                <w:rFonts w:ascii="Courier New" w:cs="Courier New" w:eastAsia="Courier New" w:hAnsi="Courier New"/>
                <w:sz w:val="16"/>
                <w:szCs w:val="16"/>
                <w:color w:val="auto"/>
              </w:rPr>
              <w:t>(dollars in millions)</w:t>
            </w:r>
          </w:p>
        </w:tc>
        <w:tc>
          <w:tcPr>
            <w:tcW w:w="880" w:type="dxa"/>
            <w:vAlign w:val="bottom"/>
          </w:tcPr>
          <w:p>
            <w:pPr>
              <w:spacing w:after="0"/>
              <w:rPr>
                <w:sz w:val="15"/>
                <w:szCs w:val="15"/>
                <w:color w:val="auto"/>
              </w:rPr>
            </w:pPr>
          </w:p>
        </w:tc>
      </w:tr>
      <w:tr>
        <w:trPr>
          <w:trHeight w:val="358"/>
        </w:trPr>
        <w:tc>
          <w:tcPr>
            <w:tcW w:w="2220" w:type="dxa"/>
            <w:vAlign w:val="bottom"/>
          </w:tcPr>
          <w:p>
            <w:pPr>
              <w:spacing w:after="0"/>
              <w:rPr>
                <w:sz w:val="20"/>
                <w:szCs w:val="20"/>
                <w:color w:val="auto"/>
              </w:rPr>
            </w:pPr>
            <w:r>
              <w:rPr>
                <w:rFonts w:ascii="Courier New" w:cs="Courier New" w:eastAsia="Courier New" w:hAnsi="Courier New"/>
                <w:sz w:val="16"/>
                <w:szCs w:val="16"/>
                <w:color w:val="auto"/>
                <w:w w:val="95"/>
              </w:rPr>
              <w:t>Research and development</w:t>
            </w:r>
          </w:p>
        </w:tc>
        <w:tc>
          <w:tcPr>
            <w:tcW w:w="3680" w:type="dxa"/>
            <w:vAlign w:val="bottom"/>
          </w:tcPr>
          <w:p>
            <w:pPr>
              <w:jc w:val="right"/>
              <w:ind w:right="174"/>
              <w:spacing w:after="0"/>
              <w:rPr>
                <w:sz w:val="20"/>
                <w:szCs w:val="20"/>
                <w:color w:val="auto"/>
              </w:rPr>
            </w:pPr>
            <w:r>
              <w:rPr>
                <w:rFonts w:ascii="Courier New" w:cs="Courier New" w:eastAsia="Courier New" w:hAnsi="Courier New"/>
                <w:sz w:val="16"/>
                <w:szCs w:val="16"/>
                <w:color w:val="auto"/>
                <w:w w:val="93"/>
              </w:rPr>
              <w:t>...........................$322.1</w:t>
            </w:r>
          </w:p>
        </w:tc>
        <w:tc>
          <w:tcPr>
            <w:tcW w:w="11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12.5%</w:t>
            </w:r>
          </w:p>
        </w:tc>
        <w:tc>
          <w:tcPr>
            <w:tcW w:w="1020" w:type="dxa"/>
            <w:vAlign w:val="bottom"/>
          </w:tcPr>
          <w:p>
            <w:pPr>
              <w:jc w:val="center"/>
              <w:spacing w:after="0"/>
              <w:rPr>
                <w:sz w:val="20"/>
                <w:szCs w:val="20"/>
                <w:color w:val="auto"/>
              </w:rPr>
            </w:pPr>
            <w:r>
              <w:rPr>
                <w:rFonts w:ascii="Courier New" w:cs="Courier New" w:eastAsia="Courier New" w:hAnsi="Courier New"/>
                <w:sz w:val="16"/>
                <w:szCs w:val="16"/>
                <w:color w:val="auto"/>
                <w:w w:val="93"/>
              </w:rPr>
              <w:t>$286.4</w:t>
            </w:r>
          </w:p>
        </w:tc>
        <w:tc>
          <w:tcPr>
            <w:tcW w:w="11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27.9%</w:t>
            </w:r>
          </w:p>
        </w:tc>
        <w:tc>
          <w:tcPr>
            <w:tcW w:w="880" w:type="dxa"/>
            <w:vAlign w:val="bottom"/>
          </w:tcPr>
          <w:p>
            <w:pPr>
              <w:jc w:val="center"/>
              <w:ind w:left="62"/>
              <w:spacing w:after="0"/>
              <w:rPr>
                <w:sz w:val="20"/>
                <w:szCs w:val="20"/>
                <w:color w:val="auto"/>
              </w:rPr>
            </w:pPr>
            <w:r>
              <w:rPr>
                <w:rFonts w:ascii="Courier New" w:cs="Courier New" w:eastAsia="Courier New" w:hAnsi="Courier New"/>
                <w:sz w:val="16"/>
                <w:szCs w:val="16"/>
                <w:color w:val="auto"/>
                <w:w w:val="93"/>
              </w:rPr>
              <w:t>$223.9</w:t>
            </w:r>
          </w:p>
        </w:tc>
      </w:tr>
      <w:tr>
        <w:trPr>
          <w:trHeight w:val="179"/>
        </w:trPr>
        <w:tc>
          <w:tcPr>
            <w:tcW w:w="2220" w:type="dxa"/>
            <w:vAlign w:val="bottom"/>
          </w:tcPr>
          <w:p>
            <w:pPr>
              <w:spacing w:after="0"/>
              <w:rPr>
                <w:sz w:val="20"/>
                <w:szCs w:val="20"/>
                <w:color w:val="auto"/>
              </w:rPr>
            </w:pPr>
            <w:r>
              <w:rPr>
                <w:rFonts w:ascii="Courier New" w:cs="Courier New" w:eastAsia="Courier New" w:hAnsi="Courier New"/>
                <w:sz w:val="10"/>
                <w:szCs w:val="10"/>
                <w:color w:val="auto"/>
                <w:w w:val="71"/>
              </w:rPr>
              <w:t>as a % of net sales................................</w:t>
            </w:r>
          </w:p>
        </w:tc>
        <w:tc>
          <w:tcPr>
            <w:tcW w:w="3680" w:type="dxa"/>
            <w:vAlign w:val="bottom"/>
          </w:tcPr>
          <w:p>
            <w:pPr>
              <w:jc w:val="right"/>
              <w:ind w:right="74"/>
              <w:spacing w:after="0" w:line="179" w:lineRule="exact"/>
              <w:rPr>
                <w:sz w:val="20"/>
                <w:szCs w:val="20"/>
                <w:color w:val="auto"/>
              </w:rPr>
            </w:pPr>
            <w:r>
              <w:rPr>
                <w:rFonts w:ascii="Courier New" w:cs="Courier New" w:eastAsia="Courier New" w:hAnsi="Courier New"/>
                <w:sz w:val="16"/>
                <w:szCs w:val="16"/>
                <w:color w:val="auto"/>
              </w:rPr>
              <w:t>8.6%</w:t>
            </w:r>
          </w:p>
        </w:tc>
        <w:tc>
          <w:tcPr>
            <w:tcW w:w="1120" w:type="dxa"/>
            <w:vAlign w:val="bottom"/>
          </w:tcPr>
          <w:p>
            <w:pPr>
              <w:spacing w:after="0"/>
              <w:rPr>
                <w:sz w:val="15"/>
                <w:szCs w:val="15"/>
                <w:color w:val="auto"/>
              </w:rPr>
            </w:pP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9.5%</w:t>
            </w:r>
          </w:p>
        </w:tc>
        <w:tc>
          <w:tcPr>
            <w:tcW w:w="112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6.4%</w:t>
            </w:r>
          </w:p>
        </w:tc>
      </w:tr>
      <w:tr>
        <w:trPr>
          <w:trHeight w:val="537"/>
        </w:trPr>
        <w:tc>
          <w:tcPr>
            <w:tcW w:w="2220" w:type="dxa"/>
            <w:vAlign w:val="bottom"/>
          </w:tcPr>
          <w:p>
            <w:pPr>
              <w:spacing w:after="0"/>
              <w:rPr>
                <w:sz w:val="24"/>
                <w:szCs w:val="24"/>
                <w:color w:val="auto"/>
              </w:rPr>
            </w:pPr>
          </w:p>
        </w:tc>
        <w:tc>
          <w:tcPr>
            <w:tcW w:w="3680" w:type="dxa"/>
            <w:vAlign w:val="bottom"/>
          </w:tcPr>
          <w:p>
            <w:pPr>
              <w:jc w:val="right"/>
              <w:ind w:right="1934"/>
              <w:spacing w:after="0"/>
              <w:rPr>
                <w:sz w:val="20"/>
                <w:szCs w:val="20"/>
                <w:color w:val="auto"/>
              </w:rPr>
            </w:pPr>
            <w:r>
              <w:rPr>
                <w:rFonts w:ascii="Courier New" w:cs="Courier New" w:eastAsia="Courier New" w:hAnsi="Courier New"/>
                <w:sz w:val="16"/>
                <w:szCs w:val="16"/>
                <w:color w:val="auto"/>
              </w:rPr>
              <w:t>19/57</w:t>
            </w:r>
          </w:p>
        </w:tc>
        <w:tc>
          <w:tcPr>
            <w:tcW w:w="1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0219"/>
          </w:cols>
          <w:pgMar w:left="240" w:top="654" w:right="1440" w:bottom="775" w:gutter="0" w:footer="0" w:header="0"/>
        </w:sectPr>
      </w:pPr>
    </w:p>
    <w:bookmarkStart w:id="19" w:name="page20"/>
    <w:bookmarkEnd w:id="19"/>
    <w:p>
      <w:pPr>
        <w:ind w:left="5" w:right="2779" w:firstLine="186"/>
        <w:spacing w:after="0" w:line="236" w:lineRule="auto"/>
        <w:rPr>
          <w:sz w:val="20"/>
          <w:szCs w:val="20"/>
          <w:color w:val="auto"/>
        </w:rPr>
      </w:pPr>
      <w:r>
        <w:rPr>
          <w:rFonts w:ascii="Courier New" w:cs="Courier New" w:eastAsia="Courier New" w:hAnsi="Courier New"/>
          <w:sz w:val="16"/>
          <w:szCs w:val="16"/>
          <w:color w:val="auto"/>
        </w:rPr>
        <w:t>Substantially all the Company's research and development efforts relate to its semiconductor operations. Research and development expenses vary primarily with personnel costs, the cost of advanced equipment dedicated to new product and process development and the number of wafers processed. The increase in research and development expenses in 1999 as compared to 1998 is primarily due to increased personnel costs. Research and development efforts are focused on advanced process technology, which is the primary determinant in transitioning to next generation and future products. Simultaneous research and development efforts across multiple products prepare the Company for future product introductions and allow current products to utilize the advanced process technology to achieve higher performance at lower production costs. Application of advanced process technology currently is concentrated on design of shrink versions of the Company's 64 Meg and 128 Meg SDRAMs and on design and development of the Company's 256 Meg SDRAM and direct Rambus DRAM ("RDRAM"), Double Data Rate ("DDR") SDRAM, Flash and SRAM memory products. Other research and development efforts are currently devoted to the design and development of embedded memory products and PC core logic.</w:t>
      </w:r>
    </w:p>
    <w:p>
      <w:pPr>
        <w:spacing w:after="0" w:line="190" w:lineRule="exact"/>
        <w:rPr>
          <w:sz w:val="20"/>
          <w:szCs w:val="20"/>
          <w:color w:val="auto"/>
        </w:rPr>
      </w:pPr>
    </w:p>
    <w:p>
      <w:pPr>
        <w:ind w:left="5" w:right="2879" w:firstLine="186"/>
        <w:spacing w:after="0" w:line="273" w:lineRule="auto"/>
        <w:rPr>
          <w:sz w:val="20"/>
          <w:szCs w:val="20"/>
          <w:color w:val="auto"/>
        </w:rPr>
      </w:pPr>
      <w:r>
        <w:rPr>
          <w:rFonts w:ascii="Courier New" w:cs="Courier New" w:eastAsia="Courier New" w:hAnsi="Courier New"/>
          <w:sz w:val="14"/>
          <w:szCs w:val="14"/>
          <w:color w:val="auto"/>
        </w:rPr>
        <w:t>In 1999, the Company substantially completed the transition of its operations from .25 (u) to .21 (u) process technology. The Company expects the transition to .18 (u) capability to be substantially complete in late calendar 1999. The Company anticipates that process technology will move to .15 (u) line widths in the next few years as needed for the development of future generation semiconductor products. Transitions to smaller line widths at the Company's international operations are expected to lag behind transitions at the Boise site by several months as process technology development and initial manufacturing are expected to be completed first at the Boise sit e.</w:t>
      </w:r>
    </w:p>
    <w:p>
      <w:pPr>
        <w:spacing w:after="0" w:line="159" w:lineRule="exact"/>
        <w:rPr>
          <w:sz w:val="20"/>
          <w:szCs w:val="20"/>
          <w:color w:val="auto"/>
        </w:rPr>
      </w:pPr>
    </w:p>
    <w:p>
      <w:pPr>
        <w:ind w:left="185"/>
        <w:spacing w:after="0"/>
        <w:rPr>
          <w:sz w:val="20"/>
          <w:szCs w:val="20"/>
          <w:color w:val="auto"/>
        </w:rPr>
      </w:pPr>
      <w:r>
        <w:rPr>
          <w:rFonts w:ascii="Courier New" w:cs="Courier New" w:eastAsia="Courier New" w:hAnsi="Courier New"/>
          <w:sz w:val="16"/>
          <w:szCs w:val="16"/>
          <w:color w:val="auto"/>
        </w:rPr>
        <w:t>Other Operating Expense (Income)</w:t>
      </w:r>
    </w:p>
    <w:p>
      <w:pPr>
        <w:spacing w:after="0" w:line="183" w:lineRule="exact"/>
        <w:rPr>
          <w:sz w:val="20"/>
          <w:szCs w:val="20"/>
          <w:color w:val="auto"/>
        </w:rPr>
      </w:pPr>
    </w:p>
    <w:p>
      <w:pPr>
        <w:ind w:left="5" w:right="2879" w:firstLine="186"/>
        <w:spacing w:after="0" w:line="236" w:lineRule="auto"/>
        <w:rPr>
          <w:sz w:val="20"/>
          <w:szCs w:val="20"/>
          <w:color w:val="auto"/>
        </w:rPr>
      </w:pPr>
      <w:r>
        <w:rPr>
          <w:rFonts w:ascii="Courier New" w:cs="Courier New" w:eastAsia="Courier New" w:hAnsi="Courier New"/>
          <w:sz w:val="16"/>
          <w:szCs w:val="16"/>
          <w:color w:val="auto"/>
        </w:rPr>
        <w:t>Other operating expense for 1999 includes a $15 million charge from the write down and disposal of flat panel display assets, a loss of $12 million from the write down and disposal of semiconductor operations equipment, a $9 million charge resulting from the discontinuation of the Company's RFID efforts and $6 million in employee stock compensation expense related to the 1999 acquisition of substantially all of the semiconductor memory operations of TI and the 1998 purchase of the minority interest in the Company's subsidiary, Micron Quantum Devices, Inc.</w:t>
      </w:r>
    </w:p>
    <w:p>
      <w:pPr>
        <w:spacing w:after="0" w:line="184" w:lineRule="exact"/>
        <w:rPr>
          <w:sz w:val="20"/>
          <w:szCs w:val="20"/>
          <w:color w:val="auto"/>
        </w:rPr>
      </w:pPr>
    </w:p>
    <w:p>
      <w:pPr>
        <w:ind w:left="5" w:right="2779" w:firstLine="186"/>
        <w:spacing w:after="0" w:line="235" w:lineRule="auto"/>
        <w:rPr>
          <w:sz w:val="20"/>
          <w:szCs w:val="20"/>
          <w:color w:val="auto"/>
        </w:rPr>
      </w:pPr>
      <w:r>
        <w:rPr>
          <w:rFonts w:ascii="Courier New" w:cs="Courier New" w:eastAsia="Courier New" w:hAnsi="Courier New"/>
          <w:sz w:val="16"/>
          <w:szCs w:val="16"/>
          <w:color w:val="auto"/>
        </w:rPr>
        <w:t>Other operating expense for 1998 includes a loss of $14 million from the write down and disposal of semiconductor manufacturing equipment and charges associated with the Company's PC operations of $11 million resulting from employee termination benefits and consolidation of domestic and international operations and $5 million from the write off of software development costs.</w:t>
      </w:r>
    </w:p>
    <w:p>
      <w:pPr>
        <w:spacing w:after="0" w:line="180" w:lineRule="exact"/>
        <w:rPr>
          <w:sz w:val="20"/>
          <w:szCs w:val="20"/>
          <w:color w:val="auto"/>
        </w:rPr>
      </w:pPr>
    </w:p>
    <w:p>
      <w:pPr>
        <w:ind w:left="185"/>
        <w:spacing w:after="0"/>
        <w:rPr>
          <w:sz w:val="20"/>
          <w:szCs w:val="20"/>
          <w:color w:val="auto"/>
        </w:rPr>
      </w:pPr>
      <w:r>
        <w:rPr>
          <w:rFonts w:ascii="Courier New" w:cs="Courier New" w:eastAsia="Courier New" w:hAnsi="Courier New"/>
          <w:sz w:val="16"/>
          <w:szCs w:val="16"/>
          <w:color w:val="auto"/>
        </w:rPr>
        <w:t>Gain on Sale of Investments and Subsidiary Stock</w:t>
      </w:r>
    </w:p>
    <w:p>
      <w:pPr>
        <w:spacing w:after="0" w:line="183" w:lineRule="exact"/>
        <w:rPr>
          <w:sz w:val="20"/>
          <w:szCs w:val="20"/>
          <w:color w:val="auto"/>
        </w:rPr>
      </w:pPr>
    </w:p>
    <w:p>
      <w:pPr>
        <w:ind w:left="5" w:right="2779" w:firstLine="186"/>
        <w:spacing w:after="0" w:line="235" w:lineRule="auto"/>
        <w:rPr>
          <w:sz w:val="20"/>
          <w:szCs w:val="20"/>
          <w:color w:val="auto"/>
        </w:rPr>
      </w:pPr>
      <w:r>
        <w:rPr>
          <w:rFonts w:ascii="Courier New" w:cs="Courier New" w:eastAsia="Courier New" w:hAnsi="Courier New"/>
          <w:sz w:val="16"/>
          <w:szCs w:val="16"/>
          <w:color w:val="auto"/>
        </w:rPr>
        <w:t>In February 1998, MEI sold 90% of its interest in its contract manufacturing subsidiary, Micron Custom Manufacturing Services, Inc. for cash proceeds of $249 million, resulting in a pre-tax gain to the Company of $157 million (approximately $38 million or $0.18 per share after taxes and minority interests).</w:t>
      </w:r>
    </w:p>
    <w:p>
      <w:pPr>
        <w:spacing w:after="0" w:line="186" w:lineRule="exact"/>
        <w:rPr>
          <w:sz w:val="20"/>
          <w:szCs w:val="20"/>
          <w:color w:val="auto"/>
        </w:rPr>
      </w:pPr>
    </w:p>
    <w:p>
      <w:pPr>
        <w:ind w:left="5" w:right="2879" w:firstLine="186"/>
        <w:spacing w:after="0" w:line="236" w:lineRule="auto"/>
        <w:rPr>
          <w:sz w:val="20"/>
          <w:szCs w:val="20"/>
          <w:color w:val="auto"/>
        </w:rPr>
      </w:pPr>
      <w:r>
        <w:rPr>
          <w:rFonts w:ascii="Courier New" w:cs="Courier New" w:eastAsia="Courier New" w:hAnsi="Courier New"/>
          <w:sz w:val="16"/>
          <w:szCs w:val="16"/>
          <w:color w:val="auto"/>
        </w:rPr>
        <w:t>In a public offering in February 1997, MTI sold 12.4 million shares of MEI common stock for net proceeds of $200 million and MEI sold 3 million newly issued shares for net proceeds of $48 million, resulting in a consolidated pre-tax gain of $190 million. The sales reduced the Company's ownership of the outstanding MEI common stock from approximately 79% to approximately 64%. The Company also recorded pre-tax gains totaling $22 million for 1997 relating to sales of investments. Diluted earnings per share for 1997 benefited by $0.50 from these gain transactions.</w:t>
      </w:r>
    </w:p>
    <w:p>
      <w:pPr>
        <w:spacing w:after="0" w:line="178" w:lineRule="exact"/>
        <w:rPr>
          <w:sz w:val="20"/>
          <w:szCs w:val="20"/>
          <w:color w:val="auto"/>
        </w:rPr>
      </w:pPr>
    </w:p>
    <w:p>
      <w:pPr>
        <w:ind w:left="185"/>
        <w:spacing w:after="0"/>
        <w:rPr>
          <w:sz w:val="20"/>
          <w:szCs w:val="20"/>
          <w:color w:val="auto"/>
        </w:rPr>
      </w:pPr>
      <w:r>
        <w:rPr>
          <w:rFonts w:ascii="Courier New" w:cs="Courier New" w:eastAsia="Courier New" w:hAnsi="Courier New"/>
          <w:sz w:val="16"/>
          <w:szCs w:val="16"/>
          <w:color w:val="auto"/>
        </w:rPr>
        <w:t>Income Tax Provision (Benefit)</w:t>
      </w:r>
    </w:p>
    <w:p>
      <w:pPr>
        <w:spacing w:after="0" w:line="183" w:lineRule="exact"/>
        <w:rPr>
          <w:sz w:val="20"/>
          <w:szCs w:val="20"/>
          <w:color w:val="auto"/>
        </w:rPr>
      </w:pPr>
    </w:p>
    <w:p>
      <w:pPr>
        <w:ind w:left="5" w:right="2779" w:firstLine="186"/>
        <w:spacing w:after="0" w:line="270" w:lineRule="auto"/>
        <w:rPr>
          <w:sz w:val="20"/>
          <w:szCs w:val="20"/>
          <w:color w:val="auto"/>
        </w:rPr>
      </w:pPr>
      <w:r>
        <w:rPr>
          <w:rFonts w:ascii="Courier New" w:cs="Courier New" w:eastAsia="Courier New" w:hAnsi="Courier New"/>
          <w:sz w:val="14"/>
          <w:szCs w:val="14"/>
          <w:color w:val="auto"/>
        </w:rPr>
        <w:t>The effective tax rate for 1999, 1998 and 1997 was 39%, 36% and 43%, respectively. The effective tax rate primarily reflects the following: (i) the statutory corporate income tax rate and the net effect of state taxation, (ii) the effect of taxes on the parent of the earnings or loss of domestic subsidiaries not consolidated with the Company for federal income tax purposes,</w:t>
      </w:r>
    </w:p>
    <w:p>
      <w:pPr>
        <w:spacing w:after="0" w:line="2" w:lineRule="exact"/>
        <w:rPr>
          <w:sz w:val="20"/>
          <w:szCs w:val="20"/>
          <w:color w:val="auto"/>
        </w:rPr>
      </w:pPr>
    </w:p>
    <w:p>
      <w:pPr>
        <w:ind w:left="5" w:right="2779" w:hanging="5"/>
        <w:spacing w:after="0" w:line="236" w:lineRule="auto"/>
        <w:tabs>
          <w:tab w:leader="none" w:pos="563"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1999, the impact of a $10 million valuation allowance recorded for a deferred tax asset relating to realizability of certain tax credit carryforwards and (iv) in 1998, the impact of a $4 million valuation allowance recorded for a deferred tax asset relating to MEI's consolidation of its NetFRAME enterprise server operations. The relatively higher effective tax rate in 1997 was principally due to the provision for</w:t>
      </w:r>
    </w:p>
    <w:p>
      <w:pPr>
        <w:spacing w:after="0" w:line="177" w:lineRule="exact"/>
        <w:rPr>
          <w:sz w:val="20"/>
          <w:szCs w:val="20"/>
          <w:color w:val="auto"/>
        </w:rPr>
      </w:pPr>
    </w:p>
    <w:p>
      <w:pPr>
        <w:ind w:left="3445"/>
        <w:spacing w:after="0"/>
        <w:rPr>
          <w:sz w:val="20"/>
          <w:szCs w:val="20"/>
          <w:color w:val="auto"/>
        </w:rPr>
      </w:pPr>
      <w:r>
        <w:rPr>
          <w:rFonts w:ascii="Courier New" w:cs="Courier New" w:eastAsia="Courier New" w:hAnsi="Courier New"/>
          <w:sz w:val="16"/>
          <w:szCs w:val="16"/>
          <w:color w:val="auto"/>
        </w:rPr>
        <w:t>20/57</w:t>
      </w:r>
    </w:p>
    <w:p>
      <w:pPr>
        <w:sectPr>
          <w:pgSz w:w="11900" w:h="16838" w:orient="portrait"/>
          <w:cols w:equalWidth="0" w:num="1">
            <w:col w:w="10224"/>
          </w:cols>
          <w:pgMar w:left="235" w:top="654" w:right="1440" w:bottom="1440" w:gutter="0" w:footer="0" w:header="0"/>
        </w:sectPr>
      </w:pPr>
    </w:p>
    <w:bookmarkStart w:id="20" w:name="page21"/>
    <w:bookmarkEnd w:id="20"/>
    <w:p>
      <w:pPr>
        <w:ind w:right="2959"/>
        <w:spacing w:after="0" w:line="274" w:lineRule="auto"/>
        <w:rPr>
          <w:sz w:val="20"/>
          <w:szCs w:val="20"/>
          <w:color w:val="auto"/>
        </w:rPr>
      </w:pPr>
      <w:r>
        <w:rPr>
          <w:rFonts w:ascii="Courier New" w:cs="Courier New" w:eastAsia="Courier New" w:hAnsi="Courier New"/>
          <w:sz w:val="14"/>
          <w:szCs w:val="14"/>
          <w:color w:val="auto"/>
        </w:rPr>
        <w:t>income taxes by the Company on earnings of its domestic subsidiaries and the gain on the sale of MEI common stock by the Company and the issuance of common stock by MEI in 1997. Taxes on earnings of domestic subsidiaries not consolidated for tax purposes may cause the effective tax rate to vary significantly from period to period. In 1999, certain of the Company's foreign operations were granted favorable tax treatment. The Company expects to permanently reinvest earnings from these foreign operations and anticipates a favorable impact on its effective tax rate in future periods as a result.</w:t>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Recently Issued Accounting Standards</w:t>
      </w:r>
    </w:p>
    <w:p>
      <w:pPr>
        <w:spacing w:after="0" w:line="183" w:lineRule="exact"/>
        <w:rPr>
          <w:sz w:val="20"/>
          <w:szCs w:val="20"/>
          <w:color w:val="auto"/>
        </w:rPr>
      </w:pPr>
    </w:p>
    <w:p>
      <w:pPr>
        <w:ind w:right="2779" w:firstLine="186"/>
        <w:spacing w:after="0" w:line="235" w:lineRule="auto"/>
        <w:rPr>
          <w:sz w:val="20"/>
          <w:szCs w:val="20"/>
          <w:color w:val="auto"/>
        </w:rPr>
      </w:pPr>
      <w:r>
        <w:rPr>
          <w:rFonts w:ascii="Courier New" w:cs="Courier New" w:eastAsia="Courier New" w:hAnsi="Courier New"/>
          <w:sz w:val="16"/>
          <w:szCs w:val="16"/>
          <w:color w:val="auto"/>
        </w:rPr>
        <w:t>Recently issued accounting standards include Statement of Position ("SOP") 98-1 "Accounting for the Costs of Computer Software Developed or Obtained for Internal Use," issued by the AICPA in March 1998 and Statement of Financial Accounting Standards ("SFAS") No. 133 "Accounting for Derivative Instruments and Hedging Activities," issued by the FASB in June 1998.</w:t>
      </w:r>
    </w:p>
    <w:p>
      <w:pPr>
        <w:spacing w:after="0" w:line="186" w:lineRule="exact"/>
        <w:rPr>
          <w:sz w:val="20"/>
          <w:szCs w:val="20"/>
          <w:color w:val="auto"/>
        </w:rPr>
      </w:pPr>
    </w:p>
    <w:p>
      <w:pPr>
        <w:ind w:right="2779" w:firstLine="186"/>
        <w:spacing w:after="0" w:line="236" w:lineRule="auto"/>
        <w:rPr>
          <w:sz w:val="20"/>
          <w:szCs w:val="20"/>
          <w:color w:val="auto"/>
        </w:rPr>
      </w:pPr>
      <w:r>
        <w:rPr>
          <w:rFonts w:ascii="Courier New" w:cs="Courier New" w:eastAsia="Courier New" w:hAnsi="Courier New"/>
          <w:sz w:val="16"/>
          <w:szCs w:val="16"/>
          <w:color w:val="auto"/>
        </w:rPr>
        <w:t>SOP 98-1 requires companies to capitalize certain costs of computer software developed or obtained for internal use. The Company, which currently capitalizes costs of purchased internal-use computer software and expenses costs of internally developed internal-use software as incurred, is adopting the standard in the first quarter of fiscal 2000 for developmental costs incurred in that quarter and thereafter. The adoption is expected to result in an initial decrease in selling, general and administrative expense due to the capitalization of certain business system software costs that were not capitalized under the Company's past practice. Subsequent period expenses are expected to reflect a higher level of depreciation expense resulting from the relatively higher carrying value of the Company's capitalized software accounted for under SOP 98-1.</w:t>
      </w:r>
    </w:p>
    <w:p>
      <w:pPr>
        <w:spacing w:after="0" w:line="187" w:lineRule="exact"/>
        <w:rPr>
          <w:sz w:val="20"/>
          <w:szCs w:val="20"/>
          <w:color w:val="auto"/>
        </w:rPr>
      </w:pPr>
    </w:p>
    <w:p>
      <w:pPr>
        <w:ind w:right="2779" w:firstLine="186"/>
        <w:spacing w:after="0" w:line="270" w:lineRule="auto"/>
        <w:rPr>
          <w:sz w:val="20"/>
          <w:szCs w:val="20"/>
          <w:color w:val="auto"/>
        </w:rPr>
      </w:pPr>
      <w:r>
        <w:rPr>
          <w:rFonts w:ascii="Courier New" w:cs="Courier New" w:eastAsia="Courier New" w:hAnsi="Courier New"/>
          <w:sz w:val="14"/>
          <w:szCs w:val="14"/>
          <w:color w:val="auto"/>
        </w:rPr>
        <w:t>SFAS No. 133 requires that all derivatives be recorded as either assets or liabilities in the balance sheet and marked to market on an ongoing basis. SFAS No. 133 applies to all derivatives including stand-alone instruments, such as forward currency exchange contracts and interest rate swaps, or embedded derivatives, such as call options contained in convertible debt investments.</w:t>
      </w:r>
    </w:p>
    <w:p>
      <w:pPr>
        <w:spacing w:after="0" w:line="2"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The underlying hedged items are to be marked to market on an ongoing basis along with the derivatives. These market value adjustments are to be included either in the statement of operations or as a component of comprehensive income, depending on the nature of the transaction. Implementation of SFAS No. 133 is required for the Company by the first quarter of 2001. Given the Company's current business practices, the implementation of SFAS 133 is not expected to have a significant impact on the Company's future results of operations or financial position.</w:t>
      </w:r>
    </w:p>
    <w:p>
      <w:pPr>
        <w:spacing w:after="0" w:line="35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183" w:lineRule="exact"/>
        <w:rPr>
          <w:sz w:val="20"/>
          <w:szCs w:val="20"/>
          <w:color w:val="auto"/>
        </w:rPr>
      </w:pPr>
    </w:p>
    <w:p>
      <w:pPr>
        <w:ind w:right="2779" w:firstLine="186"/>
        <w:spacing w:after="0" w:line="236" w:lineRule="auto"/>
        <w:rPr>
          <w:sz w:val="20"/>
          <w:szCs w:val="20"/>
          <w:color w:val="auto"/>
        </w:rPr>
      </w:pPr>
      <w:r>
        <w:rPr>
          <w:rFonts w:ascii="Courier New" w:cs="Courier New" w:eastAsia="Courier New" w:hAnsi="Courier New"/>
          <w:sz w:val="16"/>
          <w:szCs w:val="16"/>
          <w:color w:val="auto"/>
        </w:rPr>
        <w:t>As of September 2, 1999, the Company had cash and liquid investments totaling $1.6 billion, representing an increase of $1.0 billion during 1999. In the first quarter of 1999, the Company received $681 million in conjunction with the acquisition of substantially all of TI's memory operations and $500 million from the sale of stock to Intel Corporation. The Company's other principal source of liquidity during 1999 was net cash flow from operations of $848 million. The principal uses of funds during 1999 were $804 million for property, plant and equipment expenditures and $421 million for repayments of equipment contracts and debt.</w:t>
      </w:r>
    </w:p>
    <w:p>
      <w:pPr>
        <w:spacing w:after="0" w:line="185" w:lineRule="exact"/>
        <w:rPr>
          <w:sz w:val="20"/>
          <w:szCs w:val="20"/>
          <w:color w:val="auto"/>
        </w:rPr>
      </w:pPr>
    </w:p>
    <w:p>
      <w:pPr>
        <w:ind w:right="2779" w:firstLine="186"/>
        <w:spacing w:after="0" w:line="236" w:lineRule="auto"/>
        <w:rPr>
          <w:sz w:val="20"/>
          <w:szCs w:val="20"/>
          <w:color w:val="auto"/>
        </w:rPr>
      </w:pPr>
      <w:r>
        <w:rPr>
          <w:rFonts w:ascii="Courier New" w:cs="Courier New" w:eastAsia="Courier New" w:hAnsi="Courier New"/>
          <w:sz w:val="16"/>
          <w:szCs w:val="16"/>
          <w:color w:val="auto"/>
        </w:rPr>
        <w:t>The Company believes that in order to develop new product and process technologies, support future growth, achieve operating efficiencies and maintain product quality, it must continue to invest in manufacturing technology, facilities and capital equipment, research and development, and product and process technology. The Company currently estimates it will spend approximately $1.1 billion in the next fiscal year for purchases of equipment and for construction and improvement of buildings. As of September 2, 1999, the Company had entered into contracts extending into 2003 for approximately $720 million for equipment purchases and approximately $40 million for the construction of facilities.</w:t>
      </w:r>
    </w:p>
    <w:p>
      <w:pPr>
        <w:spacing w:after="0" w:line="186" w:lineRule="exact"/>
        <w:rPr>
          <w:sz w:val="20"/>
          <w:szCs w:val="20"/>
          <w:color w:val="auto"/>
        </w:rPr>
      </w:pPr>
    </w:p>
    <w:p>
      <w:pPr>
        <w:ind w:right="2879" w:firstLine="186"/>
        <w:spacing w:after="0" w:line="236" w:lineRule="auto"/>
        <w:rPr>
          <w:sz w:val="20"/>
          <w:szCs w:val="20"/>
          <w:color w:val="auto"/>
        </w:rPr>
      </w:pPr>
      <w:r>
        <w:rPr>
          <w:rFonts w:ascii="Courier New" w:cs="Courier New" w:eastAsia="Courier New" w:hAnsi="Courier New"/>
          <w:sz w:val="16"/>
          <w:szCs w:val="16"/>
          <w:color w:val="auto"/>
        </w:rPr>
        <w:t>The Company has an aggregate of $500 million in revolving credit agreements, including a $400 million secured agreement expiring in May 2000 which contains certain restrictive covenants pertaining to the Company's semiconductor operations, including a maximum total debt-to-equity ratio. As of September 2, 1999, the Company was in compliance with all covenants under the facilities and had no borrowings outstanding under the agreements.</w:t>
      </w:r>
    </w:p>
    <w:p>
      <w:pPr>
        <w:spacing w:after="0" w:line="177"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21/57</w:t>
      </w:r>
    </w:p>
    <w:p>
      <w:pPr>
        <w:sectPr>
          <w:pgSz w:w="11900" w:h="16838" w:orient="portrait"/>
          <w:cols w:equalWidth="0" w:num="1">
            <w:col w:w="10219"/>
          </w:cols>
          <w:pgMar w:left="240" w:top="654" w:right="1440" w:bottom="1440" w:gutter="0" w:footer="0" w:header="0"/>
        </w:sectPr>
      </w:pPr>
    </w:p>
    <w:bookmarkStart w:id="21" w:name="page22"/>
    <w:bookmarkEnd w:id="21"/>
    <w:p>
      <w:pPr>
        <w:ind w:right="2879"/>
        <w:spacing w:after="0" w:line="235" w:lineRule="auto"/>
        <w:rPr>
          <w:sz w:val="20"/>
          <w:szCs w:val="20"/>
          <w:color w:val="auto"/>
        </w:rPr>
      </w:pPr>
      <w:r>
        <w:rPr>
          <w:rFonts w:ascii="Courier New" w:cs="Courier New" w:eastAsia="Courier New" w:hAnsi="Courier New"/>
          <w:sz w:val="16"/>
          <w:szCs w:val="16"/>
          <w:color w:val="auto"/>
        </w:rPr>
        <w:t>There can be no assurance that the Company will continue to be able to meet the terms of the covenants and conditions in the agreements, borrow under the agreements or negotiate satisfactory successor agreements.</w:t>
      </w:r>
    </w:p>
    <w:p>
      <w:pPr>
        <w:spacing w:after="0" w:line="183" w:lineRule="exact"/>
        <w:rPr>
          <w:sz w:val="20"/>
          <w:szCs w:val="20"/>
          <w:color w:val="auto"/>
        </w:rPr>
      </w:pPr>
    </w:p>
    <w:p>
      <w:pPr>
        <w:ind w:right="3059" w:firstLine="186"/>
        <w:spacing w:after="0" w:line="235" w:lineRule="auto"/>
        <w:rPr>
          <w:sz w:val="20"/>
          <w:szCs w:val="20"/>
          <w:color w:val="auto"/>
        </w:rPr>
      </w:pPr>
      <w:r>
        <w:rPr>
          <w:rFonts w:ascii="Courier New" w:cs="Courier New" w:eastAsia="Courier New" w:hAnsi="Courier New"/>
          <w:sz w:val="16"/>
          <w:szCs w:val="16"/>
          <w:color w:val="auto"/>
        </w:rPr>
        <w:t>As of September 2, 1999, approximately $340 million of the Company's consolidated cash and liquid investments were held by MEI. Cash generated by MEI is not readily available to finance operations or other expenditures of MTI's semiconductor operations.</w:t>
      </w:r>
    </w:p>
    <w:p>
      <w:pPr>
        <w:spacing w:after="0" w:line="35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Year 2000</w:t>
      </w:r>
    </w:p>
    <w:p>
      <w:pPr>
        <w:spacing w:after="0" w:line="183" w:lineRule="exact"/>
        <w:rPr>
          <w:sz w:val="20"/>
          <w:szCs w:val="20"/>
          <w:color w:val="auto"/>
        </w:rPr>
      </w:pPr>
    </w:p>
    <w:p>
      <w:pPr>
        <w:ind w:right="2879" w:firstLine="186"/>
        <w:spacing w:after="0" w:line="235" w:lineRule="auto"/>
        <w:rPr>
          <w:sz w:val="20"/>
          <w:szCs w:val="20"/>
          <w:color w:val="auto"/>
        </w:rPr>
      </w:pPr>
      <w:r>
        <w:rPr>
          <w:rFonts w:ascii="Courier New" w:cs="Courier New" w:eastAsia="Courier New" w:hAnsi="Courier New"/>
          <w:sz w:val="16"/>
          <w:szCs w:val="16"/>
          <w:color w:val="auto"/>
        </w:rPr>
        <w:t>Like many other companies, the Year 2000 computer issue creates risks for the Company. If internal systems do not correctly recognize and process date information beyond the year 1999, the Company's operations could be adversely impacted as a result of system failures and business interruption.</w:t>
      </w:r>
    </w:p>
    <w:p>
      <w:pPr>
        <w:spacing w:after="0" w:line="185" w:lineRule="exact"/>
        <w:rPr>
          <w:sz w:val="20"/>
          <w:szCs w:val="20"/>
          <w:color w:val="auto"/>
        </w:rPr>
      </w:pPr>
    </w:p>
    <w:p>
      <w:pPr>
        <w:ind w:right="2879" w:firstLine="186"/>
        <w:spacing w:after="0" w:line="236" w:lineRule="auto"/>
        <w:rPr>
          <w:sz w:val="20"/>
          <w:szCs w:val="20"/>
          <w:color w:val="auto"/>
        </w:rPr>
      </w:pPr>
      <w:r>
        <w:rPr>
          <w:rFonts w:ascii="Courier New" w:cs="Courier New" w:eastAsia="Courier New" w:hAnsi="Courier New"/>
          <w:sz w:val="16"/>
          <w:szCs w:val="16"/>
          <w:color w:val="auto"/>
        </w:rPr>
        <w:t>The Company began addressing the Year 2000 computer issue in early 1996. To manage its Year 2000 program, the Company divided its efforts into the primary program areas of: (i) information technology ("IT"), which includes computer and network hardware, operating systems, purchased development tools, third-party and internally developed software, files and databases, end-user extracts and electronic interfaces, (ii) embedded technology within manufacturing and facilitation equipment and (iii) external dependencies, which include relationships with suppliers and customers.</w:t>
      </w:r>
    </w:p>
    <w:p>
      <w:pPr>
        <w:spacing w:after="0" w:line="184" w:lineRule="exact"/>
        <w:rPr>
          <w:sz w:val="20"/>
          <w:szCs w:val="20"/>
          <w:color w:val="auto"/>
        </w:rPr>
      </w:pPr>
    </w:p>
    <w:p>
      <w:pPr>
        <w:ind w:right="2779" w:firstLine="186"/>
        <w:spacing w:after="0" w:line="273" w:lineRule="auto"/>
        <w:rPr>
          <w:sz w:val="20"/>
          <w:szCs w:val="20"/>
          <w:color w:val="auto"/>
        </w:rPr>
      </w:pPr>
      <w:r>
        <w:rPr>
          <w:rFonts w:ascii="Courier New" w:cs="Courier New" w:eastAsia="Courier New" w:hAnsi="Courier New"/>
          <w:sz w:val="14"/>
          <w:szCs w:val="14"/>
          <w:color w:val="auto"/>
        </w:rPr>
        <w:t>The Company followed four general steps for each of these program areas: "Ownership," wherein each department manager was assigned ownership for the various Year 2000 issues to be tested; "Identification" of systems and equipment and collection of Year 2000 data in a centralized place to track results of compliance testing and subsequent remediation; "Compliance Testing," which included the determination of the specific test routine to be performed on the software or equipment and determination of Year 2000 compliance for the item being tested and "Remediation," which involves implementation of corrective action, verification of successful implementation, finalization of and, if need be, execution of contingency plans.</w:t>
      </w:r>
    </w:p>
    <w:p>
      <w:pPr>
        <w:spacing w:after="0" w:line="344" w:lineRule="exact"/>
        <w:rPr>
          <w:sz w:val="20"/>
          <w:szCs w:val="20"/>
          <w:color w:val="auto"/>
        </w:rPr>
      </w:pPr>
    </w:p>
    <w:p>
      <w:pPr>
        <w:ind w:right="2779" w:firstLine="186"/>
        <w:spacing w:after="0" w:line="236" w:lineRule="auto"/>
        <w:rPr>
          <w:sz w:val="20"/>
          <w:szCs w:val="20"/>
          <w:color w:val="auto"/>
        </w:rPr>
      </w:pPr>
      <w:r>
        <w:rPr>
          <w:rFonts w:ascii="Courier New" w:cs="Courier New" w:eastAsia="Courier New" w:hAnsi="Courier New"/>
          <w:sz w:val="16"/>
          <w:szCs w:val="16"/>
          <w:color w:val="auto"/>
        </w:rPr>
        <w:t>As of September 2, 1999, the Ownership and Identification steps were complete for all three program areas: IT, manufacturing and facilitation equipment and external dependencies. The Company is relying in part on TI computer networks, information technology services and licensed software with respect to certain of its international semiconductor operations. In September 1999, the Company implemented new business systems which have eliminated much of the Company's dependence on TI systems and the Company is working aggressively to remove any remaining dependence on TI systems by the end of calendar 1999. However, some dependency upon TI systems may continue into calendar year 2000 and Year 2000 issues could arise.</w:t>
      </w:r>
    </w:p>
    <w:p>
      <w:pPr>
        <w:spacing w:after="0" w:line="186" w:lineRule="exact"/>
        <w:rPr>
          <w:sz w:val="20"/>
          <w:szCs w:val="20"/>
          <w:color w:val="auto"/>
        </w:rPr>
      </w:pPr>
    </w:p>
    <w:p>
      <w:pPr>
        <w:ind w:right="2779" w:firstLine="186"/>
        <w:spacing w:after="0" w:line="275" w:lineRule="auto"/>
        <w:rPr>
          <w:sz w:val="20"/>
          <w:szCs w:val="20"/>
          <w:color w:val="auto"/>
        </w:rPr>
      </w:pPr>
      <w:r>
        <w:rPr>
          <w:rFonts w:ascii="Courier New" w:cs="Courier New" w:eastAsia="Courier New" w:hAnsi="Courier New"/>
          <w:sz w:val="14"/>
          <w:szCs w:val="14"/>
          <w:color w:val="auto"/>
        </w:rPr>
        <w:t>Compliance Testing and Remediation efforts for the Company's manufacturing and facilitation equipment are substantially complete. The Company is working with suppliers of products and services to determine and monitor their level of compliance and Compliance Testing. Year 2000 readiness of significant customers is also being assessed. The Company's evaluation of Year 2000 compliance as it relates to the Company's external dependencies is substantially complete.</w:t>
      </w:r>
    </w:p>
    <w:p>
      <w:pPr>
        <w:spacing w:after="0" w:line="162" w:lineRule="exact"/>
        <w:rPr>
          <w:sz w:val="20"/>
          <w:szCs w:val="20"/>
          <w:color w:val="auto"/>
        </w:rPr>
      </w:pPr>
    </w:p>
    <w:p>
      <w:pPr>
        <w:jc w:val="both"/>
        <w:ind w:right="2779" w:firstLine="186"/>
        <w:spacing w:after="0" w:line="235" w:lineRule="auto"/>
        <w:rPr>
          <w:sz w:val="20"/>
          <w:szCs w:val="20"/>
          <w:color w:val="auto"/>
        </w:rPr>
      </w:pPr>
      <w:r>
        <w:rPr>
          <w:rFonts w:ascii="Courier New" w:cs="Courier New" w:eastAsia="Courier New" w:hAnsi="Courier New"/>
          <w:sz w:val="16"/>
          <w:szCs w:val="16"/>
          <w:color w:val="auto"/>
        </w:rPr>
        <w:t>As of September 2, 1999, the Company had incurred aggregate incremental costs of approximately $5.5 million and estimates it will spend an additional $500,000 to $1 million to address the Year 2000 issue.</w:t>
      </w:r>
    </w:p>
    <w:p>
      <w:pPr>
        <w:spacing w:after="0" w:line="183" w:lineRule="exact"/>
        <w:rPr>
          <w:sz w:val="20"/>
          <w:szCs w:val="20"/>
          <w:color w:val="auto"/>
        </w:rPr>
      </w:pPr>
    </w:p>
    <w:p>
      <w:pPr>
        <w:ind w:right="2879" w:firstLine="186"/>
        <w:spacing w:after="0" w:line="274" w:lineRule="auto"/>
        <w:rPr>
          <w:sz w:val="20"/>
          <w:szCs w:val="20"/>
          <w:color w:val="auto"/>
        </w:rPr>
      </w:pPr>
      <w:r>
        <w:rPr>
          <w:rFonts w:ascii="Courier New" w:cs="Courier New" w:eastAsia="Courier New" w:hAnsi="Courier New"/>
          <w:sz w:val="14"/>
          <w:szCs w:val="14"/>
          <w:color w:val="auto"/>
        </w:rPr>
        <w:t>With respect to Remediation, the Company has prepared various types of contingency plans to address potential problem areas with internal systems and with suppliers and other third parties. Internally, each software and hardware system has been assigned to on-call personnel who are responsible for bringing the system back on line in the event of a failure. Externally, the Company's Year 2000 plans include identification of alternate sources for providers of goods and services. The Company's internal contingency plans are complete and its external contingency plans are substantially complete.</w:t>
      </w:r>
    </w:p>
    <w:p>
      <w:pPr>
        <w:spacing w:after="0" w:line="162" w:lineRule="exact"/>
        <w:rPr>
          <w:sz w:val="20"/>
          <w:szCs w:val="20"/>
          <w:color w:val="auto"/>
        </w:rPr>
      </w:pPr>
    </w:p>
    <w:p>
      <w:pPr>
        <w:ind w:right="2779" w:firstLine="186"/>
        <w:spacing w:after="0" w:line="234" w:lineRule="auto"/>
        <w:rPr>
          <w:sz w:val="20"/>
          <w:szCs w:val="20"/>
          <w:color w:val="auto"/>
        </w:rPr>
      </w:pPr>
      <w:r>
        <w:rPr>
          <w:rFonts w:ascii="Courier New" w:cs="Courier New" w:eastAsia="Courier New" w:hAnsi="Courier New"/>
          <w:sz w:val="16"/>
          <w:szCs w:val="16"/>
          <w:color w:val="auto"/>
        </w:rPr>
        <w:t>All PC hardware products shipped by the Company since August 26, 1996 are Year 2000 compliant.</w:t>
      </w:r>
    </w:p>
    <w:p>
      <w:pPr>
        <w:spacing w:after="0" w:line="177"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22/57</w:t>
      </w:r>
    </w:p>
    <w:p>
      <w:pPr>
        <w:sectPr>
          <w:pgSz w:w="11900" w:h="16838" w:orient="portrait"/>
          <w:cols w:equalWidth="0" w:num="1">
            <w:col w:w="10219"/>
          </w:cols>
          <w:pgMar w:left="240" w:top="654"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6"/>
          <w:szCs w:val="16"/>
          <w:color w:val="auto"/>
        </w:rPr>
        <w:t>Certain Factors</w:t>
      </w:r>
    </w:p>
    <w:p>
      <w:pPr>
        <w:spacing w:after="0" w:line="183" w:lineRule="exact"/>
        <w:rPr>
          <w:sz w:val="20"/>
          <w:szCs w:val="20"/>
          <w:color w:val="auto"/>
        </w:rPr>
      </w:pPr>
    </w:p>
    <w:p>
      <w:pPr>
        <w:ind w:right="2779" w:firstLine="186"/>
        <w:spacing w:after="0" w:line="235" w:lineRule="auto"/>
        <w:rPr>
          <w:sz w:val="20"/>
          <w:szCs w:val="20"/>
          <w:color w:val="auto"/>
        </w:rPr>
      </w:pPr>
      <w:r>
        <w:rPr>
          <w:rFonts w:ascii="Courier New" w:cs="Courier New" w:eastAsia="Courier New" w:hAnsi="Courier New"/>
          <w:sz w:val="16"/>
          <w:szCs w:val="16"/>
          <w:color w:val="auto"/>
        </w:rPr>
        <w:t>In addition to the factors discussed elsewhere in this Form 10-K, the following are important factors which could cause actual results or events to differ materially from those contained in any forward-looking statements made by or on behalf of the Company.</w:t>
      </w:r>
    </w:p>
    <w:p>
      <w:pPr>
        <w:spacing w:after="0" w:line="185" w:lineRule="exact"/>
        <w:rPr>
          <w:sz w:val="20"/>
          <w:szCs w:val="20"/>
          <w:color w:val="auto"/>
        </w:rPr>
      </w:pPr>
    </w:p>
    <w:p>
      <w:pPr>
        <w:ind w:right="2779" w:firstLine="186"/>
        <w:spacing w:after="0" w:line="236" w:lineRule="auto"/>
        <w:rPr>
          <w:sz w:val="20"/>
          <w:szCs w:val="20"/>
          <w:color w:val="auto"/>
        </w:rPr>
      </w:pPr>
      <w:r>
        <w:rPr>
          <w:rFonts w:ascii="Courier New" w:cs="Courier New" w:eastAsia="Courier New" w:hAnsi="Courier New"/>
          <w:sz w:val="16"/>
          <w:szCs w:val="16"/>
          <w:color w:val="auto"/>
        </w:rPr>
        <w:t>The semiconductor memory industry is characterized by rapid technological change, frequent product introductions and enhancements, difficult product transitions, relatively short product life cycles and volatile market conditions. These characteristics historically have made the semiconductor industry highly cyclical, particularly in the market for DRAMs, which are the Company's primary products. The semiconductor industry has a history of declining average sales prices as products mature. Long-term average decreases in sales prices for semiconductor memory products approximate 30% on an annualized basis; however, significant fluctuations from this rate have occurred from time to time, including in recent years.</w:t>
      </w:r>
    </w:p>
    <w:p>
      <w:pPr>
        <w:spacing w:after="0" w:line="186" w:lineRule="exact"/>
        <w:rPr>
          <w:sz w:val="20"/>
          <w:szCs w:val="20"/>
          <w:color w:val="auto"/>
        </w:rPr>
      </w:pPr>
    </w:p>
    <w:p>
      <w:pPr>
        <w:ind w:right="2779" w:firstLine="186"/>
        <w:spacing w:after="0" w:line="272" w:lineRule="auto"/>
        <w:rPr>
          <w:sz w:val="20"/>
          <w:szCs w:val="20"/>
          <w:color w:val="auto"/>
        </w:rPr>
      </w:pPr>
      <w:r>
        <w:rPr>
          <w:rFonts w:ascii="Courier New" w:cs="Courier New" w:eastAsia="Courier New" w:hAnsi="Courier New"/>
          <w:sz w:val="14"/>
          <w:szCs w:val="14"/>
          <w:color w:val="auto"/>
        </w:rPr>
        <w:t>The selling prices for the Company's semiconductor memory products fluctuate significantly with real and perceived changes in the balance of supply and demand for these commodity products. Growth in worldwide supply outpaced growth in worldwide demand in recent years, resulting in a significant decrease in average selling prices for the Company's semiconductor memory products. The semiconductor industry in general and the DRAM market, in particular, experienced a severe downturn. Average per megabit prices declined approximately 37% comparing 1999 to 1998, following a 60% decline comparing 1998 to 1997 and a 75% decline comparing 1997 to 1996. Although the Company has experienced improvements in per megabit prices beginning late in the fourth quarter of 1999 and continuing into the first weeks of fiscal 2000, the Company is unable to predict pricing conditions for future periods. In the event that average selling prices decline at a faster rate than the rate at which the Company is able to decrease per unit manufacturing costs, the Company's operations, cash flows and financial condition would be adversely affected.</w:t>
      </w:r>
    </w:p>
    <w:p>
      <w:pPr>
        <w:spacing w:after="0" w:line="346" w:lineRule="exact"/>
        <w:rPr>
          <w:sz w:val="20"/>
          <w:szCs w:val="20"/>
          <w:color w:val="auto"/>
        </w:rPr>
      </w:pPr>
    </w:p>
    <w:p>
      <w:pPr>
        <w:ind w:right="2779" w:firstLine="186"/>
        <w:spacing w:after="0" w:line="236" w:lineRule="auto"/>
        <w:rPr>
          <w:sz w:val="20"/>
          <w:szCs w:val="20"/>
          <w:color w:val="auto"/>
        </w:rPr>
      </w:pPr>
      <w:r>
        <w:rPr>
          <w:rFonts w:ascii="Courier New" w:cs="Courier New" w:eastAsia="Courier New" w:hAnsi="Courier New"/>
          <w:sz w:val="16"/>
          <w:szCs w:val="16"/>
          <w:color w:val="auto"/>
        </w:rPr>
        <w:t>The Company and its competitors are seeking improved yields, smaller die size and fewer mask levels in their product designs. These improvements could result in a significant increase in worldwide capacity leading to further downward pressures on prices. The increase in worldwide semiconductor memory production resulting from the Company's full utilization of its international wafer fabrication operations and the transfer of its product and process technology to these operations may result in further downward pricing pressure on semiconductor memory products. In addition, consolidation by competitors in the semiconductor memory industry could provide competitors with greater capital resources and create the potential for greater worldwide investment in semiconductor memory capacity, which could exert further downward pressure on prices. Many of the Company's Asian semiconductor memory competitors have been impacted by deteriorating economic conditions in Asia, resulting in decreased capital investment by Asian DRAM manufacturers. Increased sources of capital in Asia to finance technology advancements and expansion projects could result in a significant increase in worldwide supply leading to further downward pricing pressure.</w:t>
      </w:r>
    </w:p>
    <w:p>
      <w:pPr>
        <w:spacing w:after="0" w:line="190" w:lineRule="exact"/>
        <w:rPr>
          <w:sz w:val="20"/>
          <w:szCs w:val="20"/>
          <w:color w:val="auto"/>
        </w:rPr>
      </w:pPr>
    </w:p>
    <w:p>
      <w:pPr>
        <w:ind w:right="2779" w:firstLine="186"/>
        <w:spacing w:after="0" w:line="272" w:lineRule="auto"/>
        <w:rPr>
          <w:sz w:val="20"/>
          <w:szCs w:val="20"/>
          <w:color w:val="auto"/>
        </w:rPr>
      </w:pPr>
      <w:r>
        <w:rPr>
          <w:rFonts w:ascii="Courier New" w:cs="Courier New" w:eastAsia="Courier New" w:hAnsi="Courier New"/>
          <w:sz w:val="14"/>
          <w:szCs w:val="14"/>
          <w:color w:val="auto"/>
        </w:rPr>
        <w:t>The PC market continues to consume the majority of the Company's semiconductor production. In 1999, approximately 81% of the Company's sales of semiconductor memory products were into the PC or peripheral markets. DRAMs are the most widely used semiconductor memory component in most PC systems. Should the rate of growth for PC industry units decrease or the rate of growth in the amount of memory per PC system decrease, the growth rate for sales of semiconductor memory could also decrease, placing further downward pressure on selling prices for the Company's semiconductor memory products. While the economic impact has not yet been fully determined, the recent earthquake disaster in Taiwan could disrupt the supply of PC components, thereby slowing production in the PC industry and possibly slowing near-term demand for memory. The Company is unable to predict changes in industry supply, major customer marketing or inventory management strategies or end user demand, which are significant factors that influence prices for the Company's semiconductor memory products.</w:t>
      </w:r>
    </w:p>
    <w:p>
      <w:pPr>
        <w:spacing w:after="0" w:line="347" w:lineRule="exact"/>
        <w:rPr>
          <w:sz w:val="20"/>
          <w:szCs w:val="20"/>
          <w:color w:val="auto"/>
        </w:rPr>
      </w:pPr>
    </w:p>
    <w:p>
      <w:pPr>
        <w:ind w:right="2779" w:firstLine="186"/>
        <w:spacing w:after="0" w:line="274" w:lineRule="auto"/>
        <w:rPr>
          <w:sz w:val="20"/>
          <w:szCs w:val="20"/>
          <w:color w:val="auto"/>
        </w:rPr>
      </w:pPr>
      <w:r>
        <w:rPr>
          <w:rFonts w:ascii="Courier New" w:cs="Courier New" w:eastAsia="Courier New" w:hAnsi="Courier New"/>
          <w:sz w:val="14"/>
          <w:szCs w:val="14"/>
          <w:color w:val="auto"/>
        </w:rPr>
        <w:t>Over the past several years, the Company's productivity gains have continued to increase its semiconductor memory output. In recent periods, the Company has sold this additional semiconductor memory output by increasing its market share with several of the Company's larger OEM customers and through sales to a broader customer base including accounts of lesser size and potentially lesser financial stability. In the event the Company is unable to further increase its market share with OEM customers, broaden its customer base, or if the Company</w:t>
      </w:r>
    </w:p>
    <w:p>
      <w:pPr>
        <w:spacing w:after="0" w:line="158"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23/57</w:t>
      </w:r>
    </w:p>
    <w:p>
      <w:pPr>
        <w:sectPr>
          <w:pgSz w:w="11900" w:h="16838" w:orient="portrait"/>
          <w:cols w:equalWidth="0" w:num="1">
            <w:col w:w="10219"/>
          </w:cols>
          <w:pgMar w:left="240" w:top="648" w:right="1440" w:bottom="1440" w:gutter="0" w:footer="0" w:header="0"/>
        </w:sectPr>
      </w:pPr>
    </w:p>
    <w:bookmarkStart w:id="23" w:name="page24"/>
    <w:bookmarkEnd w:id="23"/>
    <w:p>
      <w:pPr>
        <w:ind w:right="3239"/>
        <w:spacing w:after="0" w:line="234" w:lineRule="auto"/>
        <w:rPr>
          <w:sz w:val="20"/>
          <w:szCs w:val="20"/>
          <w:color w:val="auto"/>
        </w:rPr>
      </w:pPr>
      <w:r>
        <w:rPr>
          <w:rFonts w:ascii="Courier New" w:cs="Courier New" w:eastAsia="Courier New" w:hAnsi="Courier New"/>
          <w:sz w:val="16"/>
          <w:szCs w:val="16"/>
          <w:color w:val="auto"/>
        </w:rPr>
        <w:t>experiences reductions in the level of OEM orders, the Company's results of operations and cash flows could be adversely affected.</w:t>
      </w:r>
    </w:p>
    <w:p>
      <w:pPr>
        <w:spacing w:after="0" w:line="183" w:lineRule="exact"/>
        <w:rPr>
          <w:sz w:val="20"/>
          <w:szCs w:val="20"/>
          <w:color w:val="auto"/>
        </w:rPr>
      </w:pPr>
    </w:p>
    <w:p>
      <w:pPr>
        <w:ind w:right="2879" w:firstLine="186"/>
        <w:spacing w:after="0" w:line="236" w:lineRule="auto"/>
        <w:rPr>
          <w:sz w:val="20"/>
          <w:szCs w:val="20"/>
          <w:color w:val="auto"/>
        </w:rPr>
      </w:pPr>
      <w:r>
        <w:rPr>
          <w:rFonts w:ascii="Courier New" w:cs="Courier New" w:eastAsia="Courier New" w:hAnsi="Courier New"/>
          <w:sz w:val="16"/>
          <w:szCs w:val="16"/>
          <w:color w:val="auto"/>
        </w:rPr>
        <w:t>The Company's semiconductor operations experience intense competition from a number of companies, including Hyundai Electronics Industries Co., Ltd., Infineon Ltd., NEC Corporation and Samsung Semiconductor, Inc. Some of the Company's competitors may have long-term advantages in research and development and in their ability to withstand current or future downturns in the semiconductor memory market.</w:t>
      </w:r>
    </w:p>
    <w:p>
      <w:pPr>
        <w:spacing w:after="0" w:line="183" w:lineRule="exact"/>
        <w:rPr>
          <w:sz w:val="20"/>
          <w:szCs w:val="20"/>
          <w:color w:val="auto"/>
        </w:rPr>
      </w:pPr>
    </w:p>
    <w:p>
      <w:pPr>
        <w:ind w:right="2779" w:firstLine="186"/>
        <w:spacing w:after="0" w:line="236" w:lineRule="auto"/>
        <w:rPr>
          <w:sz w:val="20"/>
          <w:szCs w:val="20"/>
          <w:color w:val="auto"/>
        </w:rPr>
      </w:pPr>
      <w:r>
        <w:rPr>
          <w:rFonts w:ascii="Courier New" w:cs="Courier New" w:eastAsia="Courier New" w:hAnsi="Courier New"/>
          <w:sz w:val="16"/>
          <w:szCs w:val="16"/>
          <w:color w:val="auto"/>
        </w:rPr>
        <w:t>The semiconductor memory industry is characterized by frequent product introductions and enhancements. The Company's ability to reduce per unit manufacturing costs of its semiconductor memory products is largely dependent on its ability to design and develop new generation products and shrink versions of existing products and its ability to ramp such products at acceptable rates to acceptable yields, of which there can be no assurance. As the semiconductor industry transitions to higher bandwidth products including DDR SDRAM and RDRAM, the Company may encounter difficulties in achieving the semiconductor manufacturing efficiencies that it has historically achieved. The Company's productivity levels, die per wafer yields and in particular, backend assembly and test equipment requirements are expected to be affected by a transition to higher bandwidth products, likely resulting in higher per megabit production costs. There can be no assurance that the Company will successfully transition to these products or that it will be able to achieve its historical rate of cost per megabit reductions.</w:t>
      </w:r>
    </w:p>
    <w:p>
      <w:pPr>
        <w:spacing w:after="0" w:line="189" w:lineRule="exact"/>
        <w:rPr>
          <w:sz w:val="20"/>
          <w:szCs w:val="20"/>
          <w:color w:val="auto"/>
        </w:rPr>
      </w:pPr>
    </w:p>
    <w:p>
      <w:pPr>
        <w:ind w:right="2779" w:firstLine="186"/>
        <w:spacing w:after="0" w:line="236" w:lineRule="auto"/>
        <w:rPr>
          <w:sz w:val="20"/>
          <w:szCs w:val="20"/>
          <w:color w:val="auto"/>
        </w:rPr>
      </w:pPr>
      <w:r>
        <w:rPr>
          <w:rFonts w:ascii="Courier New" w:cs="Courier New" w:eastAsia="Courier New" w:hAnsi="Courier New"/>
          <w:sz w:val="16"/>
          <w:szCs w:val="16"/>
          <w:color w:val="auto"/>
        </w:rPr>
        <w:t>The Company is engaged in ongoing efforts to enhance its production processes to reduce per unit costs by reducing the die size of existing products. The result of such efforts has generally led to significant increases in megabit production. There can be no assurance that the Company will be able to maintain or approximate the rate of increase in megabit production at a level approaching that experienced in recent years or that the Company will not experience decreases in manufacturing yield or production as it attempts to implement future technologies. Further, from time to time, the Company experiences volatility in its manufacturing yields, as it is not unusual to encounter difficulties in ramping latest shrink versions of existing devices or new generation devices to commercial volumes.</w:t>
      </w:r>
    </w:p>
    <w:p>
      <w:pPr>
        <w:spacing w:after="0" w:line="186" w:lineRule="exact"/>
        <w:rPr>
          <w:sz w:val="20"/>
          <w:szCs w:val="20"/>
          <w:color w:val="auto"/>
        </w:rPr>
      </w:pPr>
    </w:p>
    <w:p>
      <w:pPr>
        <w:ind w:right="2779" w:firstLine="186"/>
        <w:spacing w:after="0" w:line="273" w:lineRule="auto"/>
        <w:rPr>
          <w:sz w:val="20"/>
          <w:szCs w:val="20"/>
          <w:color w:val="auto"/>
        </w:rPr>
      </w:pPr>
      <w:r>
        <w:rPr>
          <w:rFonts w:ascii="Courier New" w:cs="Courier New" w:eastAsia="Courier New" w:hAnsi="Courier New"/>
          <w:sz w:val="14"/>
          <w:szCs w:val="14"/>
          <w:color w:val="auto"/>
        </w:rPr>
        <w:t>The raw materials utilized by the Company's semiconductor operations generally must meet exacting product specifications. The Company generally uses multiple sources of supply, but the number of suppliers capable of delivering certain raw materials is very limited. The availability of raw materials, such as silicon wafers, certain chemicals, lead frames and molding compound, may decline due to the increase in worldwide semiconductor manufacturing. Although shortages have occurred from time to time and lead times in the industry have been extended on occasion, to date the Company has not experienced any significant interruption in operations as a result of a difficulty in obtaining raw materials for its semiconductor operations. Interruption of any one raw material source could adversely affect the Company's operations.</w:t>
      </w:r>
    </w:p>
    <w:p>
      <w:pPr>
        <w:spacing w:after="0" w:line="343" w:lineRule="exact"/>
        <w:rPr>
          <w:sz w:val="20"/>
          <w:szCs w:val="20"/>
          <w:color w:val="auto"/>
        </w:rPr>
      </w:pPr>
    </w:p>
    <w:p>
      <w:pPr>
        <w:ind w:right="2779" w:firstLine="186"/>
        <w:spacing w:after="0" w:line="236" w:lineRule="auto"/>
        <w:rPr>
          <w:sz w:val="20"/>
          <w:szCs w:val="20"/>
          <w:color w:val="auto"/>
        </w:rPr>
      </w:pPr>
      <w:r>
        <w:rPr>
          <w:rFonts w:ascii="Courier New" w:cs="Courier New" w:eastAsia="Courier New" w:hAnsi="Courier New"/>
          <w:sz w:val="16"/>
          <w:szCs w:val="16"/>
          <w:color w:val="auto"/>
        </w:rPr>
        <w:t>MTI expects to complete the transfer of its .18 (u) product and process technology capability to the JVs in late calendar 1999. Subject to certain terms and conditions, MTI has agreed to purchase all of the JV production. Historically, the JVs have required external financing to fund operations and to transition to the latest generation technologies in a timely or efficient manner. The JVs are also dependent on certain key personnel and on a limited number of sources for certain raw materials. In the event either of the JVs are unable to secure required external financing, experience a loss of key personnel, or incur significant interruption in the delivery of raw materials, the Company would experience a reduction in supply of product from the JVs. Any reduction of supply could adversely affect the Company's results of operations and cash flows.</w:t>
      </w:r>
    </w:p>
    <w:p>
      <w:pPr>
        <w:spacing w:after="0" w:line="187" w:lineRule="exact"/>
        <w:rPr>
          <w:sz w:val="20"/>
          <w:szCs w:val="20"/>
          <w:color w:val="auto"/>
        </w:rPr>
      </w:pPr>
    </w:p>
    <w:p>
      <w:pPr>
        <w:ind w:right="2779" w:firstLine="186"/>
        <w:spacing w:after="0" w:line="273" w:lineRule="auto"/>
        <w:rPr>
          <w:sz w:val="20"/>
          <w:szCs w:val="20"/>
          <w:color w:val="auto"/>
        </w:rPr>
      </w:pPr>
      <w:r>
        <w:rPr>
          <w:rFonts w:ascii="Courier New" w:cs="Courier New" w:eastAsia="Courier New" w:hAnsi="Courier New"/>
          <w:sz w:val="14"/>
          <w:szCs w:val="14"/>
          <w:color w:val="auto"/>
        </w:rPr>
        <w:t>The Company's operating results are significantly impacted by the operating results of MEI. MEI's past operating results have been, and its future operating results may be, subject to seasonality and other fluctuations, on a quarterly and an annual basis, as a result of a wide variety of factors, including, but not limited to, industry competition, MEI's ability to accurately forecast demand and selling prices for its PC products, declining PC prices, seasonal government purchasing cycles, inventory obsolescence, MEI's ability to effectively manage inventory levels, changes in product mix, manufacturing and production constraints, fluctuating component costs, the effects of product reviews and industry awards, critical component availability, seasonal cycles common in the PC industry, the timing of new product introductions by MEI and its competitors and global market and economic conditions.</w:t>
      </w:r>
    </w:p>
    <w:p>
      <w:pPr>
        <w:spacing w:after="0" w:line="341" w:lineRule="exact"/>
        <w:rPr>
          <w:sz w:val="20"/>
          <w:szCs w:val="20"/>
          <w:color w:val="auto"/>
        </w:rPr>
      </w:pPr>
    </w:p>
    <w:p>
      <w:pPr>
        <w:jc w:val="both"/>
        <w:ind w:right="3059" w:firstLine="186"/>
        <w:spacing w:after="0" w:line="235" w:lineRule="auto"/>
        <w:rPr>
          <w:sz w:val="20"/>
          <w:szCs w:val="20"/>
          <w:color w:val="auto"/>
        </w:rPr>
      </w:pPr>
      <w:r>
        <w:rPr>
          <w:rFonts w:ascii="Courier New" w:cs="Courier New" w:eastAsia="Courier New" w:hAnsi="Courier New"/>
          <w:sz w:val="16"/>
          <w:szCs w:val="16"/>
          <w:color w:val="auto"/>
        </w:rPr>
        <w:t>The PC industry is highly competitive and has been characterized by intense pricing pressure, generally low gross margin percentages, rapid technological advances in hardware and software, frequent introduction of new products and rapidly declining component costs. Many of the Company's PC competitors have greater brand name</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24/57</w:t>
      </w:r>
    </w:p>
    <w:p>
      <w:pPr>
        <w:sectPr>
          <w:pgSz w:w="11900" w:h="16838" w:orient="portrait"/>
          <w:cols w:equalWidth="0" w:num="1">
            <w:col w:w="10219"/>
          </w:cols>
          <w:pgMar w:left="240" w:top="654" w:right="1440" w:bottom="775" w:gutter="0" w:footer="0" w:header="0"/>
        </w:sectPr>
      </w:pPr>
    </w:p>
    <w:bookmarkStart w:id="24" w:name="page25"/>
    <w:bookmarkEnd w:id="24"/>
    <w:p>
      <w:pPr>
        <w:ind w:right="2779"/>
        <w:spacing w:after="0" w:line="273" w:lineRule="auto"/>
        <w:rPr>
          <w:sz w:val="20"/>
          <w:szCs w:val="20"/>
          <w:color w:val="auto"/>
        </w:rPr>
      </w:pPr>
      <w:r>
        <w:rPr>
          <w:rFonts w:ascii="Courier New" w:cs="Courier New" w:eastAsia="Courier New" w:hAnsi="Courier New"/>
          <w:sz w:val="14"/>
          <w:szCs w:val="14"/>
          <w:color w:val="auto"/>
        </w:rPr>
        <w:t>recognition and market share, offer broader product lines and have substantially greater financial, technical, marketing and other resources than the Company. The Company's PC competitors may also benefit from component volume purchasing and product and process technology license arrangements that are more favorable in terms of pricing and availability than the Company's arrangements. In addition, the Company may be at a relative cost disadvantage to certain of its competitors as a result of the Company's U.S. dollar denominated purchases of PC components during a period of relative weakening of the U.S. dollar. The failure of the Company to compete effectively in the PC marketplace could have a material adverse effect on the Company's business, financial position, results of operations and cash flows.</w:t>
      </w:r>
    </w:p>
    <w:p>
      <w:pPr>
        <w:spacing w:after="0" w:line="343" w:lineRule="exact"/>
        <w:rPr>
          <w:sz w:val="20"/>
          <w:szCs w:val="20"/>
          <w:color w:val="auto"/>
        </w:rPr>
      </w:pPr>
    </w:p>
    <w:p>
      <w:pPr>
        <w:ind w:right="2779" w:firstLine="186"/>
        <w:spacing w:after="0" w:line="236" w:lineRule="auto"/>
        <w:rPr>
          <w:sz w:val="20"/>
          <w:szCs w:val="20"/>
          <w:color w:val="auto"/>
        </w:rPr>
      </w:pPr>
      <w:r>
        <w:rPr>
          <w:rFonts w:ascii="Courier New" w:cs="Courier New" w:eastAsia="Courier New" w:hAnsi="Courier New"/>
          <w:sz w:val="16"/>
          <w:szCs w:val="16"/>
          <w:color w:val="auto"/>
        </w:rPr>
        <w:t>The Company's PC operations compete with a number of PC manufacturers, which sell their products primarily through direct channels, including Dell Computer Corporation and Gateway 2000, Inc. The Company also competes with PC manufacturers, such as Apple Computer, Inc., Compaq Computer Corporation, Hewlett-Packard Company, International Business Machines Corporation, NEC Corporation and Toshiba Corporation among others. Several of these manufacturers, which have traditionally sold their products through national and regional distributors, dealers and value added resellers, retail stores and direct sales forces, now sell their products through the direct channel. In addition, the Company expects to face increased competition in the U.S. direct sales market from foreign PC suppliers and from foreign and domestic suppliers of PC products that decide to implement, or devote additional resources to, a direct sales strategy. In order to gain an increased share of the United States PC direct sales market, these competitors may effect a pricing strategy that is more aggressive than the current pricing in the direct sales market or may have pricing strategies influenced by relative fluctuations in the U.S. dollar compared to other currencies. The Company continues to experience significant pressure on its PC operating results as a result of intense competition in the PC industry and consumer expectations of more powerful PC systems at lower prices.</w:t>
      </w:r>
    </w:p>
    <w:p>
      <w:pPr>
        <w:spacing w:after="0" w:line="192" w:lineRule="exact"/>
        <w:rPr>
          <w:sz w:val="20"/>
          <w:szCs w:val="20"/>
          <w:color w:val="auto"/>
        </w:rPr>
      </w:pPr>
    </w:p>
    <w:p>
      <w:pPr>
        <w:ind w:right="2779" w:firstLine="186"/>
        <w:spacing w:after="0" w:line="271" w:lineRule="auto"/>
        <w:rPr>
          <w:sz w:val="20"/>
          <w:szCs w:val="20"/>
          <w:color w:val="auto"/>
        </w:rPr>
      </w:pPr>
      <w:r>
        <w:rPr>
          <w:rFonts w:ascii="Courier New" w:cs="Courier New" w:eastAsia="Courier New" w:hAnsi="Courier New"/>
          <w:sz w:val="14"/>
          <w:szCs w:val="14"/>
          <w:color w:val="auto"/>
        </w:rPr>
        <w:t>In the fourth quarter of 1999, MEI acquired 100% of the outstanding stock of NetLimited, Inc., d.b.a. HostPro ("HostPro"), a web and applications provider. MEI also acquired the property and equipment of Micron Internet Services ("MIS"), formerly a division of MTI, a provider of dedicated dial-up and broadband internet access, virtual private network solutions and e-commerce services. Subsequent to the Company's year end, the Company's PC operations announced the introduction of a "Subscription Computing" initiative, under which the Company anticipates making substantial additional strategic investments to build its e-services infrastructure and deliver customized computing solutions to customers. The acquisitions of HostPro and MIS, as well as the introduction of the Subscription Computing initiative, increase the complexity of the Company's PC operations. This increased complexity has resulted in new and increased responsibilities on management and there can be no assurance that management and other resources will be adequate to support the operations of the Company's PC operations. In addition, the Company's initiatives in the area of Subscription Computing and provision of e-services face severe competition. A significant number of enterprises have targeted the e-commerce opportunity and it is too early to determine what capabilities the marketplace will dictate as critical for success. A large number of companies, including Verio and Concentric, offer e-services similar to those provided by the Company. Further, a large number of diversified companies, such as Intel, IBM and AT&amp;T, have indicated an intent to compete in e-services markets. Many companies competing for leadership in the e-services marketplace already have capabilities and strategic relationships that may prove critical for success in the e-services and Subscription Computing marketplace. There can be no assurance that the Company's PC operations will either effectively compete against companies with greater capital resources, capabilities or strategic relationships or that the Company's PC operations will realize the anticipated benefits of the acquisitions of HostPro and MIS, including the retention of key personnel, or that the market will receive positively the Subscription Computing initiative. Any failure of the Company's PC operations to realize the anticipated benefits of the acquisitions or failure of the market to receive positively the Subscription Computing initiative could have a material adverse effect on the Company's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2779" w:firstLine="186"/>
        <w:spacing w:after="0" w:line="272" w:lineRule="auto"/>
        <w:rPr>
          <w:sz w:val="20"/>
          <w:szCs w:val="20"/>
          <w:color w:val="auto"/>
        </w:rPr>
      </w:pPr>
      <w:r>
        <w:rPr>
          <w:rFonts w:ascii="Courier New" w:cs="Courier New" w:eastAsia="Courier New" w:hAnsi="Courier New"/>
          <w:sz w:val="14"/>
          <w:szCs w:val="14"/>
          <w:color w:val="auto"/>
        </w:rPr>
        <w:t>The semiconductor and PC industries have experienced a substantial amount of litigation regarding patent and other intellectual property rights. In the future, litigation may be necessary to enforce patents issued to the Company, to protect trade secrets or know-how owned by the Company, or to defend the Company against claimed infringement of the rights of others. The Company has from time to time received, and may in the future receive, communications alleging that its products or its processes may infringe product or process technology rights held by others. The Company has entered into a number of patent and intellectual property license agreements with third parties from time to time, some of which may require one-time or periodic royalty payments. It may be necessary or advantageous in the future for the Company to obtain additional patent licenses or to renew existing license agreements. The Company is unable to predict whether these license agreements can be obtained or renewed on terms acceptable to the Company. Adverse determinations that the Company's manufacturing processes or products have infringed on the product or process rights held by others could subject the Company to significant liabilities to</w:t>
      </w:r>
    </w:p>
    <w:p>
      <w:pPr>
        <w:spacing w:after="0" w:line="339"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25/57</w:t>
      </w:r>
    </w:p>
    <w:p>
      <w:pPr>
        <w:sectPr>
          <w:pgSz w:w="11900" w:h="16838" w:orient="portrait"/>
          <w:cols w:equalWidth="0" w:num="1">
            <w:col w:w="10219"/>
          </w:cols>
          <w:pgMar w:left="240" w:top="654" w:right="1440" w:bottom="238" w:gutter="0" w:footer="0" w:header="0"/>
        </w:sectPr>
      </w:pPr>
    </w:p>
    <w:bookmarkStart w:id="25" w:name="page26"/>
    <w:bookmarkEnd w:id="25"/>
    <w:p>
      <w:pPr>
        <w:ind w:right="2959"/>
        <w:spacing w:after="0" w:line="235" w:lineRule="auto"/>
        <w:rPr>
          <w:sz w:val="20"/>
          <w:szCs w:val="20"/>
          <w:color w:val="auto"/>
        </w:rPr>
      </w:pPr>
      <w:r>
        <w:rPr>
          <w:rFonts w:ascii="Courier New" w:cs="Courier New" w:eastAsia="Courier New" w:hAnsi="Courier New"/>
          <w:sz w:val="16"/>
          <w:szCs w:val="16"/>
          <w:color w:val="auto"/>
        </w:rPr>
        <w:t>third parties or require material changes in production processes or products, any of which could have a material adverse effect on the Company's business, results of operations and financial condition.</w:t>
      </w:r>
    </w:p>
    <w:p>
      <w:pPr>
        <w:spacing w:after="0" w:line="183" w:lineRule="exact"/>
        <w:rPr>
          <w:sz w:val="20"/>
          <w:szCs w:val="20"/>
          <w:color w:val="auto"/>
        </w:rPr>
      </w:pPr>
    </w:p>
    <w:p>
      <w:pPr>
        <w:ind w:right="2779" w:firstLine="186"/>
        <w:spacing w:after="0" w:line="273" w:lineRule="auto"/>
        <w:rPr>
          <w:sz w:val="20"/>
          <w:szCs w:val="20"/>
          <w:color w:val="auto"/>
        </w:rPr>
      </w:pPr>
      <w:r>
        <w:rPr>
          <w:rFonts w:ascii="Courier New" w:cs="Courier New" w:eastAsia="Courier New" w:hAnsi="Courier New"/>
          <w:sz w:val="14"/>
          <w:szCs w:val="14"/>
          <w:color w:val="auto"/>
        </w:rPr>
        <w:t>The Company is dependent upon a limited number of key management and technical personnel. In addition, the Company's future success will depend in part upon its ability to attract and retain highly qualified personnel, particularly as the Company engages in worldwide operations and adds different product types to its product line, which will require parallel design efforts and significantly increase the need for highly skilled technical personnel. The Company competes for such personnel with other companies, academic institutions, government entities and other organizations. The Company has experienced, and expects to continue to experience, increased recruitment of its existing personnel by other employers. There can be no assurance that the Company will be successful in hiring or retaining qualified personnel. Any loss of key personnel or the inability to hire or retain qualified personnel could have a material adverse effect on the Company's business and results of operations.</w:t>
      </w:r>
    </w:p>
    <w:p>
      <w:pPr>
        <w:spacing w:after="0" w:line="340" w:lineRule="exact"/>
        <w:rPr>
          <w:sz w:val="20"/>
          <w:szCs w:val="20"/>
          <w:color w:val="auto"/>
        </w:rPr>
      </w:pPr>
    </w:p>
    <w:p>
      <w:pPr>
        <w:ind w:right="2779" w:firstLine="186"/>
        <w:spacing w:after="0" w:line="273" w:lineRule="auto"/>
        <w:rPr>
          <w:sz w:val="20"/>
          <w:szCs w:val="20"/>
          <w:color w:val="auto"/>
        </w:rPr>
      </w:pPr>
      <w:r>
        <w:rPr>
          <w:rFonts w:ascii="Courier New" w:cs="Courier New" w:eastAsia="Courier New" w:hAnsi="Courier New"/>
          <w:sz w:val="14"/>
          <w:szCs w:val="14"/>
          <w:color w:val="auto"/>
        </w:rPr>
        <w:t>International sales comprised approximately 29%, 20% and 20% of the Company's consolidated net sales in 1999, 1998 and 1997, respectively. The Company expects international sales to continue to increase as a result of the acquired operations. International sales and operations are subject to a variety of risks, including those arising from currency fluctuations, export duties, changes to import and export regulations, possible restrictions on the transfer of funds, employee turnover, labor unrest, longer payment cycles, greater difficulty in collecting accounts receivable, the burdens and costs of compliance with a variety of international laws and, in certain parts of the world, political and economic instability. While to date these factors have not had a significant adverse impact on the Company's results of operations, there can be no assurance that there will not be such an impact in the future.</w:t>
      </w:r>
    </w:p>
    <w:p>
      <w:pPr>
        <w:spacing w:after="0" w:line="341" w:lineRule="exact"/>
        <w:rPr>
          <w:sz w:val="20"/>
          <w:szCs w:val="20"/>
          <w:color w:val="auto"/>
        </w:rPr>
      </w:pPr>
    </w:p>
    <w:p>
      <w:pPr>
        <w:ind w:right="2779" w:firstLine="186"/>
        <w:spacing w:after="0" w:line="271" w:lineRule="auto"/>
        <w:rPr>
          <w:sz w:val="20"/>
          <w:szCs w:val="20"/>
          <w:color w:val="auto"/>
        </w:rPr>
      </w:pPr>
      <w:r>
        <w:rPr>
          <w:rFonts w:ascii="Courier New" w:cs="Courier New" w:eastAsia="Courier New" w:hAnsi="Courier New"/>
          <w:sz w:val="14"/>
          <w:szCs w:val="14"/>
          <w:color w:val="auto"/>
        </w:rPr>
        <w:t>Historically, the Company has reinvested substantially all cash flow from its semiconductor operations in capacity expansion and enhancement programs. The Company's cash flow from operations depends primarily on average selling prices and per unit manufacturing costs of the Company's semiconductor memory products. If for any extended period of time average selling prices decline faster than the rate at which the Company is able to decrease per unit manufacturing costs, the Company may not be able to generate sufficient cash flows from operations to sustain operations. Cash generated by MEI is not readily available to finance operations or other expenditures of MTI's semiconductor operations. The Company has an aggregate of $500 million in revolving credit agreements, $100 million of which is available to PC operations and $400 million of which is available to semiconductor operations. The $400 million facility expires in May 2000 and the $100 million facility expires in June 2001. There can be no assurance that either or both of the facilities will be renewed. Each of the respective facilities contains certain financial and other restrictive covenants pertaining to the Company's operations. There can be no assurance that the Company will continue to be able to meet the terms of the covenants or be able to borrow the full amount of the credit facilities. There can be no assurance that, if needed, external sources of liquidity will be available to fund the Company's operations or its capacity and product and process technology enhancement programs. Failure to obtain financing could hinder the Company's ability to make continued investments in such programs, which could materially adversely affect the Company's business, results of operations and financial condition.</w:t>
      </w:r>
    </w:p>
    <w:p>
      <w:pPr>
        <w:spacing w:after="0" w:line="200" w:lineRule="exact"/>
        <w:rPr>
          <w:sz w:val="20"/>
          <w:szCs w:val="20"/>
          <w:color w:val="auto"/>
        </w:rPr>
      </w:pPr>
    </w:p>
    <w:p>
      <w:pPr>
        <w:spacing w:after="0" w:line="333" w:lineRule="exact"/>
        <w:rPr>
          <w:sz w:val="20"/>
          <w:szCs w:val="20"/>
          <w:color w:val="auto"/>
        </w:rPr>
      </w:pPr>
    </w:p>
    <w:p>
      <w:pPr>
        <w:ind w:right="2779" w:firstLine="186"/>
        <w:spacing w:after="0" w:line="273" w:lineRule="auto"/>
        <w:rPr>
          <w:sz w:val="20"/>
          <w:szCs w:val="20"/>
          <w:color w:val="auto"/>
        </w:rPr>
      </w:pPr>
      <w:r>
        <w:rPr>
          <w:rFonts w:ascii="Courier New" w:cs="Courier New" w:eastAsia="Courier New" w:hAnsi="Courier New"/>
          <w:sz w:val="14"/>
          <w:szCs w:val="14"/>
          <w:color w:val="auto"/>
        </w:rPr>
        <w:t>As of September 2, 1999, TI and Intel held an aggregate of 44,743,369 shares of common stock, representing 17% of the Company's total outstanding common stock. These shares have not been registered with the Securities and Exchange Commission ("SEC"), however TI and Intel each have registration rights. Until such time as TI and Intel substantially reduce their holdings of Company common stock, the Company may be hindered in obtaining new equity capital. As of September 2, 1999, the Company also had outstanding $500 million of convertible subordinated notes that were issued in an SEC registered offering in June 1997 that are convertible into 7,413,997 shares of common stock. TI holds notes with a face value of $740 million which are convertible into 12,333,333 shares of common stock. TI's resale of these notes could limit the Company's ability to raise capital through the issuance of additional convertible debt instruments.</w:t>
      </w:r>
    </w:p>
    <w:p>
      <w:pPr>
        <w:spacing w:after="0" w:line="341" w:lineRule="exact"/>
        <w:rPr>
          <w:sz w:val="20"/>
          <w:szCs w:val="20"/>
          <w:color w:val="auto"/>
        </w:rPr>
      </w:pPr>
    </w:p>
    <w:p>
      <w:pPr>
        <w:ind w:right="2779" w:firstLine="186"/>
        <w:spacing w:after="0" w:line="236" w:lineRule="auto"/>
        <w:rPr>
          <w:sz w:val="20"/>
          <w:szCs w:val="20"/>
          <w:color w:val="auto"/>
        </w:rPr>
      </w:pPr>
      <w:r>
        <w:rPr>
          <w:rFonts w:ascii="Courier New" w:cs="Courier New" w:eastAsia="Courier New" w:hAnsi="Courier New"/>
          <w:sz w:val="16"/>
          <w:szCs w:val="16"/>
          <w:color w:val="auto"/>
        </w:rPr>
        <w:t>In accordance with a transition services agreement, the Company continues to rely in part on TI computer networks and information technology services with respect to certain of the acquired international operations. In September 1999, the Company implemented new business systems which have eliminated much of the Company's dependence on TI systems and the Company is working aggressively to remove any remaining dependence on TI systems by the end of calendar 1999. However, some dependency upon TI systems may continue into calendar year 2000, during which period Year 2000 issues could arise.</w:t>
      </w:r>
    </w:p>
    <w:p>
      <w:pPr>
        <w:spacing w:after="0" w:line="178"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26/57</w:t>
      </w:r>
    </w:p>
    <w:p>
      <w:pPr>
        <w:sectPr>
          <w:pgSz w:w="11900" w:h="16838" w:orient="portrait"/>
          <w:cols w:equalWidth="0" w:num="1">
            <w:col w:w="10219"/>
          </w:cols>
          <w:pgMar w:left="240" w:top="654" w:right="1440" w:bottom="1440" w:gutter="0" w:footer="0" w:header="0"/>
        </w:sectPr>
      </w:pPr>
    </w:p>
    <w:bookmarkStart w:id="26" w:name="page27"/>
    <w:bookmarkEnd w:id="26"/>
    <w:p>
      <w:pPr>
        <w:ind w:right="2779" w:firstLine="186"/>
        <w:spacing w:after="0" w:line="236" w:lineRule="auto"/>
        <w:rPr>
          <w:sz w:val="20"/>
          <w:szCs w:val="20"/>
          <w:color w:val="auto"/>
        </w:rPr>
      </w:pPr>
      <w:r>
        <w:rPr>
          <w:rFonts w:ascii="Courier New" w:cs="Courier New" w:eastAsia="Courier New" w:hAnsi="Courier New"/>
          <w:sz w:val="16"/>
          <w:szCs w:val="16"/>
          <w:color w:val="auto"/>
        </w:rPr>
        <w:t>Completion of the Company's semiconductor manufacturing facility in Lehi, Utah, was suspended in February 1996, as a result of the decline in average selling prices for semiconductor memory products. As of September 2, 1999, the Company had invested approximately $700 million in the Lehi facility. Timing of completion of the remainder of the Lehi production facilities is dependent upon market conditions. Market conditions which the Company expects to evaluate include, but are not limited to, worldwide market supply and demand of semiconductor products and the Company's operations, cash flows and alternative uses of capital. There can be no assurance that the Company will be able to fund the completion of the Lehi manufacturing facility. The failure by the Company to complete the facility would likely result in the Company being required to write off all or a portion of the facility's cost, which could have a material adverse effect on the Company's business and results of operations. In addition, in the event that market conditions improve, there can be no assurance that the Company can commence manufacturing at the Lehi facility in a timely, cost effective manner that enables it to take advantage of the improved market conditions.</w:t>
      </w:r>
    </w:p>
    <w:p>
      <w:pPr>
        <w:spacing w:after="0" w:line="363"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6"/>
          <w:szCs w:val="16"/>
          <w:color w:val="auto"/>
        </w:rPr>
        <w:t>Item 7A.</w:t>
      </w:r>
      <w:r>
        <w:rPr>
          <w:sz w:val="20"/>
          <w:szCs w:val="20"/>
          <w:color w:val="auto"/>
        </w:rPr>
        <w:tab/>
      </w:r>
      <w:r>
        <w:rPr>
          <w:rFonts w:ascii="Courier New" w:cs="Courier New" w:eastAsia="Courier New" w:hAnsi="Courier New"/>
          <w:sz w:val="14"/>
          <w:szCs w:val="14"/>
          <w:color w:val="auto"/>
        </w:rPr>
        <w:t>Quantitative and Qualitative Disclosures about Market Risk</w:t>
      </w:r>
    </w:p>
    <w:p>
      <w:pPr>
        <w:spacing w:after="0" w:line="183" w:lineRule="exact"/>
        <w:rPr>
          <w:sz w:val="20"/>
          <w:szCs w:val="20"/>
          <w:color w:val="auto"/>
        </w:rPr>
      </w:pPr>
    </w:p>
    <w:p>
      <w:pPr>
        <w:ind w:right="2779" w:firstLine="186"/>
        <w:spacing w:after="0" w:line="272" w:lineRule="auto"/>
        <w:rPr>
          <w:sz w:val="20"/>
          <w:szCs w:val="20"/>
          <w:color w:val="auto"/>
        </w:rPr>
      </w:pPr>
      <w:r>
        <w:rPr>
          <w:rFonts w:ascii="Courier New" w:cs="Courier New" w:eastAsia="Courier New" w:hAnsi="Courier New"/>
          <w:sz w:val="14"/>
          <w:szCs w:val="14"/>
          <w:color w:val="auto"/>
        </w:rPr>
        <w:t>Substantially all of the Company's liquid investments and long-term debt are at fixed interest rates; therefore, the fair value of these instruments is affected by changes in market interest rates. However, substantially all of the Company's liquid investments mature within one year. As a result, the Company believes that the market risk arising from its holdings of financial instruments is minimal. The Company's results of operations and financial position for 1999 reflect a higher volume of foreign currency transactions and account balances than in previous periods related to the acquired international operations. As of September 2, 1999, the Company held aggregate cash and receivables in foreign currency valued at approximately US $58 million and aggregate foreign currency payables valued at approximately US $129 million (including long-term liabilities denominated in Italian Lira valued at approximately US $18 million). Foreign currency receivables and payables are comprised primarily of Italian Lira, Singapore Dollars and Japanese Yen.</w:t>
      </w:r>
    </w:p>
    <w:p>
      <w:pPr>
        <w:spacing w:after="0" w:line="341"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27/57</w:t>
      </w:r>
    </w:p>
    <w:p>
      <w:pPr>
        <w:sectPr>
          <w:pgSz w:w="11900" w:h="16838" w:orient="portrait"/>
          <w:cols w:equalWidth="0" w:num="1">
            <w:col w:w="10219"/>
          </w:cols>
          <w:pgMar w:left="240" w:top="654" w:right="1440" w:bottom="1440" w:gutter="0" w:footer="0" w:header="0"/>
        </w:sectPr>
      </w:pPr>
    </w:p>
    <w:bookmarkStart w:id="27" w:name="page28"/>
    <w:bookmarkEnd w:id="27"/>
    <w:p>
      <w:pPr>
        <w:spacing w:after="0"/>
        <w:tabs>
          <w:tab w:leader="none" w:pos="820" w:val="left"/>
        </w:tabs>
        <w:rPr>
          <w:sz w:val="20"/>
          <w:szCs w:val="20"/>
          <w:color w:val="auto"/>
        </w:rPr>
      </w:pPr>
      <w:r>
        <w:rPr>
          <w:rFonts w:ascii="Courier New" w:cs="Courier New" w:eastAsia="Courier New" w:hAnsi="Courier New"/>
          <w:sz w:val="16"/>
          <w:szCs w:val="16"/>
          <w:color w:val="auto"/>
        </w:rPr>
        <w:t>Item 8.</w:t>
      </w:r>
      <w:r>
        <w:rPr>
          <w:sz w:val="20"/>
          <w:szCs w:val="20"/>
          <w:color w:val="auto"/>
        </w:rPr>
        <w:tab/>
      </w:r>
      <w:r>
        <w:rPr>
          <w:rFonts w:ascii="Courier New" w:cs="Courier New" w:eastAsia="Courier New" w:hAnsi="Courier New"/>
          <w:sz w:val="14"/>
          <w:szCs w:val="14"/>
          <w:color w:val="auto"/>
        </w:rPr>
        <w:t>Financial Statements and Supplementary Data</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Index to Consolidated Financial Statements</w:t>
      </w: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9620" w:type="dxa"/>
            <w:vAlign w:val="bottom"/>
          </w:tcPr>
          <w:p>
            <w:pPr>
              <w:spacing w:after="0"/>
              <w:rPr>
                <w:sz w:val="15"/>
                <w:szCs w:val="15"/>
                <w:color w:val="auto"/>
              </w:rPr>
            </w:pP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Page</w:t>
            </w:r>
          </w:p>
        </w:tc>
      </w:tr>
      <w:tr>
        <w:trPr>
          <w:trHeight w:val="179"/>
        </w:trPr>
        <w:tc>
          <w:tcPr>
            <w:tcW w:w="962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9620" w:type="dxa"/>
            <w:vAlign w:val="bottom"/>
          </w:tcPr>
          <w:p>
            <w:pPr>
              <w:spacing w:after="0"/>
              <w:rPr>
                <w:sz w:val="20"/>
                <w:szCs w:val="20"/>
                <w:color w:val="auto"/>
              </w:rPr>
            </w:pPr>
            <w:r>
              <w:rPr>
                <w:rFonts w:ascii="Courier New" w:cs="Courier New" w:eastAsia="Courier New" w:hAnsi="Courier New"/>
                <w:sz w:val="16"/>
                <w:szCs w:val="16"/>
                <w:color w:val="auto"/>
              </w:rPr>
              <w:t>Consolidated Financial Statements as of September 2, 1999, and September 3, 1998, and for fiscal</w:t>
            </w:r>
          </w:p>
        </w:tc>
        <w:tc>
          <w:tcPr>
            <w:tcW w:w="880" w:type="dxa"/>
            <w:vAlign w:val="bottom"/>
          </w:tcPr>
          <w:p>
            <w:pPr>
              <w:spacing w:after="0"/>
              <w:rPr>
                <w:sz w:val="24"/>
                <w:szCs w:val="24"/>
                <w:color w:val="auto"/>
              </w:rPr>
            </w:pPr>
          </w:p>
        </w:tc>
      </w:tr>
      <w:tr>
        <w:trPr>
          <w:trHeight w:val="179"/>
        </w:trPr>
        <w:tc>
          <w:tcPr>
            <w:tcW w:w="9620" w:type="dxa"/>
            <w:vAlign w:val="bottom"/>
          </w:tcPr>
          <w:p>
            <w:pPr>
              <w:jc w:val="right"/>
              <w:ind w:right="2942"/>
              <w:spacing w:after="0" w:line="179" w:lineRule="exact"/>
              <w:rPr>
                <w:sz w:val="20"/>
                <w:szCs w:val="20"/>
                <w:color w:val="auto"/>
              </w:rPr>
            </w:pPr>
            <w:r>
              <w:rPr>
                <w:rFonts w:ascii="Courier New" w:cs="Courier New" w:eastAsia="Courier New" w:hAnsi="Courier New"/>
                <w:sz w:val="16"/>
                <w:szCs w:val="16"/>
                <w:color w:val="auto"/>
                <w:w w:val="97"/>
              </w:rPr>
              <w:t>years ended September 2, 1999, September 3, 1998, and August 28, 1997:</w:t>
            </w:r>
          </w:p>
        </w:tc>
        <w:tc>
          <w:tcPr>
            <w:tcW w:w="880" w:type="dxa"/>
            <w:vAlign w:val="bottom"/>
          </w:tcPr>
          <w:p>
            <w:pPr>
              <w:spacing w:after="0"/>
              <w:rPr>
                <w:sz w:val="15"/>
                <w:szCs w:val="15"/>
                <w:color w:val="auto"/>
              </w:rPr>
            </w:pPr>
          </w:p>
        </w:tc>
      </w:tr>
      <w:tr>
        <w:trPr>
          <w:trHeight w:val="358"/>
        </w:trPr>
        <w:tc>
          <w:tcPr>
            <w:tcW w:w="962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7"/>
              </w:rPr>
              <w:t>Consolidated Statements of Operations................................................................</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29</w:t>
            </w:r>
          </w:p>
        </w:tc>
      </w:tr>
      <w:tr>
        <w:trPr>
          <w:trHeight w:val="358"/>
        </w:trPr>
        <w:tc>
          <w:tcPr>
            <w:tcW w:w="962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7"/>
              </w:rPr>
              <w:t>Consolidated Balance Sheets..........................................................................</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30</w:t>
            </w:r>
          </w:p>
        </w:tc>
      </w:tr>
      <w:tr>
        <w:trPr>
          <w:trHeight w:val="358"/>
        </w:trPr>
        <w:tc>
          <w:tcPr>
            <w:tcW w:w="962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7"/>
              </w:rPr>
              <w:t>Consolidated Statements of Shareholders' Equity......................................................</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31</w:t>
            </w:r>
          </w:p>
        </w:tc>
      </w:tr>
      <w:tr>
        <w:trPr>
          <w:trHeight w:val="358"/>
        </w:trPr>
        <w:tc>
          <w:tcPr>
            <w:tcW w:w="962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7"/>
              </w:rPr>
              <w:t>Consolidated Statements of Cash Flows................................................................</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32</w:t>
            </w:r>
          </w:p>
        </w:tc>
      </w:tr>
      <w:tr>
        <w:trPr>
          <w:trHeight w:val="358"/>
        </w:trPr>
        <w:tc>
          <w:tcPr>
            <w:tcW w:w="962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7"/>
              </w:rPr>
              <w:t>Consolidated Statements of Comprehensive Income (Loss)...............................................</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33</w:t>
            </w:r>
          </w:p>
        </w:tc>
      </w:tr>
      <w:tr>
        <w:trPr>
          <w:trHeight w:val="358"/>
        </w:trPr>
        <w:tc>
          <w:tcPr>
            <w:tcW w:w="962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7"/>
              </w:rPr>
              <w:t>Notes to Consolidated Financial Statements...........................................................</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34</w:t>
            </w:r>
          </w:p>
        </w:tc>
      </w:tr>
      <w:tr>
        <w:trPr>
          <w:trHeight w:val="358"/>
        </w:trPr>
        <w:tc>
          <w:tcPr>
            <w:tcW w:w="962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7"/>
              </w:rPr>
              <w:t>Report of Independent Accountants....................................................................</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51</w:t>
            </w:r>
          </w:p>
        </w:tc>
      </w:tr>
      <w:tr>
        <w:trPr>
          <w:trHeight w:val="358"/>
        </w:trPr>
        <w:tc>
          <w:tcPr>
            <w:tcW w:w="9620" w:type="dxa"/>
            <w:vAlign w:val="bottom"/>
          </w:tcPr>
          <w:p>
            <w:pPr>
              <w:spacing w:after="0"/>
              <w:rPr>
                <w:sz w:val="20"/>
                <w:szCs w:val="20"/>
                <w:color w:val="auto"/>
              </w:rPr>
            </w:pPr>
            <w:r>
              <w:rPr>
                <w:rFonts w:ascii="Courier New" w:cs="Courier New" w:eastAsia="Courier New" w:hAnsi="Courier New"/>
                <w:sz w:val="16"/>
                <w:szCs w:val="16"/>
                <w:color w:val="auto"/>
              </w:rPr>
              <w:t>Financial Statement Schedule:</w:t>
            </w:r>
          </w:p>
        </w:tc>
        <w:tc>
          <w:tcPr>
            <w:tcW w:w="880" w:type="dxa"/>
            <w:vAlign w:val="bottom"/>
          </w:tcPr>
          <w:p>
            <w:pPr>
              <w:spacing w:after="0"/>
              <w:rPr>
                <w:sz w:val="24"/>
                <w:szCs w:val="24"/>
                <w:color w:val="auto"/>
              </w:rPr>
            </w:pPr>
          </w:p>
        </w:tc>
      </w:tr>
      <w:tr>
        <w:trPr>
          <w:trHeight w:val="358"/>
        </w:trPr>
        <w:tc>
          <w:tcPr>
            <w:tcW w:w="9620" w:type="dxa"/>
            <w:vAlign w:val="bottom"/>
          </w:tcPr>
          <w:p>
            <w:pPr>
              <w:jc w:val="right"/>
              <w:ind w:right="702"/>
              <w:spacing w:after="0"/>
              <w:rPr>
                <w:sz w:val="20"/>
                <w:szCs w:val="20"/>
                <w:color w:val="auto"/>
              </w:rPr>
            </w:pPr>
            <w:r>
              <w:rPr>
                <w:rFonts w:ascii="Courier New" w:cs="Courier New" w:eastAsia="Courier New" w:hAnsi="Courier New"/>
                <w:sz w:val="16"/>
                <w:szCs w:val="16"/>
                <w:color w:val="auto"/>
                <w:w w:val="98"/>
              </w:rPr>
              <w:t>Schedule II - Valuation and Qualifying Accounts for the Fiscal Years Ended September 2, 1999,</w:t>
            </w:r>
          </w:p>
        </w:tc>
        <w:tc>
          <w:tcPr>
            <w:tcW w:w="880" w:type="dxa"/>
            <w:vAlign w:val="bottom"/>
          </w:tcPr>
          <w:p>
            <w:pPr>
              <w:spacing w:after="0"/>
              <w:rPr>
                <w:sz w:val="24"/>
                <w:szCs w:val="24"/>
                <w:color w:val="auto"/>
              </w:rPr>
            </w:pPr>
          </w:p>
        </w:tc>
      </w:tr>
      <w:tr>
        <w:trPr>
          <w:trHeight w:val="179"/>
        </w:trPr>
        <w:tc>
          <w:tcPr>
            <w:tcW w:w="96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September 3, 1998, and August 28, 1997..............................................................</w:t>
            </w: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57</w:t>
            </w:r>
          </w:p>
        </w:tc>
      </w:tr>
      <w:tr>
        <w:trPr>
          <w:trHeight w:val="537"/>
        </w:trPr>
        <w:tc>
          <w:tcPr>
            <w:tcW w:w="9620" w:type="dxa"/>
            <w:vAlign w:val="bottom"/>
          </w:tcPr>
          <w:p>
            <w:pPr>
              <w:jc w:val="right"/>
              <w:ind w:right="5642"/>
              <w:spacing w:after="0"/>
              <w:rPr>
                <w:sz w:val="20"/>
                <w:szCs w:val="20"/>
                <w:color w:val="auto"/>
              </w:rPr>
            </w:pPr>
            <w:r>
              <w:rPr>
                <w:rFonts w:ascii="Courier New" w:cs="Courier New" w:eastAsia="Courier New" w:hAnsi="Courier New"/>
                <w:sz w:val="16"/>
                <w:szCs w:val="16"/>
                <w:color w:val="auto"/>
              </w:rPr>
              <w:t>28/57</w:t>
            </w:r>
          </w:p>
        </w:tc>
        <w:tc>
          <w:tcPr>
            <w:tcW w:w="880" w:type="dxa"/>
            <w:vAlign w:val="bottom"/>
          </w:tcPr>
          <w:p>
            <w:pPr>
              <w:spacing w:after="0"/>
              <w:rPr>
                <w:sz w:val="24"/>
                <w:szCs w:val="24"/>
                <w:color w:val="auto"/>
              </w:rPr>
            </w:pPr>
          </w:p>
        </w:tc>
      </w:tr>
    </w:tbl>
    <w:p>
      <w:pPr>
        <w:sectPr>
          <w:pgSz w:w="11900" w:h="16838" w:orient="portrait"/>
          <w:cols w:equalWidth="0" w:num="1">
            <w:col w:w="10500"/>
          </w:cols>
          <w:pgMar w:left="240" w:top="648" w:right="1159" w:bottom="1440" w:gutter="0" w:footer="0" w:header="0"/>
        </w:sectPr>
      </w:pPr>
    </w:p>
    <w:bookmarkStart w:id="28" w:name="page29"/>
    <w:bookmarkEnd w:id="28"/>
    <w:p>
      <w:pPr>
        <w:jc w:val="center"/>
        <w:ind w:right="2879"/>
        <w:spacing w:after="0"/>
        <w:rPr>
          <w:sz w:val="20"/>
          <w:szCs w:val="20"/>
          <w:color w:val="auto"/>
        </w:rPr>
      </w:pPr>
      <w:r>
        <w:rPr>
          <w:rFonts w:ascii="Courier New" w:cs="Courier New" w:eastAsia="Courier New" w:hAnsi="Courier New"/>
          <w:sz w:val="16"/>
          <w:szCs w:val="16"/>
          <w:color w:val="auto"/>
        </w:rPr>
        <w:t>MICRON TECHNOLOGY, INC.</w:t>
      </w:r>
    </w:p>
    <w:p>
      <w:pPr>
        <w:spacing w:after="0" w:line="177"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CONSOLIDATED STATEMENTS OF OPERATIONS</w:t>
      </w:r>
    </w:p>
    <w:p>
      <w:pPr>
        <w:jc w:val="center"/>
        <w:ind w:right="2879"/>
        <w:spacing w:after="0" w:line="236" w:lineRule="auto"/>
        <w:rPr>
          <w:sz w:val="20"/>
          <w:szCs w:val="20"/>
          <w:color w:val="auto"/>
        </w:rPr>
      </w:pPr>
      <w:r>
        <w:rPr>
          <w:rFonts w:ascii="Courier New" w:cs="Courier New" w:eastAsia="Courier New" w:hAnsi="Courier New"/>
          <w:sz w:val="16"/>
          <w:szCs w:val="16"/>
          <w:color w:val="auto"/>
        </w:rPr>
        <w:t>(Amounts in millions, except for earnings per share data)</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720" w:type="dxa"/>
            <w:vAlign w:val="bottom"/>
          </w:tcPr>
          <w:p>
            <w:pPr>
              <w:ind w:left="140"/>
              <w:spacing w:after="0"/>
              <w:rPr>
                <w:sz w:val="20"/>
                <w:szCs w:val="20"/>
                <w:color w:val="auto"/>
              </w:rPr>
            </w:pPr>
            <w:r>
              <w:rPr>
                <w:rFonts w:ascii="Courier New" w:cs="Courier New" w:eastAsia="Courier New" w:hAnsi="Courier New"/>
                <w:sz w:val="16"/>
                <w:szCs w:val="16"/>
                <w:color w:val="auto"/>
                <w:w w:val="95"/>
              </w:rPr>
              <w:t>Fiscal year ended</w:t>
            </w: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5440" w:type="dxa"/>
            <w:vAlign w:val="bottom"/>
          </w:tcPr>
          <w:p>
            <w:pPr>
              <w:spacing w:after="0"/>
              <w:rPr>
                <w:sz w:val="15"/>
                <w:szCs w:val="15"/>
                <w:color w:val="auto"/>
              </w:rPr>
            </w:pPr>
          </w:p>
        </w:tc>
        <w:tc>
          <w:tcPr>
            <w:tcW w:w="4140" w:type="dxa"/>
            <w:vAlign w:val="bottom"/>
            <w:gridSpan w:val="5"/>
          </w:tcPr>
          <w:p>
            <w:pPr>
              <w:jc w:val="right"/>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179"/>
        </w:trPr>
        <w:tc>
          <w:tcPr>
            <w:tcW w:w="5440" w:type="dxa"/>
            <w:vAlign w:val="bottom"/>
          </w:tcPr>
          <w:p>
            <w:pPr>
              <w:spacing w:after="0"/>
              <w:rPr>
                <w:sz w:val="15"/>
                <w:szCs w:val="15"/>
                <w:color w:val="auto"/>
              </w:rPr>
            </w:pPr>
          </w:p>
        </w:tc>
        <w:tc>
          <w:tcPr>
            <w:tcW w:w="14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September 2,</w:t>
            </w:r>
          </w:p>
        </w:tc>
        <w:tc>
          <w:tcPr>
            <w:tcW w:w="17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September 3,</w:t>
            </w:r>
          </w:p>
        </w:tc>
        <w:tc>
          <w:tcPr>
            <w:tcW w:w="9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5"/>
              </w:rPr>
              <w:t>August 28,</w:t>
            </w:r>
          </w:p>
        </w:tc>
      </w:tr>
      <w:tr>
        <w:trPr>
          <w:trHeight w:val="179"/>
        </w:trPr>
        <w:tc>
          <w:tcPr>
            <w:tcW w:w="5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1999</w:t>
            </w:r>
          </w:p>
        </w:tc>
        <w:tc>
          <w:tcPr>
            <w:tcW w:w="1720" w:type="dxa"/>
            <w:vAlign w:val="bottom"/>
          </w:tcPr>
          <w:p>
            <w:pPr>
              <w:jc w:val="right"/>
              <w:ind w:right="762"/>
              <w:spacing w:after="0" w:line="179" w:lineRule="exact"/>
              <w:rPr>
                <w:sz w:val="20"/>
                <w:szCs w:val="20"/>
                <w:color w:val="auto"/>
              </w:rPr>
            </w:pPr>
            <w:r>
              <w:rPr>
                <w:rFonts w:ascii="Courier New" w:cs="Courier New" w:eastAsia="Courier New" w:hAnsi="Courier New"/>
                <w:sz w:val="16"/>
                <w:szCs w:val="16"/>
                <w:color w:val="auto"/>
              </w:rPr>
              <w:t>1998</w:t>
            </w:r>
          </w:p>
        </w:tc>
        <w:tc>
          <w:tcPr>
            <w:tcW w:w="200" w:type="dxa"/>
            <w:vAlign w:val="bottom"/>
          </w:tcPr>
          <w:p>
            <w:pPr>
              <w:spacing w:after="0"/>
              <w:rPr>
                <w:sz w:val="15"/>
                <w:szCs w:val="15"/>
                <w:color w:val="auto"/>
              </w:rPr>
            </w:pPr>
          </w:p>
        </w:tc>
        <w:tc>
          <w:tcPr>
            <w:tcW w:w="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1997</w:t>
            </w:r>
          </w:p>
        </w:tc>
      </w:tr>
      <w:tr>
        <w:trPr>
          <w:trHeight w:val="179"/>
        </w:trPr>
        <w:tc>
          <w:tcPr>
            <w:tcW w:w="5440" w:type="dxa"/>
            <w:vAlign w:val="bottom"/>
          </w:tcPr>
          <w:p>
            <w:pPr>
              <w:spacing w:after="0"/>
              <w:rPr>
                <w:sz w:val="15"/>
                <w:szCs w:val="15"/>
                <w:color w:val="auto"/>
              </w:rPr>
            </w:pPr>
          </w:p>
        </w:tc>
        <w:tc>
          <w:tcPr>
            <w:tcW w:w="14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358"/>
        </w:trPr>
        <w:tc>
          <w:tcPr>
            <w:tcW w:w="5440" w:type="dxa"/>
            <w:vAlign w:val="bottom"/>
          </w:tcPr>
          <w:p>
            <w:pPr>
              <w:spacing w:after="0"/>
              <w:rPr>
                <w:sz w:val="20"/>
                <w:szCs w:val="20"/>
                <w:color w:val="auto"/>
              </w:rPr>
            </w:pPr>
            <w:r>
              <w:rPr>
                <w:rFonts w:ascii="Courier New" w:cs="Courier New" w:eastAsia="Courier New" w:hAnsi="Courier New"/>
                <w:sz w:val="16"/>
                <w:szCs w:val="16"/>
                <w:color w:val="auto"/>
                <w:w w:val="99"/>
              </w:rPr>
              <w:t>Net sales................................................</w:t>
            </w:r>
          </w:p>
        </w:tc>
        <w:tc>
          <w:tcPr>
            <w:tcW w:w="1480" w:type="dxa"/>
            <w:vAlign w:val="bottom"/>
            <w:gridSpan w:val="2"/>
          </w:tcPr>
          <w:p>
            <w:pPr>
              <w:jc w:val="right"/>
              <w:ind w:right="242"/>
              <w:spacing w:after="0"/>
              <w:rPr>
                <w:sz w:val="20"/>
                <w:szCs w:val="20"/>
                <w:color w:val="auto"/>
              </w:rPr>
            </w:pPr>
            <w:r>
              <w:rPr>
                <w:rFonts w:ascii="Courier New" w:cs="Courier New" w:eastAsia="Courier New" w:hAnsi="Courier New"/>
                <w:sz w:val="16"/>
                <w:szCs w:val="16"/>
                <w:color w:val="auto"/>
              </w:rPr>
              <w:t>$3,764.0</w:t>
            </w:r>
          </w:p>
        </w:tc>
        <w:tc>
          <w:tcPr>
            <w:tcW w:w="1720" w:type="dxa"/>
            <w:vAlign w:val="bottom"/>
          </w:tcPr>
          <w:p>
            <w:pPr>
              <w:jc w:val="right"/>
              <w:ind w:right="562"/>
              <w:spacing w:after="0"/>
              <w:rPr>
                <w:sz w:val="20"/>
                <w:szCs w:val="20"/>
                <w:color w:val="auto"/>
              </w:rPr>
            </w:pPr>
            <w:r>
              <w:rPr>
                <w:rFonts w:ascii="Courier New" w:cs="Courier New" w:eastAsia="Courier New" w:hAnsi="Courier New"/>
                <w:sz w:val="16"/>
                <w:szCs w:val="16"/>
                <w:color w:val="auto"/>
              </w:rPr>
              <w:t>$3,025.3</w:t>
            </w:r>
          </w:p>
        </w:tc>
        <w:tc>
          <w:tcPr>
            <w:tcW w:w="94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$3,523.2</w:t>
            </w:r>
          </w:p>
        </w:tc>
      </w:tr>
      <w:tr>
        <w:trPr>
          <w:trHeight w:val="179"/>
        </w:trPr>
        <w:tc>
          <w:tcPr>
            <w:tcW w:w="5440" w:type="dxa"/>
            <w:vAlign w:val="bottom"/>
          </w:tcPr>
          <w:p>
            <w:pPr>
              <w:spacing w:after="0" w:line="179" w:lineRule="exact"/>
              <w:rPr>
                <w:sz w:val="20"/>
                <w:szCs w:val="20"/>
                <w:color w:val="auto"/>
              </w:rPr>
            </w:pPr>
            <w:r>
              <w:rPr>
                <w:rFonts w:ascii="Courier New" w:cs="Courier New" w:eastAsia="Courier New" w:hAnsi="Courier New"/>
                <w:sz w:val="16"/>
                <w:szCs w:val="16"/>
                <w:color w:val="auto"/>
              </w:rPr>
              <w:t>Costs and expenses:</w:t>
            </w:r>
          </w:p>
        </w:tc>
        <w:tc>
          <w:tcPr>
            <w:tcW w:w="5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54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Cost of goods sold....................................</w:t>
            </w:r>
          </w:p>
        </w:tc>
        <w:tc>
          <w:tcPr>
            <w:tcW w:w="500" w:type="dxa"/>
            <w:vAlign w:val="bottom"/>
          </w:tcPr>
          <w:p>
            <w:pPr>
              <w:spacing w:after="0"/>
              <w:rPr>
                <w:sz w:val="15"/>
                <w:szCs w:val="15"/>
                <w:color w:val="auto"/>
              </w:rPr>
            </w:pPr>
          </w:p>
        </w:tc>
        <w:tc>
          <w:tcPr>
            <w:tcW w:w="9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w w:val="95"/>
              </w:rPr>
              <w:t>2,950.4</w:t>
            </w:r>
          </w:p>
        </w:tc>
        <w:tc>
          <w:tcPr>
            <w:tcW w:w="172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rPr>
              <w:t>2,744.9</w:t>
            </w:r>
          </w:p>
        </w:tc>
        <w:tc>
          <w:tcPr>
            <w:tcW w:w="20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2"/>
              </w:rPr>
              <w:t>2,548.4</w:t>
            </w:r>
          </w:p>
        </w:tc>
      </w:tr>
      <w:tr>
        <w:trPr>
          <w:trHeight w:val="179"/>
        </w:trPr>
        <w:tc>
          <w:tcPr>
            <w:tcW w:w="54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Selling, general and administrative...................</w:t>
            </w:r>
          </w:p>
        </w:tc>
        <w:tc>
          <w:tcPr>
            <w:tcW w:w="500" w:type="dxa"/>
            <w:vAlign w:val="bottom"/>
          </w:tcPr>
          <w:p>
            <w:pPr>
              <w:spacing w:after="0"/>
              <w:rPr>
                <w:sz w:val="15"/>
                <w:szCs w:val="15"/>
                <w:color w:val="auto"/>
              </w:rPr>
            </w:pPr>
          </w:p>
        </w:tc>
        <w:tc>
          <w:tcPr>
            <w:tcW w:w="9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486.0</w:t>
            </w:r>
          </w:p>
        </w:tc>
        <w:tc>
          <w:tcPr>
            <w:tcW w:w="172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rPr>
              <w:t>476.1</w:t>
            </w:r>
          </w:p>
        </w:tc>
        <w:tc>
          <w:tcPr>
            <w:tcW w:w="20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382.7</w:t>
            </w:r>
          </w:p>
        </w:tc>
      </w:tr>
      <w:tr>
        <w:trPr>
          <w:trHeight w:val="179"/>
        </w:trPr>
        <w:tc>
          <w:tcPr>
            <w:tcW w:w="54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Research and development..............................</w:t>
            </w:r>
          </w:p>
        </w:tc>
        <w:tc>
          <w:tcPr>
            <w:tcW w:w="500" w:type="dxa"/>
            <w:vAlign w:val="bottom"/>
          </w:tcPr>
          <w:p>
            <w:pPr>
              <w:spacing w:after="0"/>
              <w:rPr>
                <w:sz w:val="15"/>
                <w:szCs w:val="15"/>
                <w:color w:val="auto"/>
              </w:rPr>
            </w:pPr>
          </w:p>
        </w:tc>
        <w:tc>
          <w:tcPr>
            <w:tcW w:w="9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322.1</w:t>
            </w:r>
          </w:p>
        </w:tc>
        <w:tc>
          <w:tcPr>
            <w:tcW w:w="172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rPr>
              <w:t>286.4</w:t>
            </w:r>
          </w:p>
        </w:tc>
        <w:tc>
          <w:tcPr>
            <w:tcW w:w="20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223.9</w:t>
            </w:r>
          </w:p>
        </w:tc>
      </w:tr>
      <w:tr>
        <w:trPr>
          <w:trHeight w:val="179"/>
        </w:trPr>
        <w:tc>
          <w:tcPr>
            <w:tcW w:w="54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Other operating expense (income), net.................</w:t>
            </w:r>
          </w:p>
        </w:tc>
        <w:tc>
          <w:tcPr>
            <w:tcW w:w="500" w:type="dxa"/>
            <w:vAlign w:val="bottom"/>
          </w:tcPr>
          <w:p>
            <w:pPr>
              <w:spacing w:after="0"/>
              <w:rPr>
                <w:sz w:val="15"/>
                <w:szCs w:val="15"/>
                <w:color w:val="auto"/>
              </w:rPr>
            </w:pPr>
          </w:p>
        </w:tc>
        <w:tc>
          <w:tcPr>
            <w:tcW w:w="9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52.5</w:t>
            </w:r>
          </w:p>
        </w:tc>
        <w:tc>
          <w:tcPr>
            <w:tcW w:w="172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rPr>
              <w:t>34.3</w:t>
            </w:r>
          </w:p>
        </w:tc>
        <w:tc>
          <w:tcPr>
            <w:tcW w:w="200" w:type="dxa"/>
            <w:vAlign w:val="bottom"/>
          </w:tcPr>
          <w:p>
            <w:pPr>
              <w:spacing w:after="0"/>
              <w:rPr>
                <w:sz w:val="15"/>
                <w:szCs w:val="15"/>
                <w:color w:val="auto"/>
              </w:rPr>
            </w:pP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(5.9)</w:t>
            </w:r>
          </w:p>
        </w:tc>
      </w:tr>
      <w:tr>
        <w:trPr>
          <w:trHeight w:val="179"/>
        </w:trPr>
        <w:tc>
          <w:tcPr>
            <w:tcW w:w="5440" w:type="dxa"/>
            <w:vAlign w:val="bottom"/>
          </w:tcPr>
          <w:p>
            <w:pPr>
              <w:spacing w:after="0"/>
              <w:rPr>
                <w:sz w:val="15"/>
                <w:szCs w:val="15"/>
                <w:color w:val="auto"/>
              </w:rPr>
            </w:pPr>
          </w:p>
        </w:tc>
        <w:tc>
          <w:tcPr>
            <w:tcW w:w="148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4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Total costs and expenses............................</w:t>
            </w:r>
          </w:p>
        </w:tc>
        <w:tc>
          <w:tcPr>
            <w:tcW w:w="500" w:type="dxa"/>
            <w:vAlign w:val="bottom"/>
          </w:tcPr>
          <w:p>
            <w:pPr>
              <w:spacing w:after="0"/>
              <w:rPr>
                <w:sz w:val="15"/>
                <w:szCs w:val="15"/>
                <w:color w:val="auto"/>
              </w:rPr>
            </w:pPr>
          </w:p>
        </w:tc>
        <w:tc>
          <w:tcPr>
            <w:tcW w:w="9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w w:val="95"/>
              </w:rPr>
              <w:t>3,811.0</w:t>
            </w:r>
          </w:p>
        </w:tc>
        <w:tc>
          <w:tcPr>
            <w:tcW w:w="172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rPr>
              <w:t>3,541.7</w:t>
            </w:r>
          </w:p>
        </w:tc>
        <w:tc>
          <w:tcPr>
            <w:tcW w:w="20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2"/>
              </w:rPr>
              <w:t>3,149.1</w:t>
            </w:r>
          </w:p>
        </w:tc>
      </w:tr>
      <w:tr>
        <w:trPr>
          <w:trHeight w:val="179"/>
        </w:trPr>
        <w:tc>
          <w:tcPr>
            <w:tcW w:w="5440" w:type="dxa"/>
            <w:vAlign w:val="bottom"/>
          </w:tcPr>
          <w:p>
            <w:pPr>
              <w:spacing w:after="0"/>
              <w:rPr>
                <w:sz w:val="15"/>
                <w:szCs w:val="15"/>
                <w:color w:val="auto"/>
              </w:rPr>
            </w:pPr>
          </w:p>
        </w:tc>
        <w:tc>
          <w:tcPr>
            <w:tcW w:w="148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544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6"/>
              </w:rPr>
              <w:t>Operating income (loss)..................................</w:t>
            </w:r>
          </w:p>
        </w:tc>
        <w:tc>
          <w:tcPr>
            <w:tcW w:w="500" w:type="dxa"/>
            <w:vAlign w:val="bottom"/>
          </w:tcPr>
          <w:p>
            <w:pPr>
              <w:spacing w:after="0"/>
              <w:rPr>
                <w:sz w:val="24"/>
                <w:szCs w:val="24"/>
                <w:color w:val="auto"/>
              </w:rPr>
            </w:pPr>
          </w:p>
        </w:tc>
        <w:tc>
          <w:tcPr>
            <w:tcW w:w="9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(47.0)</w:t>
            </w:r>
          </w:p>
        </w:tc>
        <w:tc>
          <w:tcPr>
            <w:tcW w:w="17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(516.4)</w:t>
            </w:r>
          </w:p>
        </w:tc>
        <w:tc>
          <w:tcPr>
            <w:tcW w:w="200" w:type="dxa"/>
            <w:vAlign w:val="bottom"/>
          </w:tcPr>
          <w:p>
            <w:pPr>
              <w:spacing w:after="0"/>
              <w:rPr>
                <w:sz w:val="24"/>
                <w:szCs w:val="24"/>
                <w:color w:val="auto"/>
              </w:rPr>
            </w:pPr>
          </w:p>
        </w:tc>
        <w:tc>
          <w:tcPr>
            <w:tcW w:w="7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374.1</w:t>
            </w:r>
          </w:p>
        </w:tc>
      </w:tr>
      <w:tr>
        <w:trPr>
          <w:trHeight w:val="179"/>
        </w:trPr>
        <w:tc>
          <w:tcPr>
            <w:tcW w:w="5440" w:type="dxa"/>
            <w:vAlign w:val="bottom"/>
          </w:tcPr>
          <w:p>
            <w:pPr>
              <w:spacing w:after="0" w:line="179" w:lineRule="exact"/>
              <w:rPr>
                <w:sz w:val="20"/>
                <w:szCs w:val="20"/>
                <w:color w:val="auto"/>
              </w:rPr>
            </w:pPr>
            <w:r>
              <w:rPr>
                <w:rFonts w:ascii="Courier New" w:cs="Courier New" w:eastAsia="Courier New" w:hAnsi="Courier New"/>
                <w:sz w:val="16"/>
                <w:szCs w:val="16"/>
                <w:color w:val="auto"/>
              </w:rPr>
              <w:t>Gain (loss) on sale of investments and subsidiary stock,</w:t>
            </w:r>
          </w:p>
        </w:tc>
        <w:tc>
          <w:tcPr>
            <w:tcW w:w="500" w:type="dxa"/>
            <w:vAlign w:val="bottom"/>
          </w:tcPr>
          <w:p>
            <w:pPr>
              <w:spacing w:after="0"/>
              <w:rPr>
                <w:sz w:val="15"/>
                <w:szCs w:val="15"/>
                <w:color w:val="auto"/>
              </w:rPr>
            </w:pPr>
          </w:p>
        </w:tc>
        <w:tc>
          <w:tcPr>
            <w:tcW w:w="9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(0.1)</w:t>
            </w:r>
          </w:p>
        </w:tc>
        <w:tc>
          <w:tcPr>
            <w:tcW w:w="172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rPr>
              <w:t>157.0</w:t>
            </w:r>
          </w:p>
        </w:tc>
        <w:tc>
          <w:tcPr>
            <w:tcW w:w="20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186.7</w:t>
            </w:r>
          </w:p>
        </w:tc>
      </w:tr>
      <w:tr>
        <w:trPr>
          <w:trHeight w:val="179"/>
        </w:trPr>
        <w:tc>
          <w:tcPr>
            <w:tcW w:w="54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net.....................................................</w:t>
            </w:r>
          </w:p>
        </w:tc>
        <w:tc>
          <w:tcPr>
            <w:tcW w:w="5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54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6"/>
              </w:rPr>
              <w:t>Gain on issuance of subsidiary stock, net................</w:t>
            </w:r>
          </w:p>
        </w:tc>
        <w:tc>
          <w:tcPr>
            <w:tcW w:w="500" w:type="dxa"/>
            <w:vAlign w:val="bottom"/>
          </w:tcPr>
          <w:p>
            <w:pPr>
              <w:spacing w:after="0"/>
              <w:rPr>
                <w:sz w:val="15"/>
                <w:szCs w:val="15"/>
                <w:color w:val="auto"/>
              </w:rPr>
            </w:pPr>
          </w:p>
        </w:tc>
        <w:tc>
          <w:tcPr>
            <w:tcW w:w="9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2.1</w:t>
            </w:r>
          </w:p>
        </w:tc>
        <w:tc>
          <w:tcPr>
            <w:tcW w:w="172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rPr>
              <w:t>1.3</w:t>
            </w:r>
          </w:p>
        </w:tc>
        <w:tc>
          <w:tcPr>
            <w:tcW w:w="20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29.1</w:t>
            </w:r>
          </w:p>
        </w:tc>
      </w:tr>
      <w:tr>
        <w:trPr>
          <w:trHeight w:val="179"/>
        </w:trPr>
        <w:tc>
          <w:tcPr>
            <w:tcW w:w="54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6"/>
              </w:rPr>
              <w:t>Interest income..........................................</w:t>
            </w:r>
          </w:p>
        </w:tc>
        <w:tc>
          <w:tcPr>
            <w:tcW w:w="500" w:type="dxa"/>
            <w:vAlign w:val="bottom"/>
          </w:tcPr>
          <w:p>
            <w:pPr>
              <w:spacing w:after="0"/>
              <w:rPr>
                <w:sz w:val="15"/>
                <w:szCs w:val="15"/>
                <w:color w:val="auto"/>
              </w:rPr>
            </w:pPr>
          </w:p>
        </w:tc>
        <w:tc>
          <w:tcPr>
            <w:tcW w:w="9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83.6</w:t>
            </w:r>
          </w:p>
        </w:tc>
        <w:tc>
          <w:tcPr>
            <w:tcW w:w="172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rPr>
              <w:t>49.7</w:t>
            </w:r>
          </w:p>
        </w:tc>
        <w:tc>
          <w:tcPr>
            <w:tcW w:w="20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32.9</w:t>
            </w:r>
          </w:p>
        </w:tc>
      </w:tr>
      <w:tr>
        <w:trPr>
          <w:trHeight w:val="179"/>
        </w:trPr>
        <w:tc>
          <w:tcPr>
            <w:tcW w:w="54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6"/>
              </w:rPr>
              <w:t>Interest expense.........................................</w:t>
            </w:r>
          </w:p>
        </w:tc>
        <w:tc>
          <w:tcPr>
            <w:tcW w:w="500" w:type="dxa"/>
            <w:vAlign w:val="bottom"/>
          </w:tcPr>
          <w:p>
            <w:pPr>
              <w:spacing w:after="0"/>
              <w:rPr>
                <w:sz w:val="15"/>
                <w:szCs w:val="15"/>
                <w:color w:val="auto"/>
              </w:rPr>
            </w:pPr>
          </w:p>
        </w:tc>
        <w:tc>
          <w:tcPr>
            <w:tcW w:w="9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(130.1)</w:t>
            </w:r>
          </w:p>
        </w:tc>
        <w:tc>
          <w:tcPr>
            <w:tcW w:w="17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(50.5)</w:t>
            </w:r>
          </w:p>
        </w:tc>
        <w:tc>
          <w:tcPr>
            <w:tcW w:w="200" w:type="dxa"/>
            <w:vAlign w:val="bottom"/>
          </w:tcPr>
          <w:p>
            <w:pPr>
              <w:spacing w:after="0"/>
              <w:rPr>
                <w:sz w:val="15"/>
                <w:szCs w:val="15"/>
                <w:color w:val="auto"/>
              </w:rPr>
            </w:pP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(32.4)</w:t>
            </w:r>
          </w:p>
        </w:tc>
      </w:tr>
      <w:tr>
        <w:trPr>
          <w:trHeight w:val="179"/>
        </w:trPr>
        <w:tc>
          <w:tcPr>
            <w:tcW w:w="5440" w:type="dxa"/>
            <w:vAlign w:val="bottom"/>
          </w:tcPr>
          <w:p>
            <w:pPr>
              <w:spacing w:after="0"/>
              <w:rPr>
                <w:sz w:val="15"/>
                <w:szCs w:val="15"/>
                <w:color w:val="auto"/>
              </w:rPr>
            </w:pPr>
          </w:p>
        </w:tc>
        <w:tc>
          <w:tcPr>
            <w:tcW w:w="148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440" w:type="dxa"/>
            <w:vAlign w:val="bottom"/>
          </w:tcPr>
          <w:p>
            <w:pPr>
              <w:spacing w:after="0" w:line="179" w:lineRule="exact"/>
              <w:rPr>
                <w:sz w:val="20"/>
                <w:szCs w:val="20"/>
                <w:color w:val="auto"/>
              </w:rPr>
            </w:pPr>
            <w:r>
              <w:rPr>
                <w:rFonts w:ascii="Courier New" w:cs="Courier New" w:eastAsia="Courier New" w:hAnsi="Courier New"/>
                <w:sz w:val="16"/>
                <w:szCs w:val="16"/>
                <w:color w:val="auto"/>
              </w:rPr>
              <w:t>Income (loss) before income taxes and minority</w:t>
            </w:r>
          </w:p>
        </w:tc>
        <w:tc>
          <w:tcPr>
            <w:tcW w:w="5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54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interests...............................................</w:t>
            </w:r>
          </w:p>
        </w:tc>
        <w:tc>
          <w:tcPr>
            <w:tcW w:w="500" w:type="dxa"/>
            <w:vAlign w:val="bottom"/>
          </w:tcPr>
          <w:p>
            <w:pPr>
              <w:spacing w:after="0"/>
              <w:rPr>
                <w:sz w:val="15"/>
                <w:szCs w:val="15"/>
                <w:color w:val="auto"/>
              </w:rPr>
            </w:pPr>
          </w:p>
        </w:tc>
        <w:tc>
          <w:tcPr>
            <w:tcW w:w="9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(91.5)</w:t>
            </w:r>
          </w:p>
        </w:tc>
        <w:tc>
          <w:tcPr>
            <w:tcW w:w="17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(358.9)</w:t>
            </w:r>
          </w:p>
        </w:tc>
        <w:tc>
          <w:tcPr>
            <w:tcW w:w="20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590.4</w:t>
            </w:r>
          </w:p>
        </w:tc>
      </w:tr>
      <w:tr>
        <w:trPr>
          <w:trHeight w:val="358"/>
        </w:trPr>
        <w:tc>
          <w:tcPr>
            <w:tcW w:w="544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6"/>
              </w:rPr>
              <w:t>Income tax benefit (provision)...........................</w:t>
            </w:r>
          </w:p>
        </w:tc>
        <w:tc>
          <w:tcPr>
            <w:tcW w:w="500" w:type="dxa"/>
            <w:vAlign w:val="bottom"/>
          </w:tcPr>
          <w:p>
            <w:pPr>
              <w:spacing w:after="0"/>
              <w:rPr>
                <w:sz w:val="24"/>
                <w:szCs w:val="24"/>
                <w:color w:val="auto"/>
              </w:rPr>
            </w:pP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36.0</w:t>
            </w:r>
          </w:p>
        </w:tc>
        <w:tc>
          <w:tcPr>
            <w:tcW w:w="1720" w:type="dxa"/>
            <w:vAlign w:val="bottom"/>
          </w:tcPr>
          <w:p>
            <w:pPr>
              <w:jc w:val="right"/>
              <w:ind w:right="562"/>
              <w:spacing w:after="0"/>
              <w:rPr>
                <w:sz w:val="20"/>
                <w:szCs w:val="20"/>
                <w:color w:val="auto"/>
              </w:rPr>
            </w:pPr>
            <w:r>
              <w:rPr>
                <w:rFonts w:ascii="Courier New" w:cs="Courier New" w:eastAsia="Courier New" w:hAnsi="Courier New"/>
                <w:sz w:val="16"/>
                <w:szCs w:val="16"/>
                <w:color w:val="auto"/>
              </w:rPr>
              <w:t>129.1</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(255.8)</w:t>
            </w:r>
          </w:p>
        </w:tc>
      </w:tr>
      <w:tr>
        <w:trPr>
          <w:trHeight w:val="179"/>
        </w:trPr>
        <w:tc>
          <w:tcPr>
            <w:tcW w:w="54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6"/>
              </w:rPr>
              <w:t>Minority interests in net income.........................</w:t>
            </w:r>
          </w:p>
        </w:tc>
        <w:tc>
          <w:tcPr>
            <w:tcW w:w="500" w:type="dxa"/>
            <w:vAlign w:val="bottom"/>
          </w:tcPr>
          <w:p>
            <w:pPr>
              <w:spacing w:after="0"/>
              <w:rPr>
                <w:sz w:val="15"/>
                <w:szCs w:val="15"/>
                <w:color w:val="auto"/>
              </w:rPr>
            </w:pPr>
          </w:p>
        </w:tc>
        <w:tc>
          <w:tcPr>
            <w:tcW w:w="9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(13.4)</w:t>
            </w:r>
          </w:p>
        </w:tc>
        <w:tc>
          <w:tcPr>
            <w:tcW w:w="17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(17.3)</w:t>
            </w:r>
          </w:p>
        </w:tc>
        <w:tc>
          <w:tcPr>
            <w:tcW w:w="200" w:type="dxa"/>
            <w:vAlign w:val="bottom"/>
          </w:tcPr>
          <w:p>
            <w:pPr>
              <w:spacing w:after="0"/>
              <w:rPr>
                <w:sz w:val="15"/>
                <w:szCs w:val="15"/>
                <w:color w:val="auto"/>
              </w:rPr>
            </w:pP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(19.6)</w:t>
            </w:r>
          </w:p>
        </w:tc>
      </w:tr>
      <w:tr>
        <w:trPr>
          <w:trHeight w:val="179"/>
        </w:trPr>
        <w:tc>
          <w:tcPr>
            <w:tcW w:w="5440" w:type="dxa"/>
            <w:vAlign w:val="bottom"/>
          </w:tcPr>
          <w:p>
            <w:pPr>
              <w:spacing w:after="0"/>
              <w:rPr>
                <w:sz w:val="15"/>
                <w:szCs w:val="15"/>
                <w:color w:val="auto"/>
              </w:rPr>
            </w:pPr>
          </w:p>
        </w:tc>
        <w:tc>
          <w:tcPr>
            <w:tcW w:w="148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4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6"/>
              </w:rPr>
              <w:t>Net income (loss)........................................</w:t>
            </w:r>
          </w:p>
        </w:tc>
        <w:tc>
          <w:tcPr>
            <w:tcW w:w="5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(68.9)</w:t>
            </w:r>
          </w:p>
        </w:tc>
        <w:tc>
          <w:tcPr>
            <w:tcW w:w="17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 (247.1)</w:t>
            </w:r>
          </w:p>
        </w:tc>
        <w:tc>
          <w:tcPr>
            <w:tcW w:w="2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315.0</w:t>
            </w:r>
          </w:p>
        </w:tc>
      </w:tr>
      <w:tr>
        <w:trPr>
          <w:trHeight w:val="179"/>
        </w:trPr>
        <w:tc>
          <w:tcPr>
            <w:tcW w:w="5440" w:type="dxa"/>
            <w:vAlign w:val="bottom"/>
          </w:tcPr>
          <w:p>
            <w:pPr>
              <w:spacing w:after="0"/>
              <w:rPr>
                <w:sz w:val="15"/>
                <w:szCs w:val="15"/>
                <w:color w:val="auto"/>
              </w:rPr>
            </w:pPr>
          </w:p>
        </w:tc>
        <w:tc>
          <w:tcPr>
            <w:tcW w:w="148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5440" w:type="dxa"/>
            <w:vAlign w:val="bottom"/>
          </w:tcPr>
          <w:p>
            <w:pPr>
              <w:spacing w:after="0"/>
              <w:rPr>
                <w:sz w:val="20"/>
                <w:szCs w:val="20"/>
                <w:color w:val="auto"/>
              </w:rPr>
            </w:pPr>
            <w:r>
              <w:rPr>
                <w:rFonts w:ascii="Courier New" w:cs="Courier New" w:eastAsia="Courier New" w:hAnsi="Courier New"/>
                <w:sz w:val="16"/>
                <w:szCs w:val="16"/>
                <w:color w:val="auto"/>
              </w:rPr>
              <w:t>Earnings (loss) per share:</w:t>
            </w: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9"/>
        </w:trPr>
        <w:tc>
          <w:tcPr>
            <w:tcW w:w="54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Basic.................................................</w:t>
            </w:r>
          </w:p>
        </w:tc>
        <w:tc>
          <w:tcPr>
            <w:tcW w:w="5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(0.26)</w:t>
            </w:r>
          </w:p>
        </w:tc>
        <w:tc>
          <w:tcPr>
            <w:tcW w:w="17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  (1.15)</w:t>
            </w:r>
          </w:p>
        </w:tc>
        <w:tc>
          <w:tcPr>
            <w:tcW w:w="2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1.49</w:t>
            </w:r>
          </w:p>
        </w:tc>
      </w:tr>
      <w:tr>
        <w:trPr>
          <w:trHeight w:val="179"/>
        </w:trPr>
        <w:tc>
          <w:tcPr>
            <w:tcW w:w="54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Diluted...............................................</w:t>
            </w:r>
          </w:p>
        </w:tc>
        <w:tc>
          <w:tcPr>
            <w:tcW w:w="500" w:type="dxa"/>
            <w:vAlign w:val="bottom"/>
          </w:tcPr>
          <w:p>
            <w:pPr>
              <w:spacing w:after="0"/>
              <w:rPr>
                <w:sz w:val="15"/>
                <w:szCs w:val="15"/>
                <w:color w:val="auto"/>
              </w:rPr>
            </w:pPr>
          </w:p>
        </w:tc>
        <w:tc>
          <w:tcPr>
            <w:tcW w:w="9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(0.26)</w:t>
            </w:r>
          </w:p>
        </w:tc>
        <w:tc>
          <w:tcPr>
            <w:tcW w:w="17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(1.15)</w:t>
            </w:r>
          </w:p>
        </w:tc>
        <w:tc>
          <w:tcPr>
            <w:tcW w:w="20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1.44</w:t>
            </w:r>
          </w:p>
        </w:tc>
      </w:tr>
      <w:tr>
        <w:trPr>
          <w:trHeight w:val="179"/>
        </w:trPr>
        <w:tc>
          <w:tcPr>
            <w:tcW w:w="5440" w:type="dxa"/>
            <w:vAlign w:val="bottom"/>
          </w:tcPr>
          <w:p>
            <w:pPr>
              <w:spacing w:after="0" w:line="179" w:lineRule="exact"/>
              <w:rPr>
                <w:sz w:val="20"/>
                <w:szCs w:val="20"/>
                <w:color w:val="auto"/>
              </w:rPr>
            </w:pPr>
            <w:r>
              <w:rPr>
                <w:rFonts w:ascii="Courier New" w:cs="Courier New" w:eastAsia="Courier New" w:hAnsi="Courier New"/>
                <w:sz w:val="16"/>
                <w:szCs w:val="16"/>
                <w:color w:val="auto"/>
              </w:rPr>
              <w:t>Number of shares used in per share calculation:</w:t>
            </w:r>
          </w:p>
        </w:tc>
        <w:tc>
          <w:tcPr>
            <w:tcW w:w="5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54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Basic.................................................</w:t>
            </w:r>
          </w:p>
        </w:tc>
        <w:tc>
          <w:tcPr>
            <w:tcW w:w="500" w:type="dxa"/>
            <w:vAlign w:val="bottom"/>
          </w:tcPr>
          <w:p>
            <w:pPr>
              <w:spacing w:after="0"/>
              <w:rPr>
                <w:sz w:val="15"/>
                <w:szCs w:val="15"/>
                <w:color w:val="auto"/>
              </w:rPr>
            </w:pPr>
          </w:p>
        </w:tc>
        <w:tc>
          <w:tcPr>
            <w:tcW w:w="9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260.7</w:t>
            </w:r>
          </w:p>
        </w:tc>
        <w:tc>
          <w:tcPr>
            <w:tcW w:w="172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rPr>
              <w:t>215.6</w:t>
            </w:r>
          </w:p>
        </w:tc>
        <w:tc>
          <w:tcPr>
            <w:tcW w:w="20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211.9</w:t>
            </w:r>
          </w:p>
        </w:tc>
      </w:tr>
      <w:tr>
        <w:trPr>
          <w:trHeight w:val="179"/>
        </w:trPr>
        <w:tc>
          <w:tcPr>
            <w:tcW w:w="54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Diluted...............................................</w:t>
            </w:r>
          </w:p>
        </w:tc>
        <w:tc>
          <w:tcPr>
            <w:tcW w:w="500" w:type="dxa"/>
            <w:vAlign w:val="bottom"/>
          </w:tcPr>
          <w:p>
            <w:pPr>
              <w:spacing w:after="0"/>
              <w:rPr>
                <w:sz w:val="15"/>
                <w:szCs w:val="15"/>
                <w:color w:val="auto"/>
              </w:rPr>
            </w:pPr>
          </w:p>
        </w:tc>
        <w:tc>
          <w:tcPr>
            <w:tcW w:w="9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260.7</w:t>
            </w:r>
          </w:p>
        </w:tc>
        <w:tc>
          <w:tcPr>
            <w:tcW w:w="172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rPr>
              <w:t>215.6</w:t>
            </w:r>
          </w:p>
        </w:tc>
        <w:tc>
          <w:tcPr>
            <w:tcW w:w="20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219.3</w:t>
            </w:r>
          </w:p>
        </w:tc>
      </w:tr>
    </w:tbl>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Certain Fiscal 1998 and 1997 amounts have been restated as a result of a</w:t>
      </w:r>
    </w:p>
    <w:p>
      <w:pPr>
        <w:jc w:val="center"/>
        <w:ind w:right="2779"/>
        <w:spacing w:after="0" w:line="236" w:lineRule="auto"/>
        <w:rPr>
          <w:sz w:val="20"/>
          <w:szCs w:val="20"/>
          <w:color w:val="auto"/>
        </w:rPr>
      </w:pPr>
      <w:r>
        <w:rPr>
          <w:rFonts w:ascii="Courier New" w:cs="Courier New" w:eastAsia="Courier New" w:hAnsi="Courier New"/>
          <w:sz w:val="16"/>
          <w:szCs w:val="16"/>
          <w:color w:val="auto"/>
        </w:rPr>
        <w:t>pooling-of-interests merger.</w:t>
      </w:r>
    </w:p>
    <w:p>
      <w:pPr>
        <w:jc w:val="center"/>
        <w:ind w:right="2779"/>
        <w:spacing w:after="0" w:line="237" w:lineRule="auto"/>
        <w:rPr>
          <w:sz w:val="20"/>
          <w:szCs w:val="20"/>
          <w:color w:val="auto"/>
        </w:rPr>
      </w:pPr>
      <w:r>
        <w:rPr>
          <w:rFonts w:ascii="Courier New" w:cs="Courier New" w:eastAsia="Courier New" w:hAnsi="Courier New"/>
          <w:sz w:val="16"/>
          <w:szCs w:val="16"/>
          <w:color w:val="auto"/>
        </w:rPr>
        <w:t>See accompanying notes to consolidated financial statements.</w:t>
      </w:r>
    </w:p>
    <w:p>
      <w:pPr>
        <w:spacing w:after="0" w:line="177"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29/57</w:t>
      </w:r>
    </w:p>
    <w:p>
      <w:pPr>
        <w:sectPr>
          <w:pgSz w:w="11900" w:h="16838" w:orient="portrait"/>
          <w:cols w:equalWidth="0" w:num="1">
            <w:col w:w="10219"/>
          </w:cols>
          <w:pgMar w:left="240" w:top="648" w:right="1440" w:bottom="1440" w:gutter="0" w:footer="0" w:header="0"/>
        </w:sectPr>
      </w:pPr>
    </w:p>
    <w:bookmarkStart w:id="29" w:name="page30"/>
    <w:bookmarkEnd w:id="29"/>
    <w:p>
      <w:pPr>
        <w:jc w:val="center"/>
        <w:ind w:right="3260"/>
        <w:spacing w:after="0"/>
        <w:rPr>
          <w:sz w:val="20"/>
          <w:szCs w:val="20"/>
          <w:color w:val="auto"/>
        </w:rPr>
      </w:pPr>
      <w:r>
        <w:rPr>
          <w:rFonts w:ascii="Courier New" w:cs="Courier New" w:eastAsia="Courier New" w:hAnsi="Courier New"/>
          <w:sz w:val="16"/>
          <w:szCs w:val="16"/>
          <w:color w:val="auto"/>
        </w:rPr>
        <w:t>MICRON TECHNOLOGY, INC.</w:t>
      </w:r>
    </w:p>
    <w:p>
      <w:pPr>
        <w:spacing w:after="0" w:line="177"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CONSOLIDATED BALANCE SHEETS</w:t>
      </w:r>
    </w:p>
    <w:tbl>
      <w:tblPr>
        <w:tblLayout w:type="fixed"/>
        <w:tblInd w:w="0" w:type="dxa"/>
        <w:tblCellMar>
          <w:top w:w="0" w:type="dxa"/>
          <w:left w:w="0" w:type="dxa"/>
          <w:bottom w:w="0" w:type="dxa"/>
          <w:right w:w="0" w:type="dxa"/>
        </w:tblCellMar>
      </w:tblPr>
      <w:tr>
        <w:trPr>
          <w:trHeight w:val="179"/>
        </w:trPr>
        <w:tc>
          <w:tcPr>
            <w:tcW w:w="6780" w:type="dxa"/>
            <w:vAlign w:val="bottom"/>
          </w:tcPr>
          <w:p>
            <w:pPr>
              <w:ind w:left="1480"/>
              <w:spacing w:after="0" w:line="179" w:lineRule="exact"/>
              <w:rPr>
                <w:sz w:val="20"/>
                <w:szCs w:val="20"/>
                <w:color w:val="auto"/>
              </w:rPr>
            </w:pPr>
            <w:r>
              <w:rPr>
                <w:rFonts w:ascii="Courier New" w:cs="Courier New" w:eastAsia="Courier New" w:hAnsi="Courier New"/>
                <w:sz w:val="16"/>
                <w:szCs w:val="16"/>
                <w:color w:val="auto"/>
              </w:rPr>
              <w:t>(Dollars in millions, except for par value data)</w:t>
            </w: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716"/>
        </w:trPr>
        <w:tc>
          <w:tcPr>
            <w:tcW w:w="6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0" w:type="dxa"/>
            <w:vAlign w:val="bottom"/>
          </w:tcPr>
          <w:p>
            <w:pPr>
              <w:ind w:left="100"/>
              <w:spacing w:after="0"/>
              <w:rPr>
                <w:sz w:val="20"/>
                <w:szCs w:val="20"/>
                <w:color w:val="auto"/>
              </w:rPr>
            </w:pPr>
            <w:r>
              <w:rPr>
                <w:rFonts w:ascii="Courier New" w:cs="Courier New" w:eastAsia="Courier New" w:hAnsi="Courier New"/>
                <w:sz w:val="16"/>
                <w:szCs w:val="16"/>
                <w:color w:val="auto"/>
              </w:rPr>
              <w:t>As of</w:t>
            </w:r>
          </w:p>
        </w:tc>
        <w:tc>
          <w:tcPr>
            <w:tcW w:w="740" w:type="dxa"/>
            <w:vAlign w:val="bottom"/>
          </w:tcPr>
          <w:p>
            <w:pPr>
              <w:spacing w:after="0"/>
              <w:rPr>
                <w:sz w:val="24"/>
                <w:szCs w:val="24"/>
                <w:color w:val="auto"/>
              </w:rPr>
            </w:pPr>
          </w:p>
        </w:tc>
      </w:tr>
      <w:tr>
        <w:trPr>
          <w:trHeight w:val="179"/>
        </w:trPr>
        <w:tc>
          <w:tcPr>
            <w:tcW w:w="6780" w:type="dxa"/>
            <w:vAlign w:val="bottom"/>
          </w:tcPr>
          <w:p>
            <w:pPr>
              <w:spacing w:after="0"/>
              <w:rPr>
                <w:sz w:val="15"/>
                <w:szCs w:val="15"/>
                <w:color w:val="auto"/>
              </w:rPr>
            </w:pPr>
          </w:p>
        </w:tc>
        <w:tc>
          <w:tcPr>
            <w:tcW w:w="3820" w:type="dxa"/>
            <w:vAlign w:val="bottom"/>
            <w:gridSpan w:val="4"/>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6780" w:type="dxa"/>
            <w:vAlign w:val="bottom"/>
          </w:tcPr>
          <w:p>
            <w:pPr>
              <w:spacing w:after="0"/>
              <w:rPr>
                <w:sz w:val="15"/>
                <w:szCs w:val="15"/>
                <w:color w:val="auto"/>
              </w:rPr>
            </w:pPr>
          </w:p>
        </w:tc>
        <w:tc>
          <w:tcPr>
            <w:tcW w:w="168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September 2,</w:t>
            </w:r>
          </w:p>
        </w:tc>
        <w:tc>
          <w:tcPr>
            <w:tcW w:w="214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September 3,</w:t>
            </w:r>
          </w:p>
        </w:tc>
      </w:tr>
      <w:tr>
        <w:trPr>
          <w:trHeight w:val="179"/>
        </w:trPr>
        <w:tc>
          <w:tcPr>
            <w:tcW w:w="6780" w:type="dxa"/>
            <w:vAlign w:val="bottom"/>
          </w:tcPr>
          <w:p>
            <w:pPr>
              <w:spacing w:after="0"/>
              <w:rPr>
                <w:sz w:val="15"/>
                <w:szCs w:val="15"/>
                <w:color w:val="auto"/>
              </w:rPr>
            </w:pPr>
          </w:p>
        </w:tc>
        <w:tc>
          <w:tcPr>
            <w:tcW w:w="1680" w:type="dxa"/>
            <w:vAlign w:val="bottom"/>
            <w:gridSpan w:val="2"/>
          </w:tcPr>
          <w:p>
            <w:pPr>
              <w:ind w:left="760"/>
              <w:spacing w:after="0" w:line="179" w:lineRule="exact"/>
              <w:rPr>
                <w:sz w:val="20"/>
                <w:szCs w:val="20"/>
                <w:color w:val="auto"/>
              </w:rPr>
            </w:pPr>
            <w:r>
              <w:rPr>
                <w:rFonts w:ascii="Courier New" w:cs="Courier New" w:eastAsia="Courier New" w:hAnsi="Courier New"/>
                <w:sz w:val="16"/>
                <w:szCs w:val="16"/>
                <w:color w:val="auto"/>
              </w:rPr>
              <w:t>1999</w:t>
            </w:r>
          </w:p>
        </w:tc>
        <w:tc>
          <w:tcPr>
            <w:tcW w:w="2140" w:type="dxa"/>
            <w:vAlign w:val="bottom"/>
            <w:gridSpan w:val="2"/>
          </w:tcPr>
          <w:p>
            <w:pPr>
              <w:ind w:left="1300"/>
              <w:spacing w:after="0" w:line="179" w:lineRule="exact"/>
              <w:rPr>
                <w:sz w:val="20"/>
                <w:szCs w:val="20"/>
                <w:color w:val="auto"/>
              </w:rPr>
            </w:pPr>
            <w:r>
              <w:rPr>
                <w:rFonts w:ascii="Courier New" w:cs="Courier New" w:eastAsia="Courier New" w:hAnsi="Courier New"/>
                <w:sz w:val="16"/>
                <w:szCs w:val="16"/>
                <w:color w:val="auto"/>
              </w:rPr>
              <w:t>1998</w:t>
            </w:r>
          </w:p>
        </w:tc>
      </w:tr>
      <w:tr>
        <w:trPr>
          <w:trHeight w:val="179"/>
        </w:trPr>
        <w:tc>
          <w:tcPr>
            <w:tcW w:w="6780" w:type="dxa"/>
            <w:vAlign w:val="bottom"/>
          </w:tcPr>
          <w:p>
            <w:pPr>
              <w:spacing w:after="0"/>
              <w:rPr>
                <w:sz w:val="15"/>
                <w:szCs w:val="15"/>
                <w:color w:val="auto"/>
              </w:rPr>
            </w:pPr>
          </w:p>
        </w:tc>
        <w:tc>
          <w:tcPr>
            <w:tcW w:w="168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214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6780" w:type="dxa"/>
            <w:vAlign w:val="bottom"/>
          </w:tcPr>
          <w:p>
            <w:pPr>
              <w:ind w:left="2880"/>
              <w:spacing w:after="0"/>
              <w:rPr>
                <w:sz w:val="20"/>
                <w:szCs w:val="20"/>
                <w:color w:val="auto"/>
              </w:rPr>
            </w:pPr>
            <w:r>
              <w:rPr>
                <w:rFonts w:ascii="Courier New" w:cs="Courier New" w:eastAsia="Courier New" w:hAnsi="Courier New"/>
                <w:sz w:val="16"/>
                <w:szCs w:val="16"/>
                <w:color w:val="auto"/>
              </w:rPr>
              <w:t>ASSETS</w:t>
            </w: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58"/>
        </w:trPr>
        <w:tc>
          <w:tcPr>
            <w:tcW w:w="6780" w:type="dxa"/>
            <w:vAlign w:val="bottom"/>
          </w:tcPr>
          <w:p>
            <w:pPr>
              <w:spacing w:after="0"/>
              <w:rPr>
                <w:sz w:val="20"/>
                <w:szCs w:val="20"/>
                <w:color w:val="auto"/>
              </w:rPr>
            </w:pPr>
            <w:r>
              <w:rPr>
                <w:rFonts w:ascii="Courier New" w:cs="Courier New" w:eastAsia="Courier New" w:hAnsi="Courier New"/>
                <w:sz w:val="16"/>
                <w:szCs w:val="16"/>
                <w:color w:val="auto"/>
              </w:rPr>
              <w:t>Cash and equivalents..................................................</w:t>
            </w:r>
          </w:p>
        </w:tc>
        <w:tc>
          <w:tcPr>
            <w:tcW w:w="840" w:type="dxa"/>
            <w:vAlign w:val="bottom"/>
          </w:tcPr>
          <w:p>
            <w:pPr>
              <w:ind w:left="76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294.6</w:t>
            </w:r>
          </w:p>
        </w:tc>
        <w:tc>
          <w:tcPr>
            <w:tcW w:w="1400" w:type="dxa"/>
            <w:vAlign w:val="bottom"/>
          </w:tcPr>
          <w:p>
            <w:pPr>
              <w:ind w:left="1300"/>
              <w:spacing w:after="0"/>
              <w:rPr>
                <w:sz w:val="20"/>
                <w:szCs w:val="20"/>
                <w:color w:val="auto"/>
              </w:rPr>
            </w:pPr>
            <w:r>
              <w:rPr>
                <w:rFonts w:ascii="Courier New" w:cs="Courier New" w:eastAsia="Courier New" w:hAnsi="Courier New"/>
                <w:sz w:val="16"/>
                <w:szCs w:val="16"/>
                <w:color w:val="auto"/>
                <w:w w:val="82"/>
              </w:rPr>
              <w:t>$</w:t>
            </w:r>
          </w:p>
        </w:tc>
        <w:tc>
          <w:tcPr>
            <w:tcW w:w="7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558.8</w:t>
            </w:r>
          </w:p>
        </w:tc>
      </w:tr>
      <w:tr>
        <w:trPr>
          <w:trHeight w:val="179"/>
        </w:trPr>
        <w:tc>
          <w:tcPr>
            <w:tcW w:w="6780" w:type="dxa"/>
            <w:vAlign w:val="bottom"/>
          </w:tcPr>
          <w:p>
            <w:pPr>
              <w:spacing w:after="0" w:line="179" w:lineRule="exact"/>
              <w:rPr>
                <w:sz w:val="20"/>
                <w:szCs w:val="20"/>
                <w:color w:val="auto"/>
              </w:rPr>
            </w:pPr>
            <w:r>
              <w:rPr>
                <w:rFonts w:ascii="Courier New" w:cs="Courier New" w:eastAsia="Courier New" w:hAnsi="Courier New"/>
                <w:sz w:val="16"/>
                <w:szCs w:val="16"/>
                <w:color w:val="auto"/>
              </w:rPr>
              <w:t>Liquid investments....................................................</w:t>
            </w:r>
          </w:p>
        </w:tc>
        <w:tc>
          <w:tcPr>
            <w:tcW w:w="840" w:type="dxa"/>
            <w:vAlign w:val="bottom"/>
          </w:tcPr>
          <w:p>
            <w:pPr>
              <w:spacing w:after="0"/>
              <w:rPr>
                <w:sz w:val="15"/>
                <w:szCs w:val="15"/>
                <w:color w:val="auto"/>
              </w:rPr>
            </w:pP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5"/>
              </w:rPr>
              <w:t>1,318.9</w:t>
            </w:r>
          </w:p>
        </w:tc>
        <w:tc>
          <w:tcPr>
            <w:tcW w:w="140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90.8</w:t>
            </w:r>
          </w:p>
        </w:tc>
      </w:tr>
      <w:tr>
        <w:trPr>
          <w:trHeight w:val="179"/>
        </w:trPr>
        <w:tc>
          <w:tcPr>
            <w:tcW w:w="6780" w:type="dxa"/>
            <w:vAlign w:val="bottom"/>
          </w:tcPr>
          <w:p>
            <w:pPr>
              <w:spacing w:after="0" w:line="179" w:lineRule="exact"/>
              <w:rPr>
                <w:sz w:val="20"/>
                <w:szCs w:val="20"/>
                <w:color w:val="auto"/>
              </w:rPr>
            </w:pPr>
            <w:r>
              <w:rPr>
                <w:rFonts w:ascii="Courier New" w:cs="Courier New" w:eastAsia="Courier New" w:hAnsi="Courier New"/>
                <w:sz w:val="16"/>
                <w:szCs w:val="16"/>
                <w:color w:val="auto"/>
              </w:rPr>
              <w:t>Receivables...........................................................</w:t>
            </w:r>
          </w:p>
        </w:tc>
        <w:tc>
          <w:tcPr>
            <w:tcW w:w="840" w:type="dxa"/>
            <w:vAlign w:val="bottom"/>
          </w:tcPr>
          <w:p>
            <w:pPr>
              <w:spacing w:after="0"/>
              <w:rPr>
                <w:sz w:val="15"/>
                <w:szCs w:val="15"/>
                <w:color w:val="auto"/>
              </w:rPr>
            </w:pP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692.6</w:t>
            </w:r>
          </w:p>
        </w:tc>
        <w:tc>
          <w:tcPr>
            <w:tcW w:w="140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489.5</w:t>
            </w:r>
          </w:p>
        </w:tc>
      </w:tr>
      <w:tr>
        <w:trPr>
          <w:trHeight w:val="179"/>
        </w:trPr>
        <w:tc>
          <w:tcPr>
            <w:tcW w:w="6780" w:type="dxa"/>
            <w:vAlign w:val="bottom"/>
          </w:tcPr>
          <w:p>
            <w:pPr>
              <w:spacing w:after="0" w:line="179" w:lineRule="exact"/>
              <w:rPr>
                <w:sz w:val="20"/>
                <w:szCs w:val="20"/>
                <w:color w:val="auto"/>
              </w:rPr>
            </w:pPr>
            <w:r>
              <w:rPr>
                <w:rFonts w:ascii="Courier New" w:cs="Courier New" w:eastAsia="Courier New" w:hAnsi="Courier New"/>
                <w:sz w:val="16"/>
                <w:szCs w:val="16"/>
                <w:color w:val="auto"/>
              </w:rPr>
              <w:t>Inventories...........................................................</w:t>
            </w:r>
          </w:p>
        </w:tc>
        <w:tc>
          <w:tcPr>
            <w:tcW w:w="840" w:type="dxa"/>
            <w:vAlign w:val="bottom"/>
          </w:tcPr>
          <w:p>
            <w:pPr>
              <w:spacing w:after="0"/>
              <w:rPr>
                <w:sz w:val="15"/>
                <w:szCs w:val="15"/>
                <w:color w:val="auto"/>
              </w:rPr>
            </w:pP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365.7</w:t>
            </w:r>
          </w:p>
        </w:tc>
        <w:tc>
          <w:tcPr>
            <w:tcW w:w="140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291.6</w:t>
            </w:r>
          </w:p>
        </w:tc>
      </w:tr>
      <w:tr>
        <w:trPr>
          <w:trHeight w:val="179"/>
        </w:trPr>
        <w:tc>
          <w:tcPr>
            <w:tcW w:w="6780" w:type="dxa"/>
            <w:vAlign w:val="bottom"/>
          </w:tcPr>
          <w:p>
            <w:pPr>
              <w:spacing w:after="0" w:line="179" w:lineRule="exact"/>
              <w:rPr>
                <w:sz w:val="20"/>
                <w:szCs w:val="20"/>
                <w:color w:val="auto"/>
              </w:rPr>
            </w:pPr>
            <w:r>
              <w:rPr>
                <w:rFonts w:ascii="Courier New" w:cs="Courier New" w:eastAsia="Courier New" w:hAnsi="Courier New"/>
                <w:sz w:val="16"/>
                <w:szCs w:val="16"/>
                <w:color w:val="auto"/>
              </w:rPr>
              <w:t>Prepaid expenses......................................................</w:t>
            </w:r>
          </w:p>
        </w:tc>
        <w:tc>
          <w:tcPr>
            <w:tcW w:w="840" w:type="dxa"/>
            <w:vAlign w:val="bottom"/>
          </w:tcPr>
          <w:p>
            <w:pPr>
              <w:spacing w:after="0"/>
              <w:rPr>
                <w:sz w:val="15"/>
                <w:szCs w:val="15"/>
                <w:color w:val="auto"/>
              </w:rPr>
            </w:pP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38.3</w:t>
            </w:r>
          </w:p>
        </w:tc>
        <w:tc>
          <w:tcPr>
            <w:tcW w:w="140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8.5</w:t>
            </w:r>
          </w:p>
        </w:tc>
      </w:tr>
      <w:tr>
        <w:trPr>
          <w:trHeight w:val="179"/>
        </w:trPr>
        <w:tc>
          <w:tcPr>
            <w:tcW w:w="6780" w:type="dxa"/>
            <w:vAlign w:val="bottom"/>
          </w:tcPr>
          <w:p>
            <w:pPr>
              <w:spacing w:after="0" w:line="179" w:lineRule="exact"/>
              <w:rPr>
                <w:sz w:val="20"/>
                <w:szCs w:val="20"/>
                <w:color w:val="auto"/>
              </w:rPr>
            </w:pPr>
            <w:r>
              <w:rPr>
                <w:rFonts w:ascii="Courier New" w:cs="Courier New" w:eastAsia="Courier New" w:hAnsi="Courier New"/>
                <w:sz w:val="16"/>
                <w:szCs w:val="16"/>
                <w:color w:val="auto"/>
              </w:rPr>
              <w:t>Deferred income taxes.................................................</w:t>
            </w:r>
          </w:p>
        </w:tc>
        <w:tc>
          <w:tcPr>
            <w:tcW w:w="840" w:type="dxa"/>
            <w:vAlign w:val="bottom"/>
          </w:tcPr>
          <w:p>
            <w:pPr>
              <w:spacing w:after="0"/>
              <w:rPr>
                <w:sz w:val="15"/>
                <w:szCs w:val="15"/>
                <w:color w:val="auto"/>
              </w:rPr>
            </w:pP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119.9</w:t>
            </w:r>
          </w:p>
        </w:tc>
        <w:tc>
          <w:tcPr>
            <w:tcW w:w="140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61.7</w:t>
            </w:r>
          </w:p>
        </w:tc>
      </w:tr>
      <w:tr>
        <w:trPr>
          <w:trHeight w:val="179"/>
        </w:trPr>
        <w:tc>
          <w:tcPr>
            <w:tcW w:w="6780" w:type="dxa"/>
            <w:vAlign w:val="bottom"/>
          </w:tcPr>
          <w:p>
            <w:pPr>
              <w:spacing w:after="0"/>
              <w:rPr>
                <w:sz w:val="15"/>
                <w:szCs w:val="15"/>
                <w:color w:val="auto"/>
              </w:rPr>
            </w:pPr>
          </w:p>
        </w:tc>
        <w:tc>
          <w:tcPr>
            <w:tcW w:w="168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214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67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9"/>
              </w:rPr>
              <w:t>Total current assets................................................</w:t>
            </w:r>
          </w:p>
        </w:tc>
        <w:tc>
          <w:tcPr>
            <w:tcW w:w="840" w:type="dxa"/>
            <w:vAlign w:val="bottom"/>
          </w:tcPr>
          <w:p>
            <w:pPr>
              <w:spacing w:after="0"/>
              <w:rPr>
                <w:sz w:val="15"/>
                <w:szCs w:val="15"/>
                <w:color w:val="auto"/>
              </w:rPr>
            </w:pP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5"/>
              </w:rPr>
              <w:t>2,830.0</w:t>
            </w:r>
          </w:p>
        </w:tc>
        <w:tc>
          <w:tcPr>
            <w:tcW w:w="140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2"/>
              </w:rPr>
              <w:t>1,500.9</w:t>
            </w:r>
          </w:p>
        </w:tc>
      </w:tr>
      <w:tr>
        <w:trPr>
          <w:trHeight w:val="179"/>
        </w:trPr>
        <w:tc>
          <w:tcPr>
            <w:tcW w:w="6780" w:type="dxa"/>
            <w:vAlign w:val="bottom"/>
          </w:tcPr>
          <w:p>
            <w:pPr>
              <w:spacing w:after="0" w:line="179" w:lineRule="exact"/>
              <w:rPr>
                <w:sz w:val="20"/>
                <w:szCs w:val="20"/>
                <w:color w:val="auto"/>
              </w:rPr>
            </w:pPr>
            <w:r>
              <w:rPr>
                <w:rFonts w:ascii="Courier New" w:cs="Courier New" w:eastAsia="Courier New" w:hAnsi="Courier New"/>
                <w:sz w:val="16"/>
                <w:szCs w:val="16"/>
                <w:color w:val="auto"/>
              </w:rPr>
              <w:t>Product and process technology, net...................................</w:t>
            </w:r>
          </w:p>
        </w:tc>
        <w:tc>
          <w:tcPr>
            <w:tcW w:w="840" w:type="dxa"/>
            <w:vAlign w:val="bottom"/>
          </w:tcPr>
          <w:p>
            <w:pPr>
              <w:spacing w:after="0"/>
              <w:rPr>
                <w:sz w:val="15"/>
                <w:szCs w:val="15"/>
                <w:color w:val="auto"/>
              </w:rPr>
            </w:pP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212.6</w:t>
            </w:r>
          </w:p>
        </w:tc>
        <w:tc>
          <w:tcPr>
            <w:tcW w:w="140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84.9</w:t>
            </w:r>
          </w:p>
        </w:tc>
      </w:tr>
      <w:tr>
        <w:trPr>
          <w:trHeight w:val="179"/>
        </w:trPr>
        <w:tc>
          <w:tcPr>
            <w:tcW w:w="6780" w:type="dxa"/>
            <w:vAlign w:val="bottom"/>
          </w:tcPr>
          <w:p>
            <w:pPr>
              <w:spacing w:after="0" w:line="179" w:lineRule="exact"/>
              <w:rPr>
                <w:sz w:val="20"/>
                <w:szCs w:val="20"/>
                <w:color w:val="auto"/>
              </w:rPr>
            </w:pPr>
            <w:r>
              <w:rPr>
                <w:rFonts w:ascii="Courier New" w:cs="Courier New" w:eastAsia="Courier New" w:hAnsi="Courier New"/>
                <w:sz w:val="16"/>
                <w:szCs w:val="16"/>
                <w:color w:val="auto"/>
              </w:rPr>
              <w:t>Property, plant and equipment, net....................................</w:t>
            </w:r>
          </w:p>
        </w:tc>
        <w:tc>
          <w:tcPr>
            <w:tcW w:w="840" w:type="dxa"/>
            <w:vAlign w:val="bottom"/>
          </w:tcPr>
          <w:p>
            <w:pPr>
              <w:spacing w:after="0"/>
              <w:rPr>
                <w:sz w:val="15"/>
                <w:szCs w:val="15"/>
                <w:color w:val="auto"/>
              </w:rPr>
            </w:pP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5"/>
              </w:rPr>
              <w:t>3,799.6</w:t>
            </w:r>
          </w:p>
        </w:tc>
        <w:tc>
          <w:tcPr>
            <w:tcW w:w="140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2"/>
              </w:rPr>
              <w:t>3,035.3</w:t>
            </w:r>
          </w:p>
        </w:tc>
      </w:tr>
      <w:tr>
        <w:trPr>
          <w:trHeight w:val="179"/>
        </w:trPr>
        <w:tc>
          <w:tcPr>
            <w:tcW w:w="6780" w:type="dxa"/>
            <w:vAlign w:val="bottom"/>
          </w:tcPr>
          <w:p>
            <w:pPr>
              <w:spacing w:after="0" w:line="179" w:lineRule="exact"/>
              <w:rPr>
                <w:sz w:val="20"/>
                <w:szCs w:val="20"/>
                <w:color w:val="auto"/>
              </w:rPr>
            </w:pPr>
            <w:r>
              <w:rPr>
                <w:rFonts w:ascii="Courier New" w:cs="Courier New" w:eastAsia="Courier New" w:hAnsi="Courier New"/>
                <w:sz w:val="16"/>
                <w:szCs w:val="16"/>
                <w:color w:val="auto"/>
              </w:rPr>
              <w:t>Other assets..........................................................</w:t>
            </w:r>
          </w:p>
        </w:tc>
        <w:tc>
          <w:tcPr>
            <w:tcW w:w="840" w:type="dxa"/>
            <w:vAlign w:val="bottom"/>
          </w:tcPr>
          <w:p>
            <w:pPr>
              <w:spacing w:after="0"/>
              <w:rPr>
                <w:sz w:val="15"/>
                <w:szCs w:val="15"/>
                <w:color w:val="auto"/>
              </w:rPr>
            </w:pP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123.0</w:t>
            </w:r>
          </w:p>
        </w:tc>
        <w:tc>
          <w:tcPr>
            <w:tcW w:w="140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82.4</w:t>
            </w:r>
          </w:p>
        </w:tc>
      </w:tr>
      <w:tr>
        <w:trPr>
          <w:trHeight w:val="179"/>
        </w:trPr>
        <w:tc>
          <w:tcPr>
            <w:tcW w:w="6780" w:type="dxa"/>
            <w:vAlign w:val="bottom"/>
          </w:tcPr>
          <w:p>
            <w:pPr>
              <w:spacing w:after="0"/>
              <w:rPr>
                <w:sz w:val="15"/>
                <w:szCs w:val="15"/>
                <w:color w:val="auto"/>
              </w:rPr>
            </w:pPr>
          </w:p>
        </w:tc>
        <w:tc>
          <w:tcPr>
            <w:tcW w:w="168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214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67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Total assets.....................................................</w:t>
            </w:r>
          </w:p>
        </w:tc>
        <w:tc>
          <w:tcPr>
            <w:tcW w:w="168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$6,965.2</w:t>
            </w:r>
          </w:p>
        </w:tc>
        <w:tc>
          <w:tcPr>
            <w:tcW w:w="214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$4,703.5</w:t>
            </w:r>
          </w:p>
        </w:tc>
      </w:tr>
      <w:tr>
        <w:trPr>
          <w:trHeight w:val="179"/>
        </w:trPr>
        <w:tc>
          <w:tcPr>
            <w:tcW w:w="6780" w:type="dxa"/>
            <w:vAlign w:val="bottom"/>
          </w:tcPr>
          <w:p>
            <w:pPr>
              <w:spacing w:after="0"/>
              <w:rPr>
                <w:sz w:val="15"/>
                <w:szCs w:val="15"/>
                <w:color w:val="auto"/>
              </w:rPr>
            </w:pPr>
          </w:p>
        </w:tc>
        <w:tc>
          <w:tcPr>
            <w:tcW w:w="168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214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6780" w:type="dxa"/>
            <w:vAlign w:val="bottom"/>
          </w:tcPr>
          <w:p>
            <w:pPr>
              <w:ind w:left="1480"/>
              <w:spacing w:after="0"/>
              <w:rPr>
                <w:sz w:val="20"/>
                <w:szCs w:val="20"/>
                <w:color w:val="auto"/>
              </w:rPr>
            </w:pPr>
            <w:r>
              <w:rPr>
                <w:rFonts w:ascii="Courier New" w:cs="Courier New" w:eastAsia="Courier New" w:hAnsi="Courier New"/>
                <w:sz w:val="16"/>
                <w:szCs w:val="16"/>
                <w:color w:val="auto"/>
              </w:rPr>
              <w:t>LIABILITIES AND SHAREHOLDERS' EQUITY</w:t>
            </w: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58"/>
        </w:trPr>
        <w:tc>
          <w:tcPr>
            <w:tcW w:w="6780" w:type="dxa"/>
            <w:vAlign w:val="bottom"/>
          </w:tcPr>
          <w:p>
            <w:pPr>
              <w:spacing w:after="0"/>
              <w:rPr>
                <w:sz w:val="20"/>
                <w:szCs w:val="20"/>
                <w:color w:val="auto"/>
              </w:rPr>
            </w:pPr>
            <w:r>
              <w:rPr>
                <w:rFonts w:ascii="Courier New" w:cs="Courier New" w:eastAsia="Courier New" w:hAnsi="Courier New"/>
                <w:sz w:val="16"/>
                <w:szCs w:val="16"/>
                <w:color w:val="auto"/>
              </w:rPr>
              <w:t>Accounts payable and accrued expenses.................................</w:t>
            </w:r>
          </w:p>
        </w:tc>
        <w:tc>
          <w:tcPr>
            <w:tcW w:w="840" w:type="dxa"/>
            <w:vAlign w:val="bottom"/>
          </w:tcPr>
          <w:p>
            <w:pPr>
              <w:ind w:left="76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705.4</w:t>
            </w:r>
          </w:p>
        </w:tc>
        <w:tc>
          <w:tcPr>
            <w:tcW w:w="1400" w:type="dxa"/>
            <w:vAlign w:val="bottom"/>
          </w:tcPr>
          <w:p>
            <w:pPr>
              <w:ind w:left="1300"/>
              <w:spacing w:after="0"/>
              <w:rPr>
                <w:sz w:val="20"/>
                <w:szCs w:val="20"/>
                <w:color w:val="auto"/>
              </w:rPr>
            </w:pPr>
            <w:r>
              <w:rPr>
                <w:rFonts w:ascii="Courier New" w:cs="Courier New" w:eastAsia="Courier New" w:hAnsi="Courier New"/>
                <w:sz w:val="16"/>
                <w:szCs w:val="16"/>
                <w:color w:val="auto"/>
                <w:w w:val="82"/>
              </w:rPr>
              <w:t>$</w:t>
            </w:r>
          </w:p>
        </w:tc>
        <w:tc>
          <w:tcPr>
            <w:tcW w:w="7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460.7</w:t>
            </w:r>
          </w:p>
        </w:tc>
      </w:tr>
      <w:tr>
        <w:trPr>
          <w:trHeight w:val="179"/>
        </w:trPr>
        <w:tc>
          <w:tcPr>
            <w:tcW w:w="6780" w:type="dxa"/>
            <w:vAlign w:val="bottom"/>
          </w:tcPr>
          <w:p>
            <w:pPr>
              <w:spacing w:after="0" w:line="179" w:lineRule="exact"/>
              <w:rPr>
                <w:sz w:val="20"/>
                <w:szCs w:val="20"/>
                <w:color w:val="auto"/>
              </w:rPr>
            </w:pPr>
            <w:r>
              <w:rPr>
                <w:rFonts w:ascii="Courier New" w:cs="Courier New" w:eastAsia="Courier New" w:hAnsi="Courier New"/>
                <w:sz w:val="16"/>
                <w:szCs w:val="16"/>
                <w:color w:val="auto"/>
              </w:rPr>
              <w:t>Short-term debt.......................................................</w:t>
            </w:r>
          </w:p>
        </w:tc>
        <w:tc>
          <w:tcPr>
            <w:tcW w:w="840" w:type="dxa"/>
            <w:vAlign w:val="bottom"/>
          </w:tcPr>
          <w:p>
            <w:pPr>
              <w:spacing w:after="0"/>
              <w:rPr>
                <w:sz w:val="15"/>
                <w:szCs w:val="15"/>
                <w:color w:val="auto"/>
              </w:rPr>
            </w:pP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10.1</w:t>
            </w:r>
          </w:p>
        </w:tc>
      </w:tr>
      <w:tr>
        <w:trPr>
          <w:trHeight w:val="179"/>
        </w:trPr>
        <w:tc>
          <w:tcPr>
            <w:tcW w:w="6780" w:type="dxa"/>
            <w:vAlign w:val="bottom"/>
          </w:tcPr>
          <w:p>
            <w:pPr>
              <w:spacing w:after="0" w:line="179" w:lineRule="exact"/>
              <w:rPr>
                <w:sz w:val="20"/>
                <w:szCs w:val="20"/>
                <w:color w:val="auto"/>
              </w:rPr>
            </w:pPr>
            <w:r>
              <w:rPr>
                <w:rFonts w:ascii="Courier New" w:cs="Courier New" w:eastAsia="Courier New" w:hAnsi="Courier New"/>
                <w:sz w:val="16"/>
                <w:szCs w:val="16"/>
                <w:color w:val="auto"/>
              </w:rPr>
              <w:t>Deferred income.......................................................</w:t>
            </w:r>
          </w:p>
        </w:tc>
        <w:tc>
          <w:tcPr>
            <w:tcW w:w="840" w:type="dxa"/>
            <w:vAlign w:val="bottom"/>
          </w:tcPr>
          <w:p>
            <w:pPr>
              <w:spacing w:after="0"/>
              <w:rPr>
                <w:sz w:val="15"/>
                <w:szCs w:val="15"/>
                <w:color w:val="auto"/>
              </w:rPr>
            </w:pP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23.4</w:t>
            </w:r>
          </w:p>
        </w:tc>
        <w:tc>
          <w:tcPr>
            <w:tcW w:w="140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7.5</w:t>
            </w:r>
          </w:p>
        </w:tc>
      </w:tr>
      <w:tr>
        <w:trPr>
          <w:trHeight w:val="179"/>
        </w:trPr>
        <w:tc>
          <w:tcPr>
            <w:tcW w:w="6780" w:type="dxa"/>
            <w:vAlign w:val="bottom"/>
          </w:tcPr>
          <w:p>
            <w:pPr>
              <w:spacing w:after="0" w:line="179" w:lineRule="exact"/>
              <w:rPr>
                <w:sz w:val="20"/>
                <w:szCs w:val="20"/>
                <w:color w:val="auto"/>
              </w:rPr>
            </w:pPr>
            <w:r>
              <w:rPr>
                <w:rFonts w:ascii="Courier New" w:cs="Courier New" w:eastAsia="Courier New" w:hAnsi="Courier New"/>
                <w:sz w:val="16"/>
                <w:szCs w:val="16"/>
                <w:color w:val="auto"/>
              </w:rPr>
              <w:t>Equipment purchase contracts..........................................</w:t>
            </w:r>
          </w:p>
        </w:tc>
        <w:tc>
          <w:tcPr>
            <w:tcW w:w="840" w:type="dxa"/>
            <w:vAlign w:val="bottom"/>
          </w:tcPr>
          <w:p>
            <w:pPr>
              <w:spacing w:after="0"/>
              <w:rPr>
                <w:sz w:val="15"/>
                <w:szCs w:val="15"/>
                <w:color w:val="auto"/>
              </w:rPr>
            </w:pP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81.5</w:t>
            </w:r>
          </w:p>
        </w:tc>
        <w:tc>
          <w:tcPr>
            <w:tcW w:w="140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168.8</w:t>
            </w:r>
          </w:p>
        </w:tc>
      </w:tr>
      <w:tr>
        <w:trPr>
          <w:trHeight w:val="179"/>
        </w:trPr>
        <w:tc>
          <w:tcPr>
            <w:tcW w:w="6780" w:type="dxa"/>
            <w:vAlign w:val="bottom"/>
          </w:tcPr>
          <w:p>
            <w:pPr>
              <w:spacing w:after="0" w:line="179" w:lineRule="exact"/>
              <w:rPr>
                <w:sz w:val="20"/>
                <w:szCs w:val="20"/>
                <w:color w:val="auto"/>
              </w:rPr>
            </w:pPr>
            <w:r>
              <w:rPr>
                <w:rFonts w:ascii="Courier New" w:cs="Courier New" w:eastAsia="Courier New" w:hAnsi="Courier New"/>
                <w:sz w:val="16"/>
                <w:szCs w:val="16"/>
                <w:color w:val="auto"/>
              </w:rPr>
              <w:t>Current portion of long-term debt.....................................</w:t>
            </w:r>
          </w:p>
        </w:tc>
        <w:tc>
          <w:tcPr>
            <w:tcW w:w="840" w:type="dxa"/>
            <w:vAlign w:val="bottom"/>
          </w:tcPr>
          <w:p>
            <w:pPr>
              <w:spacing w:after="0"/>
              <w:rPr>
                <w:sz w:val="15"/>
                <w:szCs w:val="15"/>
                <w:color w:val="auto"/>
              </w:rPr>
            </w:pP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111.7</w:t>
            </w:r>
          </w:p>
        </w:tc>
        <w:tc>
          <w:tcPr>
            <w:tcW w:w="140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98.6</w:t>
            </w:r>
          </w:p>
        </w:tc>
      </w:tr>
      <w:tr>
        <w:trPr>
          <w:trHeight w:val="179"/>
        </w:trPr>
        <w:tc>
          <w:tcPr>
            <w:tcW w:w="6780" w:type="dxa"/>
            <w:vAlign w:val="bottom"/>
          </w:tcPr>
          <w:p>
            <w:pPr>
              <w:spacing w:after="0"/>
              <w:rPr>
                <w:sz w:val="15"/>
                <w:szCs w:val="15"/>
                <w:color w:val="auto"/>
              </w:rPr>
            </w:pPr>
          </w:p>
        </w:tc>
        <w:tc>
          <w:tcPr>
            <w:tcW w:w="168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214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67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9"/>
              </w:rPr>
              <w:t>Total current liabilities...........................................</w:t>
            </w:r>
          </w:p>
        </w:tc>
        <w:tc>
          <w:tcPr>
            <w:tcW w:w="840" w:type="dxa"/>
            <w:vAlign w:val="bottom"/>
          </w:tcPr>
          <w:p>
            <w:pPr>
              <w:spacing w:after="0"/>
              <w:rPr>
                <w:sz w:val="15"/>
                <w:szCs w:val="15"/>
                <w:color w:val="auto"/>
              </w:rPr>
            </w:pP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922.0</w:t>
            </w:r>
          </w:p>
        </w:tc>
        <w:tc>
          <w:tcPr>
            <w:tcW w:w="140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745.7</w:t>
            </w:r>
          </w:p>
        </w:tc>
      </w:tr>
      <w:tr>
        <w:trPr>
          <w:trHeight w:val="179"/>
        </w:trPr>
        <w:tc>
          <w:tcPr>
            <w:tcW w:w="6780" w:type="dxa"/>
            <w:vAlign w:val="bottom"/>
          </w:tcPr>
          <w:p>
            <w:pPr>
              <w:spacing w:after="0" w:line="179" w:lineRule="exact"/>
              <w:rPr>
                <w:sz w:val="20"/>
                <w:szCs w:val="20"/>
                <w:color w:val="auto"/>
              </w:rPr>
            </w:pPr>
            <w:r>
              <w:rPr>
                <w:rFonts w:ascii="Courier New" w:cs="Courier New" w:eastAsia="Courier New" w:hAnsi="Courier New"/>
                <w:sz w:val="16"/>
                <w:szCs w:val="16"/>
                <w:color w:val="auto"/>
              </w:rPr>
              <w:t>Long-term debt........................................................</w:t>
            </w:r>
          </w:p>
        </w:tc>
        <w:tc>
          <w:tcPr>
            <w:tcW w:w="840" w:type="dxa"/>
            <w:vAlign w:val="bottom"/>
          </w:tcPr>
          <w:p>
            <w:pPr>
              <w:spacing w:after="0"/>
              <w:rPr>
                <w:sz w:val="15"/>
                <w:szCs w:val="15"/>
                <w:color w:val="auto"/>
              </w:rPr>
            </w:pP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5"/>
              </w:rPr>
              <w:t>1,527.5</w:t>
            </w:r>
          </w:p>
        </w:tc>
        <w:tc>
          <w:tcPr>
            <w:tcW w:w="140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758.8</w:t>
            </w:r>
          </w:p>
        </w:tc>
      </w:tr>
      <w:tr>
        <w:trPr>
          <w:trHeight w:val="179"/>
        </w:trPr>
        <w:tc>
          <w:tcPr>
            <w:tcW w:w="6780" w:type="dxa"/>
            <w:vAlign w:val="bottom"/>
          </w:tcPr>
          <w:p>
            <w:pPr>
              <w:spacing w:after="0" w:line="179" w:lineRule="exact"/>
              <w:rPr>
                <w:sz w:val="20"/>
                <w:szCs w:val="20"/>
                <w:color w:val="auto"/>
              </w:rPr>
            </w:pPr>
            <w:r>
              <w:rPr>
                <w:rFonts w:ascii="Courier New" w:cs="Courier New" w:eastAsia="Courier New" w:hAnsi="Courier New"/>
                <w:sz w:val="16"/>
                <w:szCs w:val="16"/>
                <w:color w:val="auto"/>
              </w:rPr>
              <w:t>Deferred income taxes.................................................</w:t>
            </w:r>
          </w:p>
        </w:tc>
        <w:tc>
          <w:tcPr>
            <w:tcW w:w="840" w:type="dxa"/>
            <w:vAlign w:val="bottom"/>
          </w:tcPr>
          <w:p>
            <w:pPr>
              <w:spacing w:after="0"/>
              <w:rPr>
                <w:sz w:val="15"/>
                <w:szCs w:val="15"/>
                <w:color w:val="auto"/>
              </w:rPr>
            </w:pP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309.1</w:t>
            </w:r>
          </w:p>
        </w:tc>
        <w:tc>
          <w:tcPr>
            <w:tcW w:w="140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284.2</w:t>
            </w:r>
          </w:p>
        </w:tc>
      </w:tr>
      <w:tr>
        <w:trPr>
          <w:trHeight w:val="179"/>
        </w:trPr>
        <w:tc>
          <w:tcPr>
            <w:tcW w:w="6780" w:type="dxa"/>
            <w:vAlign w:val="bottom"/>
          </w:tcPr>
          <w:p>
            <w:pPr>
              <w:spacing w:after="0" w:line="179" w:lineRule="exact"/>
              <w:rPr>
                <w:sz w:val="20"/>
                <w:szCs w:val="20"/>
                <w:color w:val="auto"/>
              </w:rPr>
            </w:pPr>
            <w:r>
              <w:rPr>
                <w:rFonts w:ascii="Courier New" w:cs="Courier New" w:eastAsia="Courier New" w:hAnsi="Courier New"/>
                <w:sz w:val="16"/>
                <w:szCs w:val="16"/>
                <w:color w:val="auto"/>
              </w:rPr>
              <w:t>Other liabilities.....................................................</w:t>
            </w:r>
          </w:p>
        </w:tc>
        <w:tc>
          <w:tcPr>
            <w:tcW w:w="840" w:type="dxa"/>
            <w:vAlign w:val="bottom"/>
          </w:tcPr>
          <w:p>
            <w:pPr>
              <w:spacing w:after="0"/>
              <w:rPr>
                <w:sz w:val="15"/>
                <w:szCs w:val="15"/>
                <w:color w:val="auto"/>
              </w:rPr>
            </w:pP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74.2</w:t>
            </w:r>
          </w:p>
        </w:tc>
        <w:tc>
          <w:tcPr>
            <w:tcW w:w="140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61.4</w:t>
            </w:r>
          </w:p>
        </w:tc>
      </w:tr>
      <w:tr>
        <w:trPr>
          <w:trHeight w:val="179"/>
        </w:trPr>
        <w:tc>
          <w:tcPr>
            <w:tcW w:w="6780" w:type="dxa"/>
            <w:vAlign w:val="bottom"/>
          </w:tcPr>
          <w:p>
            <w:pPr>
              <w:spacing w:after="0"/>
              <w:rPr>
                <w:sz w:val="15"/>
                <w:szCs w:val="15"/>
                <w:color w:val="auto"/>
              </w:rPr>
            </w:pPr>
          </w:p>
        </w:tc>
        <w:tc>
          <w:tcPr>
            <w:tcW w:w="168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214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67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Total liabilities................................................</w:t>
            </w:r>
          </w:p>
        </w:tc>
        <w:tc>
          <w:tcPr>
            <w:tcW w:w="840" w:type="dxa"/>
            <w:vAlign w:val="bottom"/>
          </w:tcPr>
          <w:p>
            <w:pPr>
              <w:spacing w:after="0"/>
              <w:rPr>
                <w:sz w:val="15"/>
                <w:szCs w:val="15"/>
                <w:color w:val="auto"/>
              </w:rPr>
            </w:pP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5"/>
              </w:rPr>
              <w:t>2,832.8</w:t>
            </w:r>
          </w:p>
        </w:tc>
        <w:tc>
          <w:tcPr>
            <w:tcW w:w="140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2"/>
              </w:rPr>
              <w:t>1,850.1</w:t>
            </w:r>
          </w:p>
        </w:tc>
      </w:tr>
      <w:tr>
        <w:trPr>
          <w:trHeight w:val="179"/>
        </w:trPr>
        <w:tc>
          <w:tcPr>
            <w:tcW w:w="6780" w:type="dxa"/>
            <w:vAlign w:val="bottom"/>
          </w:tcPr>
          <w:p>
            <w:pPr>
              <w:spacing w:after="0"/>
              <w:rPr>
                <w:sz w:val="15"/>
                <w:szCs w:val="15"/>
                <w:color w:val="auto"/>
              </w:rPr>
            </w:pPr>
          </w:p>
        </w:tc>
        <w:tc>
          <w:tcPr>
            <w:tcW w:w="168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214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6780" w:type="dxa"/>
            <w:vAlign w:val="bottom"/>
          </w:tcPr>
          <w:p>
            <w:pPr>
              <w:spacing w:after="0"/>
              <w:rPr>
                <w:sz w:val="20"/>
                <w:szCs w:val="20"/>
                <w:color w:val="auto"/>
              </w:rPr>
            </w:pPr>
            <w:r>
              <w:rPr>
                <w:rFonts w:ascii="Courier New" w:cs="Courier New" w:eastAsia="Courier New" w:hAnsi="Courier New"/>
                <w:sz w:val="16"/>
                <w:szCs w:val="16"/>
                <w:color w:val="auto"/>
              </w:rPr>
              <w:t>Minority interests....................................................</w:t>
            </w:r>
          </w:p>
        </w:tc>
        <w:tc>
          <w:tcPr>
            <w:tcW w:w="840" w:type="dxa"/>
            <w:vAlign w:val="bottom"/>
          </w:tcPr>
          <w:p>
            <w:pPr>
              <w:spacing w:after="0"/>
              <w:rPr>
                <w:sz w:val="24"/>
                <w:szCs w:val="24"/>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168.3</w:t>
            </w:r>
          </w:p>
        </w:tc>
        <w:tc>
          <w:tcPr>
            <w:tcW w:w="1400" w:type="dxa"/>
            <w:vAlign w:val="bottom"/>
          </w:tcPr>
          <w:p>
            <w:pPr>
              <w:spacing w:after="0"/>
              <w:rPr>
                <w:sz w:val="24"/>
                <w:szCs w:val="24"/>
                <w:color w:val="auto"/>
              </w:rPr>
            </w:pPr>
          </w:p>
        </w:tc>
        <w:tc>
          <w:tcPr>
            <w:tcW w:w="7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152.1</w:t>
            </w:r>
          </w:p>
        </w:tc>
      </w:tr>
      <w:tr>
        <w:trPr>
          <w:trHeight w:val="358"/>
        </w:trPr>
        <w:tc>
          <w:tcPr>
            <w:tcW w:w="6780" w:type="dxa"/>
            <w:vAlign w:val="bottom"/>
          </w:tcPr>
          <w:p>
            <w:pPr>
              <w:spacing w:after="0"/>
              <w:rPr>
                <w:sz w:val="20"/>
                <w:szCs w:val="20"/>
                <w:color w:val="auto"/>
              </w:rPr>
            </w:pPr>
            <w:r>
              <w:rPr>
                <w:rFonts w:ascii="Courier New" w:cs="Courier New" w:eastAsia="Courier New" w:hAnsi="Courier New"/>
                <w:sz w:val="16"/>
                <w:szCs w:val="16"/>
                <w:color w:val="auto"/>
              </w:rPr>
              <w:t>Commitments and contingencies</w:t>
            </w: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58"/>
        </w:trPr>
        <w:tc>
          <w:tcPr>
            <w:tcW w:w="6780" w:type="dxa"/>
            <w:vAlign w:val="bottom"/>
          </w:tcPr>
          <w:p>
            <w:pPr>
              <w:spacing w:after="0"/>
              <w:rPr>
                <w:sz w:val="20"/>
                <w:szCs w:val="20"/>
                <w:color w:val="auto"/>
              </w:rPr>
            </w:pPr>
            <w:r>
              <w:rPr>
                <w:rFonts w:ascii="Courier New" w:cs="Courier New" w:eastAsia="Courier New" w:hAnsi="Courier New"/>
                <w:sz w:val="16"/>
                <w:szCs w:val="16"/>
                <w:color w:val="auto"/>
              </w:rPr>
              <w:t>Common stock, $0.10 par value, authorized 1.0 billion shares, issued</w:t>
            </w: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9"/>
        </w:trPr>
        <w:tc>
          <w:tcPr>
            <w:tcW w:w="67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7"/>
              </w:rPr>
              <w:t>and outstanding 252.2 million and 217.1 million shares, respectively.</w:t>
            </w:r>
          </w:p>
        </w:tc>
        <w:tc>
          <w:tcPr>
            <w:tcW w:w="840" w:type="dxa"/>
            <w:vAlign w:val="bottom"/>
          </w:tcPr>
          <w:p>
            <w:pPr>
              <w:spacing w:after="0"/>
              <w:rPr>
                <w:sz w:val="15"/>
                <w:szCs w:val="15"/>
                <w:color w:val="auto"/>
              </w:rPr>
            </w:pP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25.2</w:t>
            </w:r>
          </w:p>
        </w:tc>
        <w:tc>
          <w:tcPr>
            <w:tcW w:w="140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21.7</w:t>
            </w:r>
          </w:p>
        </w:tc>
      </w:tr>
      <w:tr>
        <w:trPr>
          <w:trHeight w:val="179"/>
        </w:trPr>
        <w:tc>
          <w:tcPr>
            <w:tcW w:w="6780" w:type="dxa"/>
            <w:vAlign w:val="bottom"/>
          </w:tcPr>
          <w:p>
            <w:pPr>
              <w:spacing w:after="0" w:line="179" w:lineRule="exact"/>
              <w:rPr>
                <w:sz w:val="20"/>
                <w:szCs w:val="20"/>
                <w:color w:val="auto"/>
              </w:rPr>
            </w:pPr>
            <w:r>
              <w:rPr>
                <w:rFonts w:ascii="Courier New" w:cs="Courier New" w:eastAsia="Courier New" w:hAnsi="Courier New"/>
                <w:sz w:val="16"/>
                <w:szCs w:val="16"/>
                <w:color w:val="auto"/>
              </w:rPr>
              <w:t>Class A Common Stock, $0.10 par value, authorized 32 million shares,</w:t>
            </w: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67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7"/>
              </w:rPr>
              <w:t>issued and outstanding 15.8 million shares...........................</w:t>
            </w:r>
          </w:p>
        </w:tc>
        <w:tc>
          <w:tcPr>
            <w:tcW w:w="840" w:type="dxa"/>
            <w:vAlign w:val="bottom"/>
          </w:tcPr>
          <w:p>
            <w:pPr>
              <w:spacing w:after="0"/>
              <w:rPr>
                <w:sz w:val="15"/>
                <w:szCs w:val="15"/>
                <w:color w:val="auto"/>
              </w:rPr>
            </w:pP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1.6</w:t>
            </w:r>
          </w:p>
        </w:tc>
        <w:tc>
          <w:tcPr>
            <w:tcW w:w="140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6780" w:type="dxa"/>
            <w:vAlign w:val="bottom"/>
          </w:tcPr>
          <w:p>
            <w:pPr>
              <w:spacing w:after="0" w:line="179" w:lineRule="exact"/>
              <w:rPr>
                <w:sz w:val="20"/>
                <w:szCs w:val="20"/>
                <w:color w:val="auto"/>
              </w:rPr>
            </w:pPr>
            <w:r>
              <w:rPr>
                <w:rFonts w:ascii="Courier New" w:cs="Courier New" w:eastAsia="Courier New" w:hAnsi="Courier New"/>
                <w:sz w:val="16"/>
                <w:szCs w:val="16"/>
                <w:color w:val="auto"/>
              </w:rPr>
              <w:t>Additional capital....................................................</w:t>
            </w:r>
          </w:p>
        </w:tc>
        <w:tc>
          <w:tcPr>
            <w:tcW w:w="840" w:type="dxa"/>
            <w:vAlign w:val="bottom"/>
          </w:tcPr>
          <w:p>
            <w:pPr>
              <w:spacing w:after="0"/>
              <w:rPr>
                <w:sz w:val="15"/>
                <w:szCs w:val="15"/>
                <w:color w:val="auto"/>
              </w:rPr>
            </w:pP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5"/>
              </w:rPr>
              <w:t>1,894.0</w:t>
            </w:r>
          </w:p>
        </w:tc>
        <w:tc>
          <w:tcPr>
            <w:tcW w:w="140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565.4</w:t>
            </w:r>
          </w:p>
        </w:tc>
      </w:tr>
      <w:tr>
        <w:trPr>
          <w:trHeight w:val="179"/>
        </w:trPr>
        <w:tc>
          <w:tcPr>
            <w:tcW w:w="6780" w:type="dxa"/>
            <w:vAlign w:val="bottom"/>
          </w:tcPr>
          <w:p>
            <w:pPr>
              <w:spacing w:after="0" w:line="179" w:lineRule="exact"/>
              <w:rPr>
                <w:sz w:val="20"/>
                <w:szCs w:val="20"/>
                <w:color w:val="auto"/>
              </w:rPr>
            </w:pPr>
            <w:r>
              <w:rPr>
                <w:rFonts w:ascii="Courier New" w:cs="Courier New" w:eastAsia="Courier New" w:hAnsi="Courier New"/>
                <w:sz w:val="16"/>
                <w:szCs w:val="16"/>
                <w:color w:val="auto"/>
              </w:rPr>
              <w:t>Retained earnings.....................................................</w:t>
            </w:r>
          </w:p>
        </w:tc>
        <w:tc>
          <w:tcPr>
            <w:tcW w:w="840" w:type="dxa"/>
            <w:vAlign w:val="bottom"/>
          </w:tcPr>
          <w:p>
            <w:pPr>
              <w:spacing w:after="0"/>
              <w:rPr>
                <w:sz w:val="15"/>
                <w:szCs w:val="15"/>
                <w:color w:val="auto"/>
              </w:rPr>
            </w:pP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5"/>
              </w:rPr>
              <w:t>2,045.4</w:t>
            </w:r>
          </w:p>
        </w:tc>
        <w:tc>
          <w:tcPr>
            <w:tcW w:w="140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2"/>
              </w:rPr>
              <w:t>2,114.3</w:t>
            </w:r>
          </w:p>
        </w:tc>
      </w:tr>
      <w:tr>
        <w:trPr>
          <w:trHeight w:val="179"/>
        </w:trPr>
        <w:tc>
          <w:tcPr>
            <w:tcW w:w="6780" w:type="dxa"/>
            <w:vAlign w:val="bottom"/>
          </w:tcPr>
          <w:p>
            <w:pPr>
              <w:spacing w:after="0" w:line="179" w:lineRule="exact"/>
              <w:rPr>
                <w:sz w:val="20"/>
                <w:szCs w:val="20"/>
                <w:color w:val="auto"/>
              </w:rPr>
            </w:pPr>
            <w:r>
              <w:rPr>
                <w:rFonts w:ascii="Courier New" w:cs="Courier New" w:eastAsia="Courier New" w:hAnsi="Courier New"/>
                <w:sz w:val="16"/>
                <w:szCs w:val="16"/>
                <w:color w:val="auto"/>
              </w:rPr>
              <w:t>Accumulated other comprehensive loss..................................</w:t>
            </w:r>
          </w:p>
        </w:tc>
        <w:tc>
          <w:tcPr>
            <w:tcW w:w="840" w:type="dxa"/>
            <w:vAlign w:val="bottom"/>
          </w:tcPr>
          <w:p>
            <w:pPr>
              <w:spacing w:after="0"/>
              <w:rPr>
                <w:sz w:val="15"/>
                <w:szCs w:val="15"/>
                <w:color w:val="auto"/>
              </w:rPr>
            </w:pP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(2.1)</w:t>
            </w:r>
          </w:p>
        </w:tc>
        <w:tc>
          <w:tcPr>
            <w:tcW w:w="1400" w:type="dxa"/>
            <w:vAlign w:val="bottom"/>
          </w:tcPr>
          <w:p>
            <w:pPr>
              <w:spacing w:after="0"/>
              <w:rPr>
                <w:sz w:val="15"/>
                <w:szCs w:val="15"/>
                <w:color w:val="auto"/>
              </w:rPr>
            </w:pP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(0.1)</w:t>
            </w:r>
          </w:p>
        </w:tc>
      </w:tr>
      <w:tr>
        <w:trPr>
          <w:trHeight w:val="179"/>
        </w:trPr>
        <w:tc>
          <w:tcPr>
            <w:tcW w:w="6780" w:type="dxa"/>
            <w:vAlign w:val="bottom"/>
          </w:tcPr>
          <w:p>
            <w:pPr>
              <w:spacing w:after="0"/>
              <w:rPr>
                <w:sz w:val="15"/>
                <w:szCs w:val="15"/>
                <w:color w:val="auto"/>
              </w:rPr>
            </w:pPr>
          </w:p>
        </w:tc>
        <w:tc>
          <w:tcPr>
            <w:tcW w:w="168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214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67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9"/>
              </w:rPr>
              <w:t>Total shareholders' equity..........................................</w:t>
            </w:r>
          </w:p>
        </w:tc>
        <w:tc>
          <w:tcPr>
            <w:tcW w:w="840" w:type="dxa"/>
            <w:vAlign w:val="bottom"/>
          </w:tcPr>
          <w:p>
            <w:pPr>
              <w:spacing w:after="0"/>
              <w:rPr>
                <w:sz w:val="15"/>
                <w:szCs w:val="15"/>
                <w:color w:val="auto"/>
              </w:rPr>
            </w:pP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5"/>
              </w:rPr>
              <w:t>3,964.1</w:t>
            </w:r>
          </w:p>
        </w:tc>
        <w:tc>
          <w:tcPr>
            <w:tcW w:w="140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2"/>
              </w:rPr>
              <w:t>2,701.3</w:t>
            </w:r>
          </w:p>
        </w:tc>
      </w:tr>
      <w:tr>
        <w:trPr>
          <w:trHeight w:val="179"/>
        </w:trPr>
        <w:tc>
          <w:tcPr>
            <w:tcW w:w="6780" w:type="dxa"/>
            <w:vAlign w:val="bottom"/>
          </w:tcPr>
          <w:p>
            <w:pPr>
              <w:spacing w:after="0"/>
              <w:rPr>
                <w:sz w:val="15"/>
                <w:szCs w:val="15"/>
                <w:color w:val="auto"/>
              </w:rPr>
            </w:pPr>
          </w:p>
        </w:tc>
        <w:tc>
          <w:tcPr>
            <w:tcW w:w="168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214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67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Total liabilities and shareholders' equity.......................</w:t>
            </w:r>
          </w:p>
        </w:tc>
        <w:tc>
          <w:tcPr>
            <w:tcW w:w="168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$6,965.2</w:t>
            </w:r>
          </w:p>
        </w:tc>
        <w:tc>
          <w:tcPr>
            <w:tcW w:w="214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$4,703.5</w:t>
            </w:r>
          </w:p>
        </w:tc>
      </w:tr>
      <w:tr>
        <w:trPr>
          <w:trHeight w:val="179"/>
        </w:trPr>
        <w:tc>
          <w:tcPr>
            <w:tcW w:w="6780" w:type="dxa"/>
            <w:vAlign w:val="bottom"/>
          </w:tcPr>
          <w:p>
            <w:pPr>
              <w:spacing w:after="0"/>
              <w:rPr>
                <w:sz w:val="15"/>
                <w:szCs w:val="15"/>
                <w:color w:val="auto"/>
              </w:rPr>
            </w:pPr>
          </w:p>
        </w:tc>
        <w:tc>
          <w:tcPr>
            <w:tcW w:w="168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214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3160"/>
        <w:spacing w:after="0"/>
        <w:rPr>
          <w:sz w:val="20"/>
          <w:szCs w:val="20"/>
          <w:color w:val="auto"/>
        </w:rPr>
      </w:pPr>
      <w:r>
        <w:rPr>
          <w:rFonts w:ascii="Courier New" w:cs="Courier New" w:eastAsia="Courier New" w:hAnsi="Courier New"/>
          <w:sz w:val="16"/>
          <w:szCs w:val="16"/>
          <w:color w:val="auto"/>
        </w:rPr>
        <w:t>Certain Fiscal 1998 and 1997 amounts have been restated as a result of a</w:t>
      </w:r>
    </w:p>
    <w:p>
      <w:pPr>
        <w:jc w:val="center"/>
        <w:ind w:right="3160"/>
        <w:spacing w:after="0" w:line="236" w:lineRule="auto"/>
        <w:rPr>
          <w:sz w:val="20"/>
          <w:szCs w:val="20"/>
          <w:color w:val="auto"/>
        </w:rPr>
      </w:pPr>
      <w:r>
        <w:rPr>
          <w:rFonts w:ascii="Courier New" w:cs="Courier New" w:eastAsia="Courier New" w:hAnsi="Courier New"/>
          <w:sz w:val="16"/>
          <w:szCs w:val="16"/>
          <w:color w:val="auto"/>
        </w:rPr>
        <w:t>pooling-of-interests merger.</w:t>
      </w:r>
    </w:p>
    <w:p>
      <w:pPr>
        <w:jc w:val="center"/>
        <w:ind w:right="3160"/>
        <w:spacing w:after="0" w:line="237" w:lineRule="auto"/>
        <w:rPr>
          <w:sz w:val="20"/>
          <w:szCs w:val="20"/>
          <w:color w:val="auto"/>
        </w:rPr>
      </w:pPr>
      <w:r>
        <w:rPr>
          <w:rFonts w:ascii="Courier New" w:cs="Courier New" w:eastAsia="Courier New" w:hAnsi="Courier New"/>
          <w:sz w:val="16"/>
          <w:szCs w:val="16"/>
          <w:color w:val="auto"/>
        </w:rPr>
        <w:t>See accompanying notes to consolidated financial statements.</w:t>
      </w:r>
    </w:p>
    <w:p>
      <w:pPr>
        <w:spacing w:after="0" w:line="177"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30/57</w:t>
      </w:r>
    </w:p>
    <w:p>
      <w:pPr>
        <w:sectPr>
          <w:pgSz w:w="11900" w:h="16838" w:orient="portrait"/>
          <w:cols w:equalWidth="0" w:num="1">
            <w:col w:w="10600"/>
          </w:cols>
          <w:pgMar w:left="240" w:top="648" w:right="1059" w:bottom="1440" w:gutter="0" w:footer="0" w:header="0"/>
        </w:sectPr>
      </w:pPr>
    </w:p>
    <w:bookmarkStart w:id="30" w:name="page31"/>
    <w:bookmarkEnd w:id="30"/>
    <w:p>
      <w:pPr>
        <w:jc w:val="center"/>
        <w:ind w:right="3360"/>
        <w:spacing w:after="0"/>
        <w:rPr>
          <w:sz w:val="20"/>
          <w:szCs w:val="20"/>
          <w:color w:val="auto"/>
        </w:rPr>
      </w:pPr>
      <w:r>
        <w:rPr>
          <w:rFonts w:ascii="Courier New" w:cs="Courier New" w:eastAsia="Courier New" w:hAnsi="Courier New"/>
          <w:sz w:val="16"/>
          <w:szCs w:val="16"/>
          <w:color w:val="auto"/>
        </w:rPr>
        <w:t>MICRON TECHNOLOGY, INC.</w:t>
      </w:r>
    </w:p>
    <w:p>
      <w:pPr>
        <w:spacing w:after="0" w:line="177"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CONSOLIDATED STATEMENTS OF SHAREHOLDERS' EQUITY</w:t>
      </w:r>
    </w:p>
    <w:p>
      <w:pPr>
        <w:ind w:left="2220"/>
        <w:spacing w:after="0" w:line="236" w:lineRule="auto"/>
        <w:rPr>
          <w:sz w:val="20"/>
          <w:szCs w:val="20"/>
          <w:color w:val="auto"/>
        </w:rPr>
      </w:pPr>
      <w:r>
        <w:rPr>
          <w:rFonts w:ascii="Courier New" w:cs="Courier New" w:eastAsia="Courier New" w:hAnsi="Courier New"/>
          <w:sz w:val="16"/>
          <w:szCs w:val="16"/>
          <w:color w:val="auto"/>
        </w:rPr>
        <w:t>(Dollars and shares in millions)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4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20" w:type="dxa"/>
            <w:vAlign w:val="bottom"/>
            <w:gridSpan w:val="3"/>
          </w:tcPr>
          <w:p>
            <w:pPr>
              <w:jc w:val="right"/>
              <w:ind w:right="342"/>
              <w:spacing w:after="0"/>
              <w:rPr>
                <w:sz w:val="20"/>
                <w:szCs w:val="20"/>
                <w:color w:val="auto"/>
              </w:rPr>
            </w:pPr>
            <w:r>
              <w:rPr>
                <w:rFonts w:ascii="Courier New" w:cs="Courier New" w:eastAsia="Courier New" w:hAnsi="Courier New"/>
                <w:sz w:val="16"/>
                <w:szCs w:val="16"/>
                <w:color w:val="auto"/>
              </w:rPr>
              <w:t>Fiscal year ended</w:t>
            </w:r>
          </w:p>
        </w:tc>
        <w:tc>
          <w:tcPr>
            <w:tcW w:w="1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3480" w:type="dxa"/>
            <w:vAlign w:val="bottom"/>
          </w:tcPr>
          <w:p>
            <w:pPr>
              <w:spacing w:after="0"/>
              <w:rPr>
                <w:sz w:val="15"/>
                <w:szCs w:val="15"/>
                <w:color w:val="auto"/>
              </w:rPr>
            </w:pPr>
          </w:p>
        </w:tc>
        <w:tc>
          <w:tcPr>
            <w:tcW w:w="7220" w:type="dxa"/>
            <w:vAlign w:val="bottom"/>
            <w:gridSpan w:val="9"/>
          </w:tcPr>
          <w:p>
            <w:pPr>
              <w:jc w:val="right"/>
              <w:ind w:right="22"/>
              <w:spacing w:after="0" w:line="179" w:lineRule="exact"/>
              <w:rPr>
                <w:sz w:val="20"/>
                <w:szCs w:val="20"/>
                <w:color w:val="auto"/>
              </w:rPr>
            </w:pPr>
            <w:r>
              <w:rPr>
                <w:rFonts w:ascii="Courier New" w:cs="Courier New" w:eastAsia="Courier New" w:hAnsi="Courier New"/>
                <w:sz w:val="16"/>
                <w:szCs w:val="16"/>
                <w:color w:val="auto"/>
                <w:w w:val="98"/>
              </w:rPr>
              <w:t>---------------------------------------------------------------------------</w:t>
            </w:r>
          </w:p>
        </w:tc>
      </w:tr>
      <w:tr>
        <w:trPr>
          <w:trHeight w:val="179"/>
        </w:trPr>
        <w:tc>
          <w:tcPr>
            <w:tcW w:w="3480" w:type="dxa"/>
            <w:vAlign w:val="bottom"/>
          </w:tcPr>
          <w:p>
            <w:pPr>
              <w:spacing w:after="0"/>
              <w:rPr>
                <w:sz w:val="15"/>
                <w:szCs w:val="15"/>
                <w:color w:val="auto"/>
              </w:rPr>
            </w:pPr>
          </w:p>
        </w:tc>
        <w:tc>
          <w:tcPr>
            <w:tcW w:w="2420" w:type="dxa"/>
            <w:vAlign w:val="bottom"/>
            <w:gridSpan w:val="3"/>
          </w:tcPr>
          <w:p>
            <w:pPr>
              <w:jc w:val="right"/>
              <w:ind w:right="342"/>
              <w:spacing w:after="0" w:line="179" w:lineRule="exact"/>
              <w:rPr>
                <w:sz w:val="20"/>
                <w:szCs w:val="20"/>
                <w:color w:val="auto"/>
              </w:rPr>
            </w:pPr>
            <w:r>
              <w:rPr>
                <w:rFonts w:ascii="Courier New" w:cs="Courier New" w:eastAsia="Courier New" w:hAnsi="Courier New"/>
                <w:sz w:val="16"/>
                <w:szCs w:val="16"/>
                <w:color w:val="auto"/>
              </w:rPr>
              <w:t>September 2, 1999</w:t>
            </w:r>
          </w:p>
        </w:tc>
        <w:tc>
          <w:tcPr>
            <w:tcW w:w="2420" w:type="dxa"/>
            <w:vAlign w:val="bottom"/>
            <w:gridSpan w:val="3"/>
          </w:tcPr>
          <w:p>
            <w:pPr>
              <w:jc w:val="right"/>
              <w:ind w:right="342"/>
              <w:spacing w:after="0" w:line="179" w:lineRule="exact"/>
              <w:rPr>
                <w:sz w:val="20"/>
                <w:szCs w:val="20"/>
                <w:color w:val="auto"/>
              </w:rPr>
            </w:pPr>
            <w:r>
              <w:rPr>
                <w:rFonts w:ascii="Courier New" w:cs="Courier New" w:eastAsia="Courier New" w:hAnsi="Courier New"/>
                <w:sz w:val="16"/>
                <w:szCs w:val="16"/>
                <w:color w:val="auto"/>
              </w:rPr>
              <w:t>September 3, 1998</w:t>
            </w:r>
          </w:p>
        </w:tc>
        <w:tc>
          <w:tcPr>
            <w:tcW w:w="2380" w:type="dxa"/>
            <w:vAlign w:val="bottom"/>
            <w:gridSpan w:val="3"/>
          </w:tcPr>
          <w:p>
            <w:pPr>
              <w:jc w:val="right"/>
              <w:ind w:right="402"/>
              <w:spacing w:after="0" w:line="179" w:lineRule="exact"/>
              <w:rPr>
                <w:sz w:val="20"/>
                <w:szCs w:val="20"/>
                <w:color w:val="auto"/>
              </w:rPr>
            </w:pPr>
            <w:r>
              <w:rPr>
                <w:rFonts w:ascii="Courier New" w:cs="Courier New" w:eastAsia="Courier New" w:hAnsi="Courier New"/>
                <w:sz w:val="16"/>
                <w:szCs w:val="16"/>
                <w:color w:val="auto"/>
              </w:rPr>
              <w:t>August 28, 1997</w:t>
            </w:r>
          </w:p>
        </w:tc>
      </w:tr>
      <w:tr>
        <w:trPr>
          <w:trHeight w:val="179"/>
        </w:trPr>
        <w:tc>
          <w:tcPr>
            <w:tcW w:w="3480" w:type="dxa"/>
            <w:vAlign w:val="bottom"/>
          </w:tcPr>
          <w:p>
            <w:pPr>
              <w:spacing w:after="0"/>
              <w:rPr>
                <w:sz w:val="15"/>
                <w:szCs w:val="15"/>
                <w:color w:val="auto"/>
              </w:rPr>
            </w:pPr>
          </w:p>
        </w:tc>
        <w:tc>
          <w:tcPr>
            <w:tcW w:w="172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w w:val="70"/>
              </w:rPr>
              <w:t>-----------------------</w:t>
            </w:r>
          </w:p>
        </w:tc>
        <w:tc>
          <w:tcPr>
            <w:tcW w:w="700" w:type="dxa"/>
            <w:vAlign w:val="bottom"/>
          </w:tcPr>
          <w:p>
            <w:pPr>
              <w:spacing w:after="0"/>
              <w:rPr>
                <w:sz w:val="15"/>
                <w:szCs w:val="15"/>
                <w:color w:val="auto"/>
              </w:rPr>
            </w:pPr>
          </w:p>
        </w:tc>
        <w:tc>
          <w:tcPr>
            <w:tcW w:w="2420" w:type="dxa"/>
            <w:vAlign w:val="bottom"/>
            <w:gridSpan w:val="3"/>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2380" w:type="dxa"/>
            <w:vAlign w:val="bottom"/>
            <w:gridSpan w:val="3"/>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480" w:type="dxa"/>
            <w:vAlign w:val="bottom"/>
          </w:tcPr>
          <w:p>
            <w:pPr>
              <w:spacing w:after="0"/>
              <w:rPr>
                <w:sz w:val="15"/>
                <w:szCs w:val="15"/>
                <w:color w:val="auto"/>
              </w:rPr>
            </w:pPr>
          </w:p>
        </w:tc>
        <w:tc>
          <w:tcPr>
            <w:tcW w:w="126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Shares</w:t>
            </w:r>
          </w:p>
        </w:tc>
        <w:tc>
          <w:tcPr>
            <w:tcW w:w="116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rPr>
              <w:t>Amount</w:t>
            </w:r>
          </w:p>
        </w:tc>
        <w:tc>
          <w:tcPr>
            <w:tcW w:w="11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Shares</w:t>
            </w:r>
          </w:p>
        </w:tc>
        <w:tc>
          <w:tcPr>
            <w:tcW w:w="280" w:type="dxa"/>
            <w:vAlign w:val="bottom"/>
          </w:tcPr>
          <w:p>
            <w:pPr>
              <w:spacing w:after="0"/>
              <w:rPr>
                <w:sz w:val="15"/>
                <w:szCs w:val="15"/>
                <w:color w:val="auto"/>
              </w:rPr>
            </w:pPr>
          </w:p>
        </w:tc>
        <w:tc>
          <w:tcPr>
            <w:tcW w:w="10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Amount</w:t>
            </w:r>
          </w:p>
        </w:tc>
        <w:tc>
          <w:tcPr>
            <w:tcW w:w="11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Shares</w:t>
            </w:r>
          </w:p>
        </w:tc>
        <w:tc>
          <w:tcPr>
            <w:tcW w:w="1260" w:type="dxa"/>
            <w:vAlign w:val="bottom"/>
            <w:gridSpan w:val="2"/>
          </w:tcPr>
          <w:p>
            <w:pPr>
              <w:jc w:val="right"/>
              <w:ind w:right="302"/>
              <w:spacing w:after="0" w:line="179" w:lineRule="exact"/>
              <w:rPr>
                <w:sz w:val="20"/>
                <w:szCs w:val="20"/>
                <w:color w:val="auto"/>
              </w:rPr>
            </w:pPr>
            <w:r>
              <w:rPr>
                <w:rFonts w:ascii="Courier New" w:cs="Courier New" w:eastAsia="Courier New" w:hAnsi="Courier New"/>
                <w:sz w:val="16"/>
                <w:szCs w:val="16"/>
                <w:color w:val="auto"/>
              </w:rPr>
              <w:t>Amount</w:t>
            </w:r>
          </w:p>
        </w:tc>
      </w:tr>
      <w:tr>
        <w:trPr>
          <w:trHeight w:val="179"/>
        </w:trPr>
        <w:tc>
          <w:tcPr>
            <w:tcW w:w="3480" w:type="dxa"/>
            <w:vAlign w:val="bottom"/>
          </w:tcPr>
          <w:p>
            <w:pPr>
              <w:spacing w:after="0"/>
              <w:rPr>
                <w:sz w:val="15"/>
                <w:szCs w:val="15"/>
                <w:color w:val="auto"/>
              </w:rPr>
            </w:pPr>
          </w:p>
        </w:tc>
        <w:tc>
          <w:tcPr>
            <w:tcW w:w="126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4"/>
              </w:rPr>
              <w:t>-----------</w:t>
            </w:r>
          </w:p>
        </w:tc>
        <w:tc>
          <w:tcPr>
            <w:tcW w:w="11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3480" w:type="dxa"/>
            <w:vAlign w:val="bottom"/>
          </w:tcPr>
          <w:p>
            <w:pPr>
              <w:spacing w:after="0"/>
              <w:rPr>
                <w:sz w:val="20"/>
                <w:szCs w:val="20"/>
                <w:color w:val="auto"/>
              </w:rPr>
            </w:pPr>
            <w:r>
              <w:rPr>
                <w:rFonts w:ascii="Courier New" w:cs="Courier New" w:eastAsia="Courier New" w:hAnsi="Courier New"/>
                <w:sz w:val="16"/>
                <w:szCs w:val="16"/>
                <w:color w:val="auto"/>
              </w:rPr>
              <w:t>Common stock</w:t>
            </w:r>
          </w:p>
        </w:tc>
        <w:tc>
          <w:tcPr>
            <w:tcW w:w="1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9"/>
        </w:trPr>
        <w:tc>
          <w:tcPr>
            <w:tcW w:w="3480" w:type="dxa"/>
            <w:vAlign w:val="bottom"/>
          </w:tcPr>
          <w:p>
            <w:pPr>
              <w:spacing w:after="0" w:line="179" w:lineRule="exact"/>
              <w:rPr>
                <w:sz w:val="20"/>
                <w:szCs w:val="20"/>
                <w:color w:val="auto"/>
              </w:rPr>
            </w:pPr>
            <w:r>
              <w:rPr>
                <w:rFonts w:ascii="Courier New" w:cs="Courier New" w:eastAsia="Courier New" w:hAnsi="Courier New"/>
                <w:sz w:val="16"/>
                <w:szCs w:val="16"/>
                <w:color w:val="auto"/>
              </w:rPr>
              <w:t>Balance at beginning of year........</w:t>
            </w:r>
          </w:p>
        </w:tc>
        <w:tc>
          <w:tcPr>
            <w:tcW w:w="126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217.1</w:t>
            </w:r>
          </w:p>
        </w:tc>
        <w:tc>
          <w:tcPr>
            <w:tcW w:w="4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21.7</w:t>
            </w:r>
          </w:p>
        </w:tc>
        <w:tc>
          <w:tcPr>
            <w:tcW w:w="11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214.5</w:t>
            </w:r>
          </w:p>
        </w:tc>
        <w:tc>
          <w:tcPr>
            <w:tcW w:w="28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21.4</w:t>
            </w: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210.6</w:t>
            </w:r>
          </w:p>
        </w:tc>
        <w:tc>
          <w:tcPr>
            <w:tcW w:w="6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21.1</w:t>
            </w:r>
          </w:p>
        </w:tc>
      </w:tr>
      <w:tr>
        <w:trPr>
          <w:trHeight w:val="179"/>
        </w:trPr>
        <w:tc>
          <w:tcPr>
            <w:tcW w:w="3480" w:type="dxa"/>
            <w:vAlign w:val="bottom"/>
          </w:tcPr>
          <w:p>
            <w:pPr>
              <w:spacing w:after="0" w:line="179" w:lineRule="exact"/>
              <w:rPr>
                <w:sz w:val="20"/>
                <w:szCs w:val="20"/>
                <w:color w:val="auto"/>
              </w:rPr>
            </w:pPr>
            <w:r>
              <w:rPr>
                <w:rFonts w:ascii="Courier New" w:cs="Courier New" w:eastAsia="Courier New" w:hAnsi="Courier New"/>
                <w:sz w:val="16"/>
                <w:szCs w:val="16"/>
                <w:color w:val="auto"/>
              </w:rPr>
              <w:t>Stock issued under stock plans......</w:t>
            </w:r>
          </w:p>
        </w:tc>
        <w:tc>
          <w:tcPr>
            <w:tcW w:w="126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6.2</w:t>
            </w:r>
          </w:p>
        </w:tc>
        <w:tc>
          <w:tcPr>
            <w:tcW w:w="460" w:type="dxa"/>
            <w:vAlign w:val="bottom"/>
          </w:tcPr>
          <w:p>
            <w:pPr>
              <w:spacing w:after="0"/>
              <w:rPr>
                <w:sz w:val="15"/>
                <w:szCs w:val="15"/>
                <w:color w:val="auto"/>
              </w:rPr>
            </w:pP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0.6</w:t>
            </w:r>
          </w:p>
        </w:tc>
        <w:tc>
          <w:tcPr>
            <w:tcW w:w="11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1.6</w:t>
            </w:r>
          </w:p>
        </w:tc>
        <w:tc>
          <w:tcPr>
            <w:tcW w:w="280" w:type="dxa"/>
            <w:vAlign w:val="bottom"/>
          </w:tcPr>
          <w:p>
            <w:pPr>
              <w:spacing w:after="0"/>
              <w:rPr>
                <w:sz w:val="15"/>
                <w:szCs w:val="15"/>
                <w:color w:val="auto"/>
              </w:rPr>
            </w:pPr>
          </w:p>
        </w:tc>
        <w:tc>
          <w:tcPr>
            <w:tcW w:w="10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0.2</w:t>
            </w: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2.5</w:t>
            </w:r>
          </w:p>
        </w:tc>
        <w:tc>
          <w:tcPr>
            <w:tcW w:w="600" w:type="dxa"/>
            <w:vAlign w:val="bottom"/>
          </w:tcPr>
          <w:p>
            <w:pPr>
              <w:spacing w:after="0"/>
              <w:rPr>
                <w:sz w:val="15"/>
                <w:szCs w:val="15"/>
                <w:color w:val="auto"/>
              </w:rPr>
            </w:pP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0.2</w:t>
            </w:r>
          </w:p>
        </w:tc>
      </w:tr>
      <w:tr>
        <w:trPr>
          <w:trHeight w:val="179"/>
        </w:trPr>
        <w:tc>
          <w:tcPr>
            <w:tcW w:w="3480" w:type="dxa"/>
            <w:vAlign w:val="bottom"/>
          </w:tcPr>
          <w:p>
            <w:pPr>
              <w:spacing w:after="0" w:line="179" w:lineRule="exact"/>
              <w:rPr>
                <w:sz w:val="20"/>
                <w:szCs w:val="20"/>
                <w:color w:val="auto"/>
              </w:rPr>
            </w:pPr>
            <w:r>
              <w:rPr>
                <w:rFonts w:ascii="Courier New" w:cs="Courier New" w:eastAsia="Courier New" w:hAnsi="Courier New"/>
                <w:sz w:val="16"/>
                <w:szCs w:val="16"/>
                <w:color w:val="auto"/>
              </w:rPr>
              <w:t>Stock issued in conjunction with</w:t>
            </w:r>
          </w:p>
        </w:tc>
        <w:tc>
          <w:tcPr>
            <w:tcW w:w="1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348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mergers and acquisitions...........</w:t>
            </w:r>
          </w:p>
        </w:tc>
        <w:tc>
          <w:tcPr>
            <w:tcW w:w="126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28.9</w:t>
            </w:r>
          </w:p>
        </w:tc>
        <w:tc>
          <w:tcPr>
            <w:tcW w:w="460" w:type="dxa"/>
            <w:vAlign w:val="bottom"/>
          </w:tcPr>
          <w:p>
            <w:pPr>
              <w:spacing w:after="0"/>
              <w:rPr>
                <w:sz w:val="15"/>
                <w:szCs w:val="15"/>
                <w:color w:val="auto"/>
              </w:rPr>
            </w:pP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2.9</w:t>
            </w:r>
          </w:p>
        </w:tc>
        <w:tc>
          <w:tcPr>
            <w:tcW w:w="11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1.0</w:t>
            </w:r>
          </w:p>
        </w:tc>
        <w:tc>
          <w:tcPr>
            <w:tcW w:w="280" w:type="dxa"/>
            <w:vAlign w:val="bottom"/>
          </w:tcPr>
          <w:p>
            <w:pPr>
              <w:spacing w:after="0"/>
              <w:rPr>
                <w:sz w:val="15"/>
                <w:szCs w:val="15"/>
                <w:color w:val="auto"/>
              </w:rPr>
            </w:pPr>
          </w:p>
        </w:tc>
        <w:tc>
          <w:tcPr>
            <w:tcW w:w="10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0.1</w:t>
            </w: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1.4</w:t>
            </w:r>
          </w:p>
        </w:tc>
        <w:tc>
          <w:tcPr>
            <w:tcW w:w="600" w:type="dxa"/>
            <w:vAlign w:val="bottom"/>
          </w:tcPr>
          <w:p>
            <w:pPr>
              <w:spacing w:after="0"/>
              <w:rPr>
                <w:sz w:val="15"/>
                <w:szCs w:val="15"/>
                <w:color w:val="auto"/>
              </w:rPr>
            </w:pP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0.1</w:t>
            </w:r>
          </w:p>
        </w:tc>
      </w:tr>
      <w:tr>
        <w:trPr>
          <w:trHeight w:val="179"/>
        </w:trPr>
        <w:tc>
          <w:tcPr>
            <w:tcW w:w="3480" w:type="dxa"/>
            <w:vAlign w:val="bottom"/>
          </w:tcPr>
          <w:p>
            <w:pPr>
              <w:spacing w:after="0"/>
              <w:rPr>
                <w:sz w:val="15"/>
                <w:szCs w:val="15"/>
                <w:color w:val="auto"/>
              </w:rPr>
            </w:pPr>
          </w:p>
        </w:tc>
        <w:tc>
          <w:tcPr>
            <w:tcW w:w="126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480" w:type="dxa"/>
            <w:vAlign w:val="bottom"/>
          </w:tcPr>
          <w:p>
            <w:pPr>
              <w:spacing w:after="0" w:line="179" w:lineRule="exact"/>
              <w:rPr>
                <w:sz w:val="20"/>
                <w:szCs w:val="20"/>
                <w:color w:val="auto"/>
              </w:rPr>
            </w:pPr>
            <w:r>
              <w:rPr>
                <w:rFonts w:ascii="Courier New" w:cs="Courier New" w:eastAsia="Courier New" w:hAnsi="Courier New"/>
                <w:sz w:val="16"/>
                <w:szCs w:val="16"/>
                <w:color w:val="auto"/>
              </w:rPr>
              <w:t>Balance at end of year..............</w:t>
            </w:r>
          </w:p>
        </w:tc>
        <w:tc>
          <w:tcPr>
            <w:tcW w:w="126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252.2</w:t>
            </w:r>
          </w:p>
        </w:tc>
        <w:tc>
          <w:tcPr>
            <w:tcW w:w="4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25.2</w:t>
            </w:r>
          </w:p>
        </w:tc>
        <w:tc>
          <w:tcPr>
            <w:tcW w:w="11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217.1</w:t>
            </w:r>
          </w:p>
        </w:tc>
        <w:tc>
          <w:tcPr>
            <w:tcW w:w="280" w:type="dxa"/>
            <w:vAlign w:val="bottom"/>
          </w:tcPr>
          <w:p>
            <w:pPr>
              <w:spacing w:after="0"/>
              <w:rPr>
                <w:sz w:val="15"/>
                <w:szCs w:val="15"/>
                <w:color w:val="auto"/>
              </w:rPr>
            </w:pPr>
          </w:p>
        </w:tc>
        <w:tc>
          <w:tcPr>
            <w:tcW w:w="10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21.7</w:t>
            </w: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214.5</w:t>
            </w:r>
          </w:p>
        </w:tc>
        <w:tc>
          <w:tcPr>
            <w:tcW w:w="6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21.4</w:t>
            </w:r>
          </w:p>
        </w:tc>
      </w:tr>
      <w:tr>
        <w:trPr>
          <w:trHeight w:val="179"/>
        </w:trPr>
        <w:tc>
          <w:tcPr>
            <w:tcW w:w="3480" w:type="dxa"/>
            <w:vAlign w:val="bottom"/>
          </w:tcPr>
          <w:p>
            <w:pPr>
              <w:spacing w:after="0"/>
              <w:rPr>
                <w:sz w:val="15"/>
                <w:szCs w:val="15"/>
                <w:color w:val="auto"/>
              </w:rPr>
            </w:pPr>
          </w:p>
        </w:tc>
        <w:tc>
          <w:tcPr>
            <w:tcW w:w="126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3480" w:type="dxa"/>
            <w:vAlign w:val="bottom"/>
          </w:tcPr>
          <w:p>
            <w:pPr>
              <w:spacing w:after="0"/>
              <w:rPr>
                <w:sz w:val="20"/>
                <w:szCs w:val="20"/>
                <w:color w:val="auto"/>
              </w:rPr>
            </w:pPr>
            <w:r>
              <w:rPr>
                <w:rFonts w:ascii="Courier New" w:cs="Courier New" w:eastAsia="Courier New" w:hAnsi="Courier New"/>
                <w:sz w:val="16"/>
                <w:szCs w:val="16"/>
                <w:color w:val="auto"/>
              </w:rPr>
              <w:t>Class A Common Stock</w:t>
            </w:r>
          </w:p>
        </w:tc>
        <w:tc>
          <w:tcPr>
            <w:tcW w:w="1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9"/>
        </w:trPr>
        <w:tc>
          <w:tcPr>
            <w:tcW w:w="3480" w:type="dxa"/>
            <w:vAlign w:val="bottom"/>
          </w:tcPr>
          <w:p>
            <w:pPr>
              <w:spacing w:after="0" w:line="179" w:lineRule="exact"/>
              <w:rPr>
                <w:sz w:val="20"/>
                <w:szCs w:val="20"/>
                <w:color w:val="auto"/>
              </w:rPr>
            </w:pPr>
            <w:r>
              <w:rPr>
                <w:rFonts w:ascii="Courier New" w:cs="Courier New" w:eastAsia="Courier New" w:hAnsi="Courier New"/>
                <w:sz w:val="16"/>
                <w:szCs w:val="16"/>
                <w:color w:val="auto"/>
              </w:rPr>
              <w:t>Balance at beginning of year........</w:t>
            </w:r>
          </w:p>
        </w:tc>
        <w:tc>
          <w:tcPr>
            <w:tcW w:w="126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4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10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480" w:type="dxa"/>
            <w:vAlign w:val="bottom"/>
          </w:tcPr>
          <w:p>
            <w:pPr>
              <w:spacing w:after="0" w:line="179" w:lineRule="exact"/>
              <w:rPr>
                <w:sz w:val="20"/>
                <w:szCs w:val="20"/>
                <w:color w:val="auto"/>
              </w:rPr>
            </w:pPr>
            <w:r>
              <w:rPr>
                <w:rFonts w:ascii="Courier New" w:cs="Courier New" w:eastAsia="Courier New" w:hAnsi="Courier New"/>
                <w:sz w:val="16"/>
                <w:szCs w:val="16"/>
                <w:color w:val="auto"/>
              </w:rPr>
              <w:t>Stock issued to Intel...............</w:t>
            </w:r>
          </w:p>
        </w:tc>
        <w:tc>
          <w:tcPr>
            <w:tcW w:w="126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15.8</w:t>
            </w:r>
          </w:p>
        </w:tc>
        <w:tc>
          <w:tcPr>
            <w:tcW w:w="460" w:type="dxa"/>
            <w:vAlign w:val="bottom"/>
          </w:tcPr>
          <w:p>
            <w:pPr>
              <w:spacing w:after="0"/>
              <w:rPr>
                <w:sz w:val="15"/>
                <w:szCs w:val="15"/>
                <w:color w:val="auto"/>
              </w:rPr>
            </w:pP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1.6</w:t>
            </w:r>
          </w:p>
        </w:tc>
        <w:tc>
          <w:tcPr>
            <w:tcW w:w="11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10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600" w:type="dxa"/>
            <w:vAlign w:val="bottom"/>
          </w:tcPr>
          <w:p>
            <w:pPr>
              <w:spacing w:after="0"/>
              <w:rPr>
                <w:sz w:val="15"/>
                <w:szCs w:val="15"/>
                <w:color w:val="auto"/>
              </w:rPr>
            </w:pP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480" w:type="dxa"/>
            <w:vAlign w:val="bottom"/>
          </w:tcPr>
          <w:p>
            <w:pPr>
              <w:spacing w:after="0"/>
              <w:rPr>
                <w:sz w:val="15"/>
                <w:szCs w:val="15"/>
                <w:color w:val="auto"/>
              </w:rPr>
            </w:pPr>
          </w:p>
        </w:tc>
        <w:tc>
          <w:tcPr>
            <w:tcW w:w="126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480" w:type="dxa"/>
            <w:vAlign w:val="bottom"/>
          </w:tcPr>
          <w:p>
            <w:pPr>
              <w:spacing w:after="0" w:line="179" w:lineRule="exact"/>
              <w:rPr>
                <w:sz w:val="20"/>
                <w:szCs w:val="20"/>
                <w:color w:val="auto"/>
              </w:rPr>
            </w:pPr>
            <w:r>
              <w:rPr>
                <w:rFonts w:ascii="Courier New" w:cs="Courier New" w:eastAsia="Courier New" w:hAnsi="Courier New"/>
                <w:sz w:val="16"/>
                <w:szCs w:val="16"/>
                <w:color w:val="auto"/>
              </w:rPr>
              <w:t>Balance at end of year..............</w:t>
            </w:r>
          </w:p>
        </w:tc>
        <w:tc>
          <w:tcPr>
            <w:tcW w:w="126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15.8</w:t>
            </w:r>
          </w:p>
        </w:tc>
        <w:tc>
          <w:tcPr>
            <w:tcW w:w="4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1.6</w:t>
            </w:r>
          </w:p>
        </w:tc>
        <w:tc>
          <w:tcPr>
            <w:tcW w:w="11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10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480" w:type="dxa"/>
            <w:vAlign w:val="bottom"/>
          </w:tcPr>
          <w:p>
            <w:pPr>
              <w:spacing w:after="0"/>
              <w:rPr>
                <w:sz w:val="15"/>
                <w:szCs w:val="15"/>
                <w:color w:val="auto"/>
              </w:rPr>
            </w:pPr>
          </w:p>
        </w:tc>
        <w:tc>
          <w:tcPr>
            <w:tcW w:w="126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3480" w:type="dxa"/>
            <w:vAlign w:val="bottom"/>
          </w:tcPr>
          <w:p>
            <w:pPr>
              <w:spacing w:after="0"/>
              <w:rPr>
                <w:sz w:val="20"/>
                <w:szCs w:val="20"/>
                <w:color w:val="auto"/>
              </w:rPr>
            </w:pPr>
            <w:r>
              <w:rPr>
                <w:rFonts w:ascii="Courier New" w:cs="Courier New" w:eastAsia="Courier New" w:hAnsi="Courier New"/>
                <w:sz w:val="16"/>
                <w:szCs w:val="16"/>
                <w:color w:val="auto"/>
              </w:rPr>
              <w:t>Additional capital</w:t>
            </w:r>
          </w:p>
        </w:tc>
        <w:tc>
          <w:tcPr>
            <w:tcW w:w="1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9"/>
        </w:trPr>
        <w:tc>
          <w:tcPr>
            <w:tcW w:w="3480" w:type="dxa"/>
            <w:vAlign w:val="bottom"/>
          </w:tcPr>
          <w:p>
            <w:pPr>
              <w:spacing w:after="0" w:line="179" w:lineRule="exact"/>
              <w:rPr>
                <w:sz w:val="20"/>
                <w:szCs w:val="20"/>
                <w:color w:val="auto"/>
              </w:rPr>
            </w:pPr>
            <w:r>
              <w:rPr>
                <w:rFonts w:ascii="Courier New" w:cs="Courier New" w:eastAsia="Courier New" w:hAnsi="Courier New"/>
                <w:sz w:val="16"/>
                <w:szCs w:val="16"/>
                <w:color w:val="auto"/>
              </w:rPr>
              <w:t>Balance at beginning of year........</w:t>
            </w:r>
          </w:p>
        </w:tc>
        <w:tc>
          <w:tcPr>
            <w:tcW w:w="1260" w:type="dxa"/>
            <w:vAlign w:val="bottom"/>
          </w:tcPr>
          <w:p>
            <w:pPr>
              <w:spacing w:after="0"/>
              <w:rPr>
                <w:sz w:val="15"/>
                <w:szCs w:val="15"/>
                <w:color w:val="auto"/>
              </w:rPr>
            </w:pPr>
          </w:p>
        </w:tc>
        <w:tc>
          <w:tcPr>
            <w:tcW w:w="4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1"/>
              </w:rPr>
              <w:t>565.4</w:t>
            </w:r>
          </w:p>
        </w:tc>
        <w:tc>
          <w:tcPr>
            <w:tcW w:w="1120" w:type="dxa"/>
            <w:vAlign w:val="bottom"/>
          </w:tcPr>
          <w:p>
            <w:pPr>
              <w:spacing w:after="0"/>
              <w:rPr>
                <w:sz w:val="15"/>
                <w:szCs w:val="15"/>
                <w:color w:val="auto"/>
              </w:rPr>
            </w:pPr>
          </w:p>
        </w:tc>
        <w:tc>
          <w:tcPr>
            <w:tcW w:w="28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521.9</w:t>
            </w:r>
          </w:p>
        </w:tc>
        <w:tc>
          <w:tcPr>
            <w:tcW w:w="1120" w:type="dxa"/>
            <w:vAlign w:val="bottom"/>
          </w:tcPr>
          <w:p>
            <w:pPr>
              <w:spacing w:after="0"/>
              <w:rPr>
                <w:sz w:val="15"/>
                <w:szCs w:val="15"/>
                <w:color w:val="auto"/>
              </w:rPr>
            </w:pPr>
          </w:p>
        </w:tc>
        <w:tc>
          <w:tcPr>
            <w:tcW w:w="6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450.4</w:t>
            </w:r>
          </w:p>
        </w:tc>
      </w:tr>
      <w:tr>
        <w:trPr>
          <w:trHeight w:val="179"/>
        </w:trPr>
        <w:tc>
          <w:tcPr>
            <w:tcW w:w="3480" w:type="dxa"/>
            <w:vAlign w:val="bottom"/>
          </w:tcPr>
          <w:p>
            <w:pPr>
              <w:spacing w:after="0" w:line="179" w:lineRule="exact"/>
              <w:rPr>
                <w:sz w:val="20"/>
                <w:szCs w:val="20"/>
                <w:color w:val="auto"/>
              </w:rPr>
            </w:pPr>
            <w:r>
              <w:rPr>
                <w:rFonts w:ascii="Courier New" w:cs="Courier New" w:eastAsia="Courier New" w:hAnsi="Courier New"/>
                <w:sz w:val="16"/>
                <w:szCs w:val="16"/>
                <w:color w:val="auto"/>
              </w:rPr>
              <w:t>Stock issued to Intel...............</w:t>
            </w:r>
          </w:p>
        </w:tc>
        <w:tc>
          <w:tcPr>
            <w:tcW w:w="1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1"/>
              </w:rPr>
              <w:t>498.4</w:t>
            </w: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480" w:type="dxa"/>
            <w:vAlign w:val="bottom"/>
          </w:tcPr>
          <w:p>
            <w:pPr>
              <w:spacing w:after="0" w:line="179" w:lineRule="exact"/>
              <w:rPr>
                <w:sz w:val="20"/>
                <w:szCs w:val="20"/>
                <w:color w:val="auto"/>
              </w:rPr>
            </w:pPr>
            <w:r>
              <w:rPr>
                <w:rFonts w:ascii="Courier New" w:cs="Courier New" w:eastAsia="Courier New" w:hAnsi="Courier New"/>
                <w:sz w:val="16"/>
                <w:szCs w:val="16"/>
                <w:color w:val="auto"/>
              </w:rPr>
              <w:t>Stock issued in conjunction  with</w:t>
            </w:r>
          </w:p>
        </w:tc>
        <w:tc>
          <w:tcPr>
            <w:tcW w:w="1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348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mergers and acquisitions...........</w:t>
            </w:r>
          </w:p>
        </w:tc>
        <w:tc>
          <w:tcPr>
            <w:tcW w:w="1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1"/>
              </w:rPr>
              <w:t>653.5</w:t>
            </w: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17.8</w:t>
            </w:r>
          </w:p>
        </w:tc>
        <w:tc>
          <w:tcPr>
            <w:tcW w:w="1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22.4</w:t>
            </w:r>
          </w:p>
        </w:tc>
      </w:tr>
      <w:tr>
        <w:trPr>
          <w:trHeight w:val="358"/>
        </w:trPr>
        <w:tc>
          <w:tcPr>
            <w:tcW w:w="3480" w:type="dxa"/>
            <w:vAlign w:val="bottom"/>
          </w:tcPr>
          <w:p>
            <w:pPr>
              <w:spacing w:after="0"/>
              <w:rPr>
                <w:sz w:val="20"/>
                <w:szCs w:val="20"/>
                <w:color w:val="auto"/>
              </w:rPr>
            </w:pPr>
            <w:r>
              <w:rPr>
                <w:rFonts w:ascii="Courier New" w:cs="Courier New" w:eastAsia="Courier New" w:hAnsi="Courier New"/>
                <w:sz w:val="16"/>
                <w:szCs w:val="16"/>
                <w:color w:val="auto"/>
              </w:rPr>
              <w:t>Stock issued under stock plans......</w:t>
            </w:r>
          </w:p>
        </w:tc>
        <w:tc>
          <w:tcPr>
            <w:tcW w:w="1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1"/>
              </w:rPr>
              <w:t>121.8</w:t>
            </w: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20.5</w:t>
            </w:r>
          </w:p>
        </w:tc>
        <w:tc>
          <w:tcPr>
            <w:tcW w:w="1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34.6</w:t>
            </w:r>
          </w:p>
        </w:tc>
      </w:tr>
      <w:tr>
        <w:trPr>
          <w:trHeight w:val="179"/>
        </w:trPr>
        <w:tc>
          <w:tcPr>
            <w:tcW w:w="3480" w:type="dxa"/>
            <w:vAlign w:val="bottom"/>
          </w:tcPr>
          <w:p>
            <w:pPr>
              <w:spacing w:after="0" w:line="179" w:lineRule="exact"/>
              <w:rPr>
                <w:sz w:val="20"/>
                <w:szCs w:val="20"/>
                <w:color w:val="auto"/>
              </w:rPr>
            </w:pPr>
            <w:r>
              <w:rPr>
                <w:rFonts w:ascii="Courier New" w:cs="Courier New" w:eastAsia="Courier New" w:hAnsi="Courier New"/>
                <w:sz w:val="16"/>
                <w:szCs w:val="16"/>
                <w:color w:val="auto"/>
              </w:rPr>
              <w:t>Tax effect of stock purchase plans..</w:t>
            </w:r>
          </w:p>
        </w:tc>
        <w:tc>
          <w:tcPr>
            <w:tcW w:w="1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54.9</w:t>
            </w: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5.2</w:t>
            </w:r>
          </w:p>
        </w:tc>
        <w:tc>
          <w:tcPr>
            <w:tcW w:w="1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14.5</w:t>
            </w:r>
          </w:p>
        </w:tc>
      </w:tr>
      <w:tr>
        <w:trPr>
          <w:trHeight w:val="179"/>
        </w:trPr>
        <w:tc>
          <w:tcPr>
            <w:tcW w:w="34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6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spacing w:after="0"/>
              <w:rPr>
                <w:sz w:val="15"/>
                <w:szCs w:val="15"/>
                <w:color w:val="auto"/>
              </w:rPr>
            </w:pPr>
          </w:p>
        </w:tc>
        <w:tc>
          <w:tcPr>
            <w:tcW w:w="1300" w:type="dxa"/>
            <w:vAlign w:val="bottom"/>
            <w:gridSpan w:val="2"/>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spacing w:after="0"/>
              <w:rPr>
                <w:sz w:val="15"/>
                <w:szCs w:val="15"/>
                <w:color w:val="auto"/>
              </w:rPr>
            </w:pPr>
          </w:p>
        </w:tc>
        <w:tc>
          <w:tcPr>
            <w:tcW w:w="126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480" w:type="dxa"/>
            <w:vAlign w:val="bottom"/>
          </w:tcPr>
          <w:p>
            <w:pPr>
              <w:spacing w:after="0" w:line="179" w:lineRule="exact"/>
              <w:rPr>
                <w:sz w:val="20"/>
                <w:szCs w:val="20"/>
                <w:color w:val="auto"/>
              </w:rPr>
            </w:pPr>
            <w:r>
              <w:rPr>
                <w:rFonts w:ascii="Courier New" w:cs="Courier New" w:eastAsia="Courier New" w:hAnsi="Courier New"/>
                <w:sz w:val="16"/>
                <w:szCs w:val="16"/>
                <w:color w:val="auto"/>
              </w:rPr>
              <w:t>Balance at end of year..............</w:t>
            </w:r>
          </w:p>
        </w:tc>
        <w:tc>
          <w:tcPr>
            <w:tcW w:w="1260" w:type="dxa"/>
            <w:vAlign w:val="bottom"/>
          </w:tcPr>
          <w:p>
            <w:pPr>
              <w:spacing w:after="0"/>
              <w:rPr>
                <w:sz w:val="15"/>
                <w:szCs w:val="15"/>
                <w:color w:val="auto"/>
              </w:rPr>
            </w:pPr>
          </w:p>
        </w:tc>
        <w:tc>
          <w:tcPr>
            <w:tcW w:w="116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$1,894.0</w:t>
            </w:r>
          </w:p>
        </w:tc>
        <w:tc>
          <w:tcPr>
            <w:tcW w:w="1120" w:type="dxa"/>
            <w:vAlign w:val="bottom"/>
          </w:tcPr>
          <w:p>
            <w:pPr>
              <w:spacing w:after="0"/>
              <w:rPr>
                <w:sz w:val="15"/>
                <w:szCs w:val="15"/>
                <w:color w:val="auto"/>
              </w:rPr>
            </w:pPr>
          </w:p>
        </w:tc>
        <w:tc>
          <w:tcPr>
            <w:tcW w:w="28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565.4</w:t>
            </w:r>
          </w:p>
        </w:tc>
        <w:tc>
          <w:tcPr>
            <w:tcW w:w="1120" w:type="dxa"/>
            <w:vAlign w:val="bottom"/>
          </w:tcPr>
          <w:p>
            <w:pPr>
              <w:spacing w:after="0"/>
              <w:rPr>
                <w:sz w:val="15"/>
                <w:szCs w:val="15"/>
                <w:color w:val="auto"/>
              </w:rPr>
            </w:pPr>
          </w:p>
        </w:tc>
        <w:tc>
          <w:tcPr>
            <w:tcW w:w="6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521.9</w:t>
            </w:r>
          </w:p>
        </w:tc>
      </w:tr>
      <w:tr>
        <w:trPr>
          <w:trHeight w:val="179"/>
        </w:trPr>
        <w:tc>
          <w:tcPr>
            <w:tcW w:w="34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6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spacing w:after="0"/>
              <w:rPr>
                <w:sz w:val="15"/>
                <w:szCs w:val="15"/>
                <w:color w:val="auto"/>
              </w:rPr>
            </w:pPr>
          </w:p>
        </w:tc>
        <w:tc>
          <w:tcPr>
            <w:tcW w:w="1300" w:type="dxa"/>
            <w:vAlign w:val="bottom"/>
            <w:gridSpan w:val="2"/>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spacing w:after="0"/>
              <w:rPr>
                <w:sz w:val="15"/>
                <w:szCs w:val="15"/>
                <w:color w:val="auto"/>
              </w:rPr>
            </w:pPr>
          </w:p>
        </w:tc>
        <w:tc>
          <w:tcPr>
            <w:tcW w:w="126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3480" w:type="dxa"/>
            <w:vAlign w:val="bottom"/>
          </w:tcPr>
          <w:p>
            <w:pPr>
              <w:spacing w:after="0"/>
              <w:rPr>
                <w:sz w:val="20"/>
                <w:szCs w:val="20"/>
                <w:color w:val="auto"/>
              </w:rPr>
            </w:pPr>
            <w:r>
              <w:rPr>
                <w:rFonts w:ascii="Courier New" w:cs="Courier New" w:eastAsia="Courier New" w:hAnsi="Courier New"/>
                <w:sz w:val="16"/>
                <w:szCs w:val="16"/>
                <w:color w:val="auto"/>
              </w:rPr>
              <w:t>Retained earnings</w:t>
            </w:r>
          </w:p>
        </w:tc>
        <w:tc>
          <w:tcPr>
            <w:tcW w:w="1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9"/>
        </w:trPr>
        <w:tc>
          <w:tcPr>
            <w:tcW w:w="3480" w:type="dxa"/>
            <w:vAlign w:val="bottom"/>
          </w:tcPr>
          <w:p>
            <w:pPr>
              <w:spacing w:after="0" w:line="179" w:lineRule="exact"/>
              <w:rPr>
                <w:sz w:val="20"/>
                <w:szCs w:val="20"/>
                <w:color w:val="auto"/>
              </w:rPr>
            </w:pPr>
            <w:r>
              <w:rPr>
                <w:rFonts w:ascii="Courier New" w:cs="Courier New" w:eastAsia="Courier New" w:hAnsi="Courier New"/>
                <w:sz w:val="16"/>
                <w:szCs w:val="16"/>
                <w:color w:val="auto"/>
              </w:rPr>
              <w:t>Balance at beginning of year........</w:t>
            </w:r>
          </w:p>
        </w:tc>
        <w:tc>
          <w:tcPr>
            <w:tcW w:w="1260" w:type="dxa"/>
            <w:vAlign w:val="bottom"/>
          </w:tcPr>
          <w:p>
            <w:pPr>
              <w:spacing w:after="0"/>
              <w:rPr>
                <w:sz w:val="15"/>
                <w:szCs w:val="15"/>
                <w:color w:val="auto"/>
              </w:rPr>
            </w:pPr>
          </w:p>
        </w:tc>
        <w:tc>
          <w:tcPr>
            <w:tcW w:w="116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$2,114.3</w:t>
            </w:r>
          </w:p>
        </w:tc>
        <w:tc>
          <w:tcPr>
            <w:tcW w:w="1120" w:type="dxa"/>
            <w:vAlign w:val="bottom"/>
          </w:tcPr>
          <w:p>
            <w:pPr>
              <w:spacing w:after="0"/>
              <w:rPr>
                <w:sz w:val="15"/>
                <w:szCs w:val="15"/>
                <w:color w:val="auto"/>
              </w:rPr>
            </w:pPr>
          </w:p>
        </w:tc>
        <w:tc>
          <w:tcPr>
            <w:tcW w:w="1300" w:type="dxa"/>
            <w:vAlign w:val="bottom"/>
            <w:gridSpan w:val="2"/>
          </w:tcPr>
          <w:p>
            <w:pPr>
              <w:jc w:val="right"/>
              <w:ind w:right="342"/>
              <w:spacing w:after="0" w:line="179" w:lineRule="exact"/>
              <w:rPr>
                <w:sz w:val="20"/>
                <w:szCs w:val="20"/>
                <w:color w:val="auto"/>
              </w:rPr>
            </w:pPr>
            <w:r>
              <w:rPr>
                <w:rFonts w:ascii="Courier New" w:cs="Courier New" w:eastAsia="Courier New" w:hAnsi="Courier New"/>
                <w:sz w:val="16"/>
                <w:szCs w:val="16"/>
                <w:color w:val="auto"/>
              </w:rPr>
              <w:t>$2,361.4</w:t>
            </w:r>
          </w:p>
        </w:tc>
        <w:tc>
          <w:tcPr>
            <w:tcW w:w="1120" w:type="dxa"/>
            <w:vAlign w:val="bottom"/>
          </w:tcPr>
          <w:p>
            <w:pPr>
              <w:spacing w:after="0"/>
              <w:rPr>
                <w:sz w:val="15"/>
                <w:szCs w:val="15"/>
                <w:color w:val="auto"/>
              </w:rPr>
            </w:pPr>
          </w:p>
        </w:tc>
        <w:tc>
          <w:tcPr>
            <w:tcW w:w="126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$2,046.4</w:t>
            </w:r>
          </w:p>
        </w:tc>
      </w:tr>
      <w:tr>
        <w:trPr>
          <w:trHeight w:val="179"/>
        </w:trPr>
        <w:tc>
          <w:tcPr>
            <w:tcW w:w="3480" w:type="dxa"/>
            <w:vAlign w:val="bottom"/>
          </w:tcPr>
          <w:p>
            <w:pPr>
              <w:spacing w:after="0" w:line="179" w:lineRule="exact"/>
              <w:rPr>
                <w:sz w:val="20"/>
                <w:szCs w:val="20"/>
                <w:color w:val="auto"/>
              </w:rPr>
            </w:pPr>
            <w:r>
              <w:rPr>
                <w:rFonts w:ascii="Courier New" w:cs="Courier New" w:eastAsia="Courier New" w:hAnsi="Courier New"/>
                <w:sz w:val="16"/>
                <w:szCs w:val="16"/>
                <w:color w:val="auto"/>
              </w:rPr>
              <w:t>Net income (loss)...................</w:t>
            </w:r>
          </w:p>
        </w:tc>
        <w:tc>
          <w:tcPr>
            <w:tcW w:w="1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3"/>
              </w:rPr>
              <w:t>(68.9)</w:t>
            </w: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(247.1)</w:t>
            </w:r>
          </w:p>
        </w:tc>
        <w:tc>
          <w:tcPr>
            <w:tcW w:w="1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315.0</w:t>
            </w:r>
          </w:p>
        </w:tc>
      </w:tr>
      <w:tr>
        <w:trPr>
          <w:trHeight w:val="179"/>
        </w:trPr>
        <w:tc>
          <w:tcPr>
            <w:tcW w:w="34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6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spacing w:after="0"/>
              <w:rPr>
                <w:sz w:val="15"/>
                <w:szCs w:val="15"/>
                <w:color w:val="auto"/>
              </w:rPr>
            </w:pPr>
          </w:p>
        </w:tc>
        <w:tc>
          <w:tcPr>
            <w:tcW w:w="1300" w:type="dxa"/>
            <w:vAlign w:val="bottom"/>
            <w:gridSpan w:val="2"/>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spacing w:after="0"/>
              <w:rPr>
                <w:sz w:val="15"/>
                <w:szCs w:val="15"/>
                <w:color w:val="auto"/>
              </w:rPr>
            </w:pPr>
          </w:p>
        </w:tc>
        <w:tc>
          <w:tcPr>
            <w:tcW w:w="126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480" w:type="dxa"/>
            <w:vAlign w:val="bottom"/>
          </w:tcPr>
          <w:p>
            <w:pPr>
              <w:spacing w:after="0" w:line="179" w:lineRule="exact"/>
              <w:rPr>
                <w:sz w:val="20"/>
                <w:szCs w:val="20"/>
                <w:color w:val="auto"/>
              </w:rPr>
            </w:pPr>
            <w:r>
              <w:rPr>
                <w:rFonts w:ascii="Courier New" w:cs="Courier New" w:eastAsia="Courier New" w:hAnsi="Courier New"/>
                <w:sz w:val="16"/>
                <w:szCs w:val="16"/>
                <w:color w:val="auto"/>
              </w:rPr>
              <w:t>Balance at end of year..............</w:t>
            </w:r>
          </w:p>
        </w:tc>
        <w:tc>
          <w:tcPr>
            <w:tcW w:w="1260" w:type="dxa"/>
            <w:vAlign w:val="bottom"/>
          </w:tcPr>
          <w:p>
            <w:pPr>
              <w:spacing w:after="0"/>
              <w:rPr>
                <w:sz w:val="15"/>
                <w:szCs w:val="15"/>
                <w:color w:val="auto"/>
              </w:rPr>
            </w:pPr>
          </w:p>
        </w:tc>
        <w:tc>
          <w:tcPr>
            <w:tcW w:w="116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$2,045.4</w:t>
            </w:r>
          </w:p>
        </w:tc>
        <w:tc>
          <w:tcPr>
            <w:tcW w:w="1120" w:type="dxa"/>
            <w:vAlign w:val="bottom"/>
          </w:tcPr>
          <w:p>
            <w:pPr>
              <w:spacing w:after="0"/>
              <w:rPr>
                <w:sz w:val="15"/>
                <w:szCs w:val="15"/>
                <w:color w:val="auto"/>
              </w:rPr>
            </w:pPr>
          </w:p>
        </w:tc>
        <w:tc>
          <w:tcPr>
            <w:tcW w:w="1300" w:type="dxa"/>
            <w:vAlign w:val="bottom"/>
            <w:gridSpan w:val="2"/>
          </w:tcPr>
          <w:p>
            <w:pPr>
              <w:jc w:val="right"/>
              <w:ind w:right="342"/>
              <w:spacing w:after="0" w:line="179" w:lineRule="exact"/>
              <w:rPr>
                <w:sz w:val="20"/>
                <w:szCs w:val="20"/>
                <w:color w:val="auto"/>
              </w:rPr>
            </w:pPr>
            <w:r>
              <w:rPr>
                <w:rFonts w:ascii="Courier New" w:cs="Courier New" w:eastAsia="Courier New" w:hAnsi="Courier New"/>
                <w:sz w:val="16"/>
                <w:szCs w:val="16"/>
                <w:color w:val="auto"/>
              </w:rPr>
              <w:t>$2,114.3</w:t>
            </w:r>
          </w:p>
        </w:tc>
        <w:tc>
          <w:tcPr>
            <w:tcW w:w="1120" w:type="dxa"/>
            <w:vAlign w:val="bottom"/>
          </w:tcPr>
          <w:p>
            <w:pPr>
              <w:spacing w:after="0"/>
              <w:rPr>
                <w:sz w:val="15"/>
                <w:szCs w:val="15"/>
                <w:color w:val="auto"/>
              </w:rPr>
            </w:pPr>
          </w:p>
        </w:tc>
        <w:tc>
          <w:tcPr>
            <w:tcW w:w="126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$2,361.4</w:t>
            </w:r>
          </w:p>
        </w:tc>
      </w:tr>
      <w:tr>
        <w:trPr>
          <w:trHeight w:val="179"/>
        </w:trPr>
        <w:tc>
          <w:tcPr>
            <w:tcW w:w="34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6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spacing w:after="0"/>
              <w:rPr>
                <w:sz w:val="15"/>
                <w:szCs w:val="15"/>
                <w:color w:val="auto"/>
              </w:rPr>
            </w:pPr>
          </w:p>
        </w:tc>
        <w:tc>
          <w:tcPr>
            <w:tcW w:w="1300" w:type="dxa"/>
            <w:vAlign w:val="bottom"/>
            <w:gridSpan w:val="2"/>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spacing w:after="0"/>
              <w:rPr>
                <w:sz w:val="15"/>
                <w:szCs w:val="15"/>
                <w:color w:val="auto"/>
              </w:rPr>
            </w:pPr>
          </w:p>
        </w:tc>
        <w:tc>
          <w:tcPr>
            <w:tcW w:w="126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3480" w:type="dxa"/>
            <w:vAlign w:val="bottom"/>
          </w:tcPr>
          <w:p>
            <w:pPr>
              <w:spacing w:after="0"/>
              <w:rPr>
                <w:sz w:val="20"/>
                <w:szCs w:val="20"/>
                <w:color w:val="auto"/>
              </w:rPr>
            </w:pPr>
            <w:r>
              <w:rPr>
                <w:rFonts w:ascii="Courier New" w:cs="Courier New" w:eastAsia="Courier New" w:hAnsi="Courier New"/>
                <w:sz w:val="16"/>
                <w:szCs w:val="16"/>
                <w:color w:val="auto"/>
              </w:rPr>
              <w:t>Accumulated other comprehensive</w:t>
            </w:r>
          </w:p>
        </w:tc>
        <w:tc>
          <w:tcPr>
            <w:tcW w:w="1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9"/>
        </w:trPr>
        <w:tc>
          <w:tcPr>
            <w:tcW w:w="348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income (loss)</w:t>
            </w:r>
          </w:p>
        </w:tc>
        <w:tc>
          <w:tcPr>
            <w:tcW w:w="1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3480" w:type="dxa"/>
            <w:vAlign w:val="bottom"/>
          </w:tcPr>
          <w:p>
            <w:pPr>
              <w:spacing w:after="0" w:line="179" w:lineRule="exact"/>
              <w:rPr>
                <w:sz w:val="20"/>
                <w:szCs w:val="20"/>
                <w:color w:val="auto"/>
              </w:rPr>
            </w:pPr>
            <w:r>
              <w:rPr>
                <w:rFonts w:ascii="Courier New" w:cs="Courier New" w:eastAsia="Courier New" w:hAnsi="Courier New"/>
                <w:sz w:val="16"/>
                <w:szCs w:val="16"/>
                <w:color w:val="auto"/>
              </w:rPr>
              <w:t>Balance at beginning of year........</w:t>
            </w:r>
          </w:p>
        </w:tc>
        <w:tc>
          <w:tcPr>
            <w:tcW w:w="1260" w:type="dxa"/>
            <w:vAlign w:val="bottom"/>
          </w:tcPr>
          <w:p>
            <w:pPr>
              <w:spacing w:after="0"/>
              <w:rPr>
                <w:sz w:val="15"/>
                <w:szCs w:val="15"/>
                <w:color w:val="auto"/>
              </w:rPr>
            </w:pPr>
          </w:p>
        </w:tc>
        <w:tc>
          <w:tcPr>
            <w:tcW w:w="4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(0.1)</w:t>
            </w:r>
          </w:p>
        </w:tc>
        <w:tc>
          <w:tcPr>
            <w:tcW w:w="1120" w:type="dxa"/>
            <w:vAlign w:val="bottom"/>
          </w:tcPr>
          <w:p>
            <w:pPr>
              <w:spacing w:after="0"/>
              <w:rPr>
                <w:sz w:val="15"/>
                <w:szCs w:val="15"/>
                <w:color w:val="auto"/>
              </w:rPr>
            </w:pPr>
          </w:p>
        </w:tc>
        <w:tc>
          <w:tcPr>
            <w:tcW w:w="28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(0.5)</w:t>
            </w:r>
          </w:p>
        </w:tc>
        <w:tc>
          <w:tcPr>
            <w:tcW w:w="1120" w:type="dxa"/>
            <w:vAlign w:val="bottom"/>
          </w:tcPr>
          <w:p>
            <w:pPr>
              <w:spacing w:after="0"/>
              <w:rPr>
                <w:sz w:val="15"/>
                <w:szCs w:val="15"/>
                <w:color w:val="auto"/>
              </w:rPr>
            </w:pPr>
          </w:p>
        </w:tc>
        <w:tc>
          <w:tcPr>
            <w:tcW w:w="6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480" w:type="dxa"/>
            <w:vAlign w:val="bottom"/>
          </w:tcPr>
          <w:p>
            <w:pPr>
              <w:spacing w:after="0" w:line="179" w:lineRule="exact"/>
              <w:rPr>
                <w:sz w:val="20"/>
                <w:szCs w:val="20"/>
                <w:color w:val="auto"/>
              </w:rPr>
            </w:pPr>
            <w:r>
              <w:rPr>
                <w:rFonts w:ascii="Courier New" w:cs="Courier New" w:eastAsia="Courier New" w:hAnsi="Courier New"/>
                <w:sz w:val="16"/>
                <w:szCs w:val="16"/>
                <w:color w:val="auto"/>
              </w:rPr>
              <w:t>Foreign currency translation........</w:t>
            </w:r>
          </w:p>
        </w:tc>
        <w:tc>
          <w:tcPr>
            <w:tcW w:w="1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0.4</w:t>
            </w:r>
          </w:p>
        </w:tc>
        <w:tc>
          <w:tcPr>
            <w:tcW w:w="1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(0.5)</w:t>
            </w:r>
          </w:p>
        </w:tc>
      </w:tr>
      <w:tr>
        <w:trPr>
          <w:trHeight w:val="179"/>
        </w:trPr>
        <w:tc>
          <w:tcPr>
            <w:tcW w:w="3480" w:type="dxa"/>
            <w:vAlign w:val="bottom"/>
          </w:tcPr>
          <w:p>
            <w:pPr>
              <w:spacing w:after="0" w:line="179" w:lineRule="exact"/>
              <w:rPr>
                <w:sz w:val="20"/>
                <w:szCs w:val="20"/>
                <w:color w:val="auto"/>
              </w:rPr>
            </w:pPr>
            <w:r>
              <w:rPr>
                <w:rFonts w:ascii="Courier New" w:cs="Courier New" w:eastAsia="Courier New" w:hAnsi="Courier New"/>
                <w:sz w:val="16"/>
                <w:szCs w:val="16"/>
                <w:color w:val="auto"/>
              </w:rPr>
              <w:t>Unrealized loss on investments......</w:t>
            </w:r>
          </w:p>
        </w:tc>
        <w:tc>
          <w:tcPr>
            <w:tcW w:w="1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(2.0)</w:t>
            </w: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4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6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spacing w:after="0"/>
              <w:rPr>
                <w:sz w:val="15"/>
                <w:szCs w:val="15"/>
                <w:color w:val="auto"/>
              </w:rPr>
            </w:pPr>
          </w:p>
        </w:tc>
        <w:tc>
          <w:tcPr>
            <w:tcW w:w="1300" w:type="dxa"/>
            <w:vAlign w:val="bottom"/>
            <w:gridSpan w:val="2"/>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spacing w:after="0"/>
              <w:rPr>
                <w:sz w:val="15"/>
                <w:szCs w:val="15"/>
                <w:color w:val="auto"/>
              </w:rPr>
            </w:pPr>
          </w:p>
        </w:tc>
        <w:tc>
          <w:tcPr>
            <w:tcW w:w="126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480" w:type="dxa"/>
            <w:vAlign w:val="bottom"/>
          </w:tcPr>
          <w:p>
            <w:pPr>
              <w:spacing w:after="0" w:line="179" w:lineRule="exact"/>
              <w:rPr>
                <w:sz w:val="20"/>
                <w:szCs w:val="20"/>
                <w:color w:val="auto"/>
              </w:rPr>
            </w:pPr>
            <w:r>
              <w:rPr>
                <w:rFonts w:ascii="Courier New" w:cs="Courier New" w:eastAsia="Courier New" w:hAnsi="Courier New"/>
                <w:sz w:val="16"/>
                <w:szCs w:val="16"/>
                <w:color w:val="auto"/>
              </w:rPr>
              <w:t>Balance at end of year..............</w:t>
            </w:r>
          </w:p>
        </w:tc>
        <w:tc>
          <w:tcPr>
            <w:tcW w:w="1260" w:type="dxa"/>
            <w:vAlign w:val="bottom"/>
          </w:tcPr>
          <w:p>
            <w:pPr>
              <w:spacing w:after="0"/>
              <w:rPr>
                <w:sz w:val="15"/>
                <w:szCs w:val="15"/>
                <w:color w:val="auto"/>
              </w:rPr>
            </w:pPr>
          </w:p>
        </w:tc>
        <w:tc>
          <w:tcPr>
            <w:tcW w:w="4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(2.1)</w:t>
            </w:r>
          </w:p>
        </w:tc>
        <w:tc>
          <w:tcPr>
            <w:tcW w:w="1120" w:type="dxa"/>
            <w:vAlign w:val="bottom"/>
          </w:tcPr>
          <w:p>
            <w:pPr>
              <w:spacing w:after="0"/>
              <w:rPr>
                <w:sz w:val="15"/>
                <w:szCs w:val="15"/>
                <w:color w:val="auto"/>
              </w:rPr>
            </w:pPr>
          </w:p>
        </w:tc>
        <w:tc>
          <w:tcPr>
            <w:tcW w:w="28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(0.1)</w:t>
            </w:r>
          </w:p>
        </w:tc>
        <w:tc>
          <w:tcPr>
            <w:tcW w:w="1120" w:type="dxa"/>
            <w:vAlign w:val="bottom"/>
          </w:tcPr>
          <w:p>
            <w:pPr>
              <w:spacing w:after="0"/>
              <w:rPr>
                <w:sz w:val="15"/>
                <w:szCs w:val="15"/>
                <w:color w:val="auto"/>
              </w:rPr>
            </w:pPr>
          </w:p>
        </w:tc>
        <w:tc>
          <w:tcPr>
            <w:tcW w:w="6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(0.5)</w:t>
            </w:r>
          </w:p>
        </w:tc>
      </w:tr>
      <w:tr>
        <w:trPr>
          <w:trHeight w:val="179"/>
        </w:trPr>
        <w:tc>
          <w:tcPr>
            <w:tcW w:w="34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6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spacing w:after="0"/>
              <w:rPr>
                <w:sz w:val="15"/>
                <w:szCs w:val="15"/>
                <w:color w:val="auto"/>
              </w:rPr>
            </w:pPr>
          </w:p>
        </w:tc>
        <w:tc>
          <w:tcPr>
            <w:tcW w:w="1300" w:type="dxa"/>
            <w:vAlign w:val="bottom"/>
            <w:gridSpan w:val="2"/>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spacing w:after="0"/>
              <w:rPr>
                <w:sz w:val="15"/>
                <w:szCs w:val="15"/>
                <w:color w:val="auto"/>
              </w:rPr>
            </w:pPr>
          </w:p>
        </w:tc>
        <w:tc>
          <w:tcPr>
            <w:tcW w:w="126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3260"/>
        <w:spacing w:after="0"/>
        <w:rPr>
          <w:sz w:val="20"/>
          <w:szCs w:val="20"/>
          <w:color w:val="auto"/>
        </w:rPr>
      </w:pPr>
      <w:r>
        <w:rPr>
          <w:rFonts w:ascii="Courier New" w:cs="Courier New" w:eastAsia="Courier New" w:hAnsi="Courier New"/>
          <w:sz w:val="16"/>
          <w:szCs w:val="16"/>
          <w:color w:val="auto"/>
        </w:rPr>
        <w:t>Certain Fiscal 1998 and 1997 amounts have been restated as a result of a</w:t>
      </w:r>
    </w:p>
    <w:p>
      <w:pPr>
        <w:jc w:val="center"/>
        <w:ind w:right="3260"/>
        <w:spacing w:after="0" w:line="236" w:lineRule="auto"/>
        <w:rPr>
          <w:sz w:val="20"/>
          <w:szCs w:val="20"/>
          <w:color w:val="auto"/>
        </w:rPr>
      </w:pPr>
      <w:r>
        <w:rPr>
          <w:rFonts w:ascii="Courier New" w:cs="Courier New" w:eastAsia="Courier New" w:hAnsi="Courier New"/>
          <w:sz w:val="16"/>
          <w:szCs w:val="16"/>
          <w:color w:val="auto"/>
        </w:rPr>
        <w:t>pooling-of-interests merger.</w:t>
      </w:r>
    </w:p>
    <w:p>
      <w:pPr>
        <w:jc w:val="center"/>
        <w:ind w:right="3260"/>
        <w:spacing w:after="0" w:line="237" w:lineRule="auto"/>
        <w:rPr>
          <w:sz w:val="20"/>
          <w:szCs w:val="20"/>
          <w:color w:val="auto"/>
        </w:rPr>
      </w:pPr>
      <w:r>
        <w:rPr>
          <w:rFonts w:ascii="Courier New" w:cs="Courier New" w:eastAsia="Courier New" w:hAnsi="Courier New"/>
          <w:sz w:val="16"/>
          <w:szCs w:val="16"/>
          <w:color w:val="auto"/>
        </w:rPr>
        <w:t>See accompanying notes to consolidated financial statements.</w:t>
      </w:r>
    </w:p>
    <w:p>
      <w:pPr>
        <w:spacing w:after="0" w:line="177"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31/57</w:t>
      </w:r>
    </w:p>
    <w:p>
      <w:pPr>
        <w:sectPr>
          <w:pgSz w:w="11900" w:h="16838" w:orient="portrait"/>
          <w:cols w:equalWidth="0" w:num="1">
            <w:col w:w="10700"/>
          </w:cols>
          <w:pgMar w:left="240" w:top="648" w:right="959" w:bottom="1440" w:gutter="0" w:footer="0" w:header="0"/>
        </w:sectPr>
      </w:pPr>
    </w:p>
    <w:bookmarkStart w:id="31" w:name="page32"/>
    <w:bookmarkEnd w:id="31"/>
    <w:p>
      <w:pPr>
        <w:jc w:val="center"/>
        <w:ind w:right="4000"/>
        <w:spacing w:after="0"/>
        <w:rPr>
          <w:sz w:val="20"/>
          <w:szCs w:val="20"/>
          <w:color w:val="auto"/>
        </w:rPr>
      </w:pPr>
      <w:r>
        <w:rPr>
          <w:rFonts w:ascii="Courier New" w:cs="Courier New" w:eastAsia="Courier New" w:hAnsi="Courier New"/>
          <w:sz w:val="16"/>
          <w:szCs w:val="16"/>
          <w:color w:val="auto"/>
        </w:rPr>
        <w:t>MICRON TECHNOLOGY, INC.</w:t>
      </w:r>
    </w:p>
    <w:p>
      <w:pPr>
        <w:spacing w:after="0" w:line="177" w:lineRule="exact"/>
        <w:rPr>
          <w:sz w:val="20"/>
          <w:szCs w:val="20"/>
          <w:color w:val="auto"/>
        </w:rPr>
      </w:pPr>
    </w:p>
    <w:p>
      <w:pPr>
        <w:jc w:val="center"/>
        <w:ind w:right="4000"/>
        <w:spacing w:after="0"/>
        <w:rPr>
          <w:sz w:val="20"/>
          <w:szCs w:val="20"/>
          <w:color w:val="auto"/>
        </w:rPr>
      </w:pPr>
      <w:r>
        <w:rPr>
          <w:rFonts w:ascii="Courier New" w:cs="Courier New" w:eastAsia="Courier New" w:hAnsi="Courier New"/>
          <w:sz w:val="16"/>
          <w:szCs w:val="16"/>
          <w:color w:val="auto"/>
        </w:rPr>
        <w:t>CONSOLIDATED STATEMENTS OF CASH FLOWS</w:t>
      </w:r>
    </w:p>
    <w:p>
      <w:pPr>
        <w:jc w:val="center"/>
        <w:ind w:right="4000"/>
        <w:spacing w:after="0" w:line="236" w:lineRule="auto"/>
        <w:rPr>
          <w:sz w:val="20"/>
          <w:szCs w:val="20"/>
          <w:color w:val="auto"/>
        </w:rPr>
      </w:pPr>
      <w:r>
        <w:rPr>
          <w:rFonts w:ascii="Courier New" w:cs="Courier New" w:eastAsia="Courier New" w:hAnsi="Courier New"/>
          <w:sz w:val="16"/>
          <w:szCs w:val="16"/>
          <w:color w:val="auto"/>
        </w:rPr>
        <w:t>(Dollars in millions)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72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w w:val="99"/>
              </w:rPr>
              <w:t>Fiscal year ended</w:t>
            </w: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9"/>
        </w:trPr>
        <w:tc>
          <w:tcPr>
            <w:tcW w:w="7200" w:type="dxa"/>
            <w:vAlign w:val="bottom"/>
          </w:tcPr>
          <w:p>
            <w:pPr>
              <w:spacing w:after="0"/>
              <w:rPr>
                <w:sz w:val="15"/>
                <w:szCs w:val="15"/>
                <w:color w:val="auto"/>
              </w:rPr>
            </w:pPr>
          </w:p>
        </w:tc>
        <w:tc>
          <w:tcPr>
            <w:tcW w:w="4140" w:type="dxa"/>
            <w:vAlign w:val="bottom"/>
            <w:gridSpan w:val="6"/>
          </w:tcPr>
          <w:p>
            <w:pPr>
              <w:ind w:left="140"/>
              <w:spacing w:after="0" w:line="179" w:lineRule="exact"/>
              <w:rPr>
                <w:sz w:val="20"/>
                <w:szCs w:val="20"/>
                <w:color w:val="auto"/>
              </w:rPr>
            </w:pPr>
            <w:r>
              <w:rPr>
                <w:rFonts w:ascii="Courier New" w:cs="Courier New" w:eastAsia="Courier New" w:hAnsi="Courier New"/>
                <w:sz w:val="16"/>
                <w:szCs w:val="16"/>
                <w:color w:val="auto"/>
                <w:w w:val="96"/>
              </w:rPr>
              <w:t>-------------------------------------------</w:t>
            </w:r>
          </w:p>
        </w:tc>
      </w:tr>
      <w:tr>
        <w:trPr>
          <w:trHeight w:val="179"/>
        </w:trPr>
        <w:tc>
          <w:tcPr>
            <w:tcW w:w="7200" w:type="dxa"/>
            <w:vAlign w:val="bottom"/>
          </w:tcPr>
          <w:p>
            <w:pPr>
              <w:spacing w:after="0"/>
              <w:rPr>
                <w:sz w:val="15"/>
                <w:szCs w:val="15"/>
                <w:color w:val="auto"/>
              </w:rPr>
            </w:pPr>
          </w:p>
        </w:tc>
        <w:tc>
          <w:tcPr>
            <w:tcW w:w="13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September 2,</w:t>
            </w:r>
          </w:p>
        </w:tc>
        <w:tc>
          <w:tcPr>
            <w:tcW w:w="172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September 3,</w:t>
            </w:r>
          </w:p>
        </w:tc>
        <w:tc>
          <w:tcPr>
            <w:tcW w:w="112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August 28,</w:t>
            </w:r>
          </w:p>
        </w:tc>
      </w:tr>
      <w:tr>
        <w:trPr>
          <w:trHeight w:val="179"/>
        </w:trPr>
        <w:tc>
          <w:tcPr>
            <w:tcW w:w="7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1999</w:t>
            </w:r>
          </w:p>
        </w:tc>
        <w:tc>
          <w:tcPr>
            <w:tcW w:w="660" w:type="dxa"/>
            <w:vAlign w:val="bottom"/>
          </w:tcPr>
          <w:p>
            <w:pPr>
              <w:spacing w:after="0"/>
              <w:rPr>
                <w:sz w:val="15"/>
                <w:szCs w:val="15"/>
                <w:color w:val="auto"/>
              </w:rPr>
            </w:pPr>
          </w:p>
        </w:tc>
        <w:tc>
          <w:tcPr>
            <w:tcW w:w="106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rPr>
              <w:t>1998</w:t>
            </w:r>
          </w:p>
        </w:tc>
        <w:tc>
          <w:tcPr>
            <w:tcW w:w="340" w:type="dxa"/>
            <w:vAlign w:val="bottom"/>
          </w:tcPr>
          <w:p>
            <w:pPr>
              <w:spacing w:after="0"/>
              <w:rPr>
                <w:sz w:val="15"/>
                <w:szCs w:val="15"/>
                <w:color w:val="auto"/>
              </w:rPr>
            </w:pPr>
          </w:p>
        </w:tc>
        <w:tc>
          <w:tcPr>
            <w:tcW w:w="7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1997</w:t>
            </w:r>
          </w:p>
        </w:tc>
      </w:tr>
      <w:tr>
        <w:trPr>
          <w:trHeight w:val="179"/>
        </w:trPr>
        <w:tc>
          <w:tcPr>
            <w:tcW w:w="7200" w:type="dxa"/>
            <w:vAlign w:val="bottom"/>
          </w:tcPr>
          <w:p>
            <w:pPr>
              <w:spacing w:after="0"/>
              <w:rPr>
                <w:sz w:val="15"/>
                <w:szCs w:val="15"/>
                <w:color w:val="auto"/>
              </w:rPr>
            </w:pPr>
          </w:p>
        </w:tc>
        <w:tc>
          <w:tcPr>
            <w:tcW w:w="130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w w:val="98"/>
              </w:rPr>
              <w:t>------------</w:t>
            </w:r>
          </w:p>
        </w:tc>
        <w:tc>
          <w:tcPr>
            <w:tcW w:w="172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7200" w:type="dxa"/>
            <w:vAlign w:val="bottom"/>
          </w:tcPr>
          <w:p>
            <w:pPr>
              <w:spacing w:after="0"/>
              <w:rPr>
                <w:sz w:val="20"/>
                <w:szCs w:val="20"/>
                <w:color w:val="auto"/>
              </w:rPr>
            </w:pPr>
            <w:r>
              <w:rPr>
                <w:rFonts w:ascii="Courier New" w:cs="Courier New" w:eastAsia="Courier New" w:hAnsi="Courier New"/>
                <w:sz w:val="16"/>
                <w:szCs w:val="16"/>
                <w:color w:val="auto"/>
              </w:rPr>
              <w:t>Cash flows from operating activities</w:t>
            </w: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9"/>
        </w:trPr>
        <w:tc>
          <w:tcPr>
            <w:tcW w:w="720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Net income (loss)...........................................................</w:t>
            </w:r>
          </w:p>
        </w:tc>
        <w:tc>
          <w:tcPr>
            <w:tcW w:w="3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(68.9)</w:t>
            </w:r>
          </w:p>
        </w:tc>
        <w:tc>
          <w:tcPr>
            <w:tcW w:w="1720" w:type="dxa"/>
            <w:vAlign w:val="bottom"/>
            <w:gridSpan w:val="2"/>
          </w:tcPr>
          <w:p>
            <w:pPr>
              <w:jc w:val="right"/>
              <w:ind w:right="282"/>
              <w:spacing w:after="0" w:line="179" w:lineRule="exact"/>
              <w:rPr>
                <w:sz w:val="20"/>
                <w:szCs w:val="20"/>
                <w:color w:val="auto"/>
              </w:rPr>
            </w:pPr>
            <w:r>
              <w:rPr>
                <w:rFonts w:ascii="Courier New" w:cs="Courier New" w:eastAsia="Courier New" w:hAnsi="Courier New"/>
                <w:sz w:val="16"/>
                <w:szCs w:val="16"/>
                <w:color w:val="auto"/>
              </w:rPr>
              <w:t>$ (247.1)</w:t>
            </w:r>
          </w:p>
        </w:tc>
        <w:tc>
          <w:tcPr>
            <w:tcW w:w="3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315.0</w:t>
            </w:r>
          </w:p>
        </w:tc>
      </w:tr>
      <w:tr>
        <w:trPr>
          <w:trHeight w:val="179"/>
        </w:trPr>
        <w:tc>
          <w:tcPr>
            <w:tcW w:w="7200" w:type="dxa"/>
            <w:vAlign w:val="bottom"/>
          </w:tcPr>
          <w:p>
            <w:pPr>
              <w:spacing w:after="0" w:line="179" w:lineRule="exact"/>
              <w:rPr>
                <w:sz w:val="20"/>
                <w:szCs w:val="20"/>
                <w:color w:val="auto"/>
              </w:rPr>
            </w:pPr>
            <w:r>
              <w:rPr>
                <w:rFonts w:ascii="Courier New" w:cs="Courier New" w:eastAsia="Courier New" w:hAnsi="Courier New"/>
                <w:sz w:val="16"/>
                <w:szCs w:val="16"/>
                <w:color w:val="auto"/>
              </w:rPr>
              <w:t>Adjustments to reconcile net income (loss) to net cash provided by</w:t>
            </w:r>
          </w:p>
        </w:tc>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9"/>
        </w:trPr>
        <w:tc>
          <w:tcPr>
            <w:tcW w:w="7200" w:type="dxa"/>
            <w:vAlign w:val="bottom"/>
          </w:tcPr>
          <w:p>
            <w:pPr>
              <w:spacing w:after="0" w:line="179" w:lineRule="exact"/>
              <w:rPr>
                <w:sz w:val="20"/>
                <w:szCs w:val="20"/>
                <w:color w:val="auto"/>
              </w:rPr>
            </w:pPr>
            <w:r>
              <w:rPr>
                <w:rFonts w:ascii="Courier New" w:cs="Courier New" w:eastAsia="Courier New" w:hAnsi="Courier New"/>
                <w:sz w:val="16"/>
                <w:szCs w:val="16"/>
                <w:color w:val="auto"/>
              </w:rPr>
              <w:t>operating activities:</w:t>
            </w:r>
          </w:p>
        </w:tc>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9"/>
        </w:trPr>
        <w:tc>
          <w:tcPr>
            <w:tcW w:w="72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7"/>
              </w:rPr>
              <w:t>Depreciation and amortization..............................................</w:t>
            </w:r>
          </w:p>
        </w:tc>
        <w:tc>
          <w:tcPr>
            <w:tcW w:w="340" w:type="dxa"/>
            <w:vAlign w:val="bottom"/>
          </w:tcPr>
          <w:p>
            <w:pPr>
              <w:spacing w:after="0"/>
              <w:rPr>
                <w:sz w:val="15"/>
                <w:szCs w:val="15"/>
                <w:color w:val="auto"/>
              </w:rPr>
            </w:pPr>
          </w:p>
        </w:tc>
        <w:tc>
          <w:tcPr>
            <w:tcW w:w="9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843.3</w:t>
            </w:r>
          </w:p>
        </w:tc>
        <w:tc>
          <w:tcPr>
            <w:tcW w:w="660" w:type="dxa"/>
            <w:vAlign w:val="bottom"/>
          </w:tcPr>
          <w:p>
            <w:pPr>
              <w:spacing w:after="0"/>
              <w:rPr>
                <w:sz w:val="15"/>
                <w:szCs w:val="15"/>
                <w:color w:val="auto"/>
              </w:rPr>
            </w:pPr>
          </w:p>
        </w:tc>
        <w:tc>
          <w:tcPr>
            <w:tcW w:w="106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606.6</w:t>
            </w:r>
          </w:p>
        </w:tc>
        <w:tc>
          <w:tcPr>
            <w:tcW w:w="340" w:type="dxa"/>
            <w:vAlign w:val="bottom"/>
          </w:tcPr>
          <w:p>
            <w:pPr>
              <w:spacing w:after="0"/>
              <w:rPr>
                <w:sz w:val="15"/>
                <w:szCs w:val="15"/>
                <w:color w:val="auto"/>
              </w:rPr>
            </w:pPr>
          </w:p>
        </w:tc>
        <w:tc>
          <w:tcPr>
            <w:tcW w:w="7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476.3</w:t>
            </w:r>
          </w:p>
        </w:tc>
      </w:tr>
      <w:tr>
        <w:trPr>
          <w:trHeight w:val="179"/>
        </w:trPr>
        <w:tc>
          <w:tcPr>
            <w:tcW w:w="72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7"/>
              </w:rPr>
              <w:t>Gain on sale and issuance of investments and subsidiary stock, net.........</w:t>
            </w:r>
          </w:p>
        </w:tc>
        <w:tc>
          <w:tcPr>
            <w:tcW w:w="340" w:type="dxa"/>
            <w:vAlign w:val="bottom"/>
          </w:tcPr>
          <w:p>
            <w:pPr>
              <w:spacing w:after="0"/>
              <w:rPr>
                <w:sz w:val="15"/>
                <w:szCs w:val="15"/>
                <w:color w:val="auto"/>
              </w:rPr>
            </w:pPr>
          </w:p>
        </w:tc>
        <w:tc>
          <w:tcPr>
            <w:tcW w:w="9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(2.1)</w:t>
            </w:r>
          </w:p>
        </w:tc>
        <w:tc>
          <w:tcPr>
            <w:tcW w:w="660" w:type="dxa"/>
            <w:vAlign w:val="bottom"/>
          </w:tcPr>
          <w:p>
            <w:pPr>
              <w:spacing w:after="0"/>
              <w:rPr>
                <w:sz w:val="15"/>
                <w:szCs w:val="15"/>
                <w:color w:val="auto"/>
              </w:rPr>
            </w:pPr>
          </w:p>
        </w:tc>
        <w:tc>
          <w:tcPr>
            <w:tcW w:w="106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(157.0)</w:t>
            </w:r>
          </w:p>
        </w:tc>
        <w:tc>
          <w:tcPr>
            <w:tcW w:w="340" w:type="dxa"/>
            <w:vAlign w:val="bottom"/>
          </w:tcPr>
          <w:p>
            <w:pPr>
              <w:spacing w:after="0"/>
              <w:rPr>
                <w:sz w:val="15"/>
                <w:szCs w:val="15"/>
                <w:color w:val="auto"/>
              </w:rPr>
            </w:pPr>
          </w:p>
        </w:tc>
        <w:tc>
          <w:tcPr>
            <w:tcW w:w="7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(186.6)</w:t>
            </w:r>
          </w:p>
        </w:tc>
      </w:tr>
      <w:tr>
        <w:trPr>
          <w:trHeight w:val="179"/>
        </w:trPr>
        <w:tc>
          <w:tcPr>
            <w:tcW w:w="72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7"/>
              </w:rPr>
              <w:t>Additional paid in capital tax effect from stock purchase plans............</w:t>
            </w:r>
          </w:p>
        </w:tc>
        <w:tc>
          <w:tcPr>
            <w:tcW w:w="340" w:type="dxa"/>
            <w:vAlign w:val="bottom"/>
          </w:tcPr>
          <w:p>
            <w:pPr>
              <w:spacing w:after="0"/>
              <w:rPr>
                <w:sz w:val="15"/>
                <w:szCs w:val="15"/>
                <w:color w:val="auto"/>
              </w:rPr>
            </w:pPr>
          </w:p>
        </w:tc>
        <w:tc>
          <w:tcPr>
            <w:tcW w:w="9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54.9</w:t>
            </w:r>
          </w:p>
        </w:tc>
        <w:tc>
          <w:tcPr>
            <w:tcW w:w="660" w:type="dxa"/>
            <w:vAlign w:val="bottom"/>
          </w:tcPr>
          <w:p>
            <w:pPr>
              <w:spacing w:after="0"/>
              <w:rPr>
                <w:sz w:val="15"/>
                <w:szCs w:val="15"/>
                <w:color w:val="auto"/>
              </w:rPr>
            </w:pPr>
          </w:p>
        </w:tc>
        <w:tc>
          <w:tcPr>
            <w:tcW w:w="106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5.2</w:t>
            </w:r>
          </w:p>
        </w:tc>
        <w:tc>
          <w:tcPr>
            <w:tcW w:w="340" w:type="dxa"/>
            <w:vAlign w:val="bottom"/>
          </w:tcPr>
          <w:p>
            <w:pPr>
              <w:spacing w:after="0"/>
              <w:rPr>
                <w:sz w:val="15"/>
                <w:szCs w:val="15"/>
                <w:color w:val="auto"/>
              </w:rPr>
            </w:pPr>
          </w:p>
        </w:tc>
        <w:tc>
          <w:tcPr>
            <w:tcW w:w="7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14.5</w:t>
            </w:r>
          </w:p>
        </w:tc>
      </w:tr>
      <w:tr>
        <w:trPr>
          <w:trHeight w:val="179"/>
        </w:trPr>
        <w:tc>
          <w:tcPr>
            <w:tcW w:w="72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7"/>
              </w:rPr>
              <w:t>Change in assets and liabilities, net of effects of acquisition and sale of</w:t>
            </w:r>
          </w:p>
        </w:tc>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9"/>
        </w:trPr>
        <w:tc>
          <w:tcPr>
            <w:tcW w:w="720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MCMS in 1998:</w:t>
            </w:r>
          </w:p>
        </w:tc>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9"/>
        </w:trPr>
        <w:tc>
          <w:tcPr>
            <w:tcW w:w="72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Increase in receivables..................................................</w:t>
            </w:r>
          </w:p>
        </w:tc>
        <w:tc>
          <w:tcPr>
            <w:tcW w:w="340" w:type="dxa"/>
            <w:vAlign w:val="bottom"/>
          </w:tcPr>
          <w:p>
            <w:pPr>
              <w:spacing w:after="0"/>
              <w:rPr>
                <w:sz w:val="15"/>
                <w:szCs w:val="15"/>
                <w:color w:val="auto"/>
              </w:rPr>
            </w:pPr>
          </w:p>
        </w:tc>
        <w:tc>
          <w:tcPr>
            <w:tcW w:w="9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(98.9)</w:t>
            </w:r>
          </w:p>
        </w:tc>
        <w:tc>
          <w:tcPr>
            <w:tcW w:w="660" w:type="dxa"/>
            <w:vAlign w:val="bottom"/>
          </w:tcPr>
          <w:p>
            <w:pPr>
              <w:spacing w:after="0"/>
              <w:rPr>
                <w:sz w:val="15"/>
                <w:szCs w:val="15"/>
                <w:color w:val="auto"/>
              </w:rPr>
            </w:pPr>
          </w:p>
        </w:tc>
        <w:tc>
          <w:tcPr>
            <w:tcW w:w="106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(73.8)</w:t>
            </w:r>
          </w:p>
        </w:tc>
        <w:tc>
          <w:tcPr>
            <w:tcW w:w="340" w:type="dxa"/>
            <w:vAlign w:val="bottom"/>
          </w:tcPr>
          <w:p>
            <w:pPr>
              <w:spacing w:after="0"/>
              <w:rPr>
                <w:sz w:val="15"/>
                <w:szCs w:val="15"/>
                <w:color w:val="auto"/>
              </w:rPr>
            </w:pPr>
          </w:p>
        </w:tc>
        <w:tc>
          <w:tcPr>
            <w:tcW w:w="7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(97.7)</w:t>
            </w:r>
          </w:p>
        </w:tc>
      </w:tr>
      <w:tr>
        <w:trPr>
          <w:trHeight w:val="179"/>
        </w:trPr>
        <w:tc>
          <w:tcPr>
            <w:tcW w:w="72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Decrease (increase) in inventories.......................................</w:t>
            </w:r>
          </w:p>
        </w:tc>
        <w:tc>
          <w:tcPr>
            <w:tcW w:w="340" w:type="dxa"/>
            <w:vAlign w:val="bottom"/>
          </w:tcPr>
          <w:p>
            <w:pPr>
              <w:spacing w:after="0"/>
              <w:rPr>
                <w:sz w:val="15"/>
                <w:szCs w:val="15"/>
                <w:color w:val="auto"/>
              </w:rPr>
            </w:pPr>
          </w:p>
        </w:tc>
        <w:tc>
          <w:tcPr>
            <w:tcW w:w="9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(42.8)</w:t>
            </w:r>
          </w:p>
        </w:tc>
        <w:tc>
          <w:tcPr>
            <w:tcW w:w="660" w:type="dxa"/>
            <w:vAlign w:val="bottom"/>
          </w:tcPr>
          <w:p>
            <w:pPr>
              <w:spacing w:after="0"/>
              <w:rPr>
                <w:sz w:val="15"/>
                <w:szCs w:val="15"/>
                <w:color w:val="auto"/>
              </w:rPr>
            </w:pPr>
          </w:p>
        </w:tc>
        <w:tc>
          <w:tcPr>
            <w:tcW w:w="106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140.0</w:t>
            </w:r>
          </w:p>
        </w:tc>
        <w:tc>
          <w:tcPr>
            <w:tcW w:w="340" w:type="dxa"/>
            <w:vAlign w:val="bottom"/>
          </w:tcPr>
          <w:p>
            <w:pPr>
              <w:spacing w:after="0"/>
              <w:rPr>
                <w:sz w:val="15"/>
                <w:szCs w:val="15"/>
                <w:color w:val="auto"/>
              </w:rPr>
            </w:pPr>
          </w:p>
        </w:tc>
        <w:tc>
          <w:tcPr>
            <w:tcW w:w="7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(194.2)</w:t>
            </w:r>
          </w:p>
        </w:tc>
      </w:tr>
      <w:tr>
        <w:trPr>
          <w:trHeight w:val="179"/>
        </w:trPr>
        <w:tc>
          <w:tcPr>
            <w:tcW w:w="720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Increase (decrease) in accounts payable and accrued expenses,</w:t>
            </w:r>
          </w:p>
        </w:tc>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9"/>
        </w:trPr>
        <w:tc>
          <w:tcPr>
            <w:tcW w:w="72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net of plant and equipment purchases...................................</w:t>
            </w:r>
          </w:p>
        </w:tc>
        <w:tc>
          <w:tcPr>
            <w:tcW w:w="340" w:type="dxa"/>
            <w:vAlign w:val="bottom"/>
          </w:tcPr>
          <w:p>
            <w:pPr>
              <w:spacing w:after="0"/>
              <w:rPr>
                <w:sz w:val="15"/>
                <w:szCs w:val="15"/>
                <w:color w:val="auto"/>
              </w:rPr>
            </w:pPr>
          </w:p>
        </w:tc>
        <w:tc>
          <w:tcPr>
            <w:tcW w:w="9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142.4</w:t>
            </w:r>
          </w:p>
        </w:tc>
        <w:tc>
          <w:tcPr>
            <w:tcW w:w="660" w:type="dxa"/>
            <w:vAlign w:val="bottom"/>
          </w:tcPr>
          <w:p>
            <w:pPr>
              <w:spacing w:after="0"/>
              <w:rPr>
                <w:sz w:val="15"/>
                <w:szCs w:val="15"/>
                <w:color w:val="auto"/>
              </w:rPr>
            </w:pPr>
          </w:p>
        </w:tc>
        <w:tc>
          <w:tcPr>
            <w:tcW w:w="106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(86.1)</w:t>
            </w:r>
          </w:p>
        </w:tc>
        <w:tc>
          <w:tcPr>
            <w:tcW w:w="340" w:type="dxa"/>
            <w:vAlign w:val="bottom"/>
          </w:tcPr>
          <w:p>
            <w:pPr>
              <w:spacing w:after="0"/>
              <w:rPr>
                <w:sz w:val="15"/>
                <w:szCs w:val="15"/>
                <w:color w:val="auto"/>
              </w:rPr>
            </w:pPr>
          </w:p>
        </w:tc>
        <w:tc>
          <w:tcPr>
            <w:tcW w:w="7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143.7</w:t>
            </w:r>
          </w:p>
        </w:tc>
      </w:tr>
      <w:tr>
        <w:trPr>
          <w:trHeight w:val="179"/>
        </w:trPr>
        <w:tc>
          <w:tcPr>
            <w:tcW w:w="72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7"/>
              </w:rPr>
              <w:t>Other......................................................................</w:t>
            </w:r>
          </w:p>
        </w:tc>
        <w:tc>
          <w:tcPr>
            <w:tcW w:w="340" w:type="dxa"/>
            <w:vAlign w:val="bottom"/>
          </w:tcPr>
          <w:p>
            <w:pPr>
              <w:spacing w:after="0"/>
              <w:rPr>
                <w:sz w:val="15"/>
                <w:szCs w:val="15"/>
                <w:color w:val="auto"/>
              </w:rPr>
            </w:pPr>
          </w:p>
        </w:tc>
        <w:tc>
          <w:tcPr>
            <w:tcW w:w="9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20.0</w:t>
            </w:r>
          </w:p>
        </w:tc>
        <w:tc>
          <w:tcPr>
            <w:tcW w:w="660" w:type="dxa"/>
            <w:vAlign w:val="bottom"/>
          </w:tcPr>
          <w:p>
            <w:pPr>
              <w:spacing w:after="0"/>
              <w:rPr>
                <w:sz w:val="15"/>
                <w:szCs w:val="15"/>
                <w:color w:val="auto"/>
              </w:rPr>
            </w:pPr>
          </w:p>
        </w:tc>
        <w:tc>
          <w:tcPr>
            <w:tcW w:w="106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(22.4)</w:t>
            </w:r>
          </w:p>
        </w:tc>
        <w:tc>
          <w:tcPr>
            <w:tcW w:w="340" w:type="dxa"/>
            <w:vAlign w:val="bottom"/>
          </w:tcPr>
          <w:p>
            <w:pPr>
              <w:spacing w:after="0"/>
              <w:rPr>
                <w:sz w:val="15"/>
                <w:szCs w:val="15"/>
                <w:color w:val="auto"/>
              </w:rPr>
            </w:pPr>
          </w:p>
        </w:tc>
        <w:tc>
          <w:tcPr>
            <w:tcW w:w="7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105.3</w:t>
            </w:r>
          </w:p>
        </w:tc>
      </w:tr>
      <w:tr>
        <w:trPr>
          <w:trHeight w:val="179"/>
        </w:trPr>
        <w:tc>
          <w:tcPr>
            <w:tcW w:w="7200" w:type="dxa"/>
            <w:vAlign w:val="bottom"/>
          </w:tcPr>
          <w:p>
            <w:pPr>
              <w:spacing w:after="0"/>
              <w:rPr>
                <w:sz w:val="15"/>
                <w:szCs w:val="15"/>
                <w:color w:val="auto"/>
              </w:rPr>
            </w:pPr>
          </w:p>
        </w:tc>
        <w:tc>
          <w:tcPr>
            <w:tcW w:w="130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720" w:type="dxa"/>
            <w:vAlign w:val="bottom"/>
            <w:gridSpan w:val="2"/>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72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6"/>
              </w:rPr>
              <w:t>Net cash provided by operating activities...................................</w:t>
            </w:r>
          </w:p>
        </w:tc>
        <w:tc>
          <w:tcPr>
            <w:tcW w:w="340" w:type="dxa"/>
            <w:vAlign w:val="bottom"/>
          </w:tcPr>
          <w:p>
            <w:pPr>
              <w:spacing w:after="0"/>
              <w:rPr>
                <w:sz w:val="15"/>
                <w:szCs w:val="15"/>
                <w:color w:val="auto"/>
              </w:rPr>
            </w:pPr>
          </w:p>
        </w:tc>
        <w:tc>
          <w:tcPr>
            <w:tcW w:w="9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847.9</w:t>
            </w:r>
          </w:p>
        </w:tc>
        <w:tc>
          <w:tcPr>
            <w:tcW w:w="660" w:type="dxa"/>
            <w:vAlign w:val="bottom"/>
          </w:tcPr>
          <w:p>
            <w:pPr>
              <w:spacing w:after="0"/>
              <w:rPr>
                <w:sz w:val="15"/>
                <w:szCs w:val="15"/>
                <w:color w:val="auto"/>
              </w:rPr>
            </w:pPr>
          </w:p>
        </w:tc>
        <w:tc>
          <w:tcPr>
            <w:tcW w:w="106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165.4</w:t>
            </w:r>
          </w:p>
        </w:tc>
        <w:tc>
          <w:tcPr>
            <w:tcW w:w="340" w:type="dxa"/>
            <w:vAlign w:val="bottom"/>
          </w:tcPr>
          <w:p>
            <w:pPr>
              <w:spacing w:after="0"/>
              <w:rPr>
                <w:sz w:val="15"/>
                <w:szCs w:val="15"/>
                <w:color w:val="auto"/>
              </w:rPr>
            </w:pPr>
          </w:p>
        </w:tc>
        <w:tc>
          <w:tcPr>
            <w:tcW w:w="7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576.3</w:t>
            </w:r>
          </w:p>
        </w:tc>
      </w:tr>
      <w:tr>
        <w:trPr>
          <w:trHeight w:val="358"/>
        </w:trPr>
        <w:tc>
          <w:tcPr>
            <w:tcW w:w="7200" w:type="dxa"/>
            <w:vAlign w:val="bottom"/>
          </w:tcPr>
          <w:p>
            <w:pPr>
              <w:spacing w:after="0"/>
              <w:rPr>
                <w:sz w:val="20"/>
                <w:szCs w:val="20"/>
                <w:color w:val="auto"/>
              </w:rPr>
            </w:pPr>
            <w:r>
              <w:rPr>
                <w:rFonts w:ascii="Courier New" w:cs="Courier New" w:eastAsia="Courier New" w:hAnsi="Courier New"/>
                <w:sz w:val="16"/>
                <w:szCs w:val="16"/>
                <w:color w:val="auto"/>
              </w:rPr>
              <w:t>Cash flows from investing activities</w:t>
            </w: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9"/>
        </w:trPr>
        <w:tc>
          <w:tcPr>
            <w:tcW w:w="72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6"/>
              </w:rPr>
              <w:t>Expenditures for property, plant and equipment..............................</w:t>
            </w:r>
          </w:p>
        </w:tc>
        <w:tc>
          <w:tcPr>
            <w:tcW w:w="340" w:type="dxa"/>
            <w:vAlign w:val="bottom"/>
          </w:tcPr>
          <w:p>
            <w:pPr>
              <w:spacing w:after="0"/>
              <w:rPr>
                <w:sz w:val="15"/>
                <w:szCs w:val="15"/>
                <w:color w:val="auto"/>
              </w:rPr>
            </w:pPr>
          </w:p>
        </w:tc>
        <w:tc>
          <w:tcPr>
            <w:tcW w:w="9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(803.9)</w:t>
            </w:r>
          </w:p>
        </w:tc>
        <w:tc>
          <w:tcPr>
            <w:tcW w:w="660" w:type="dxa"/>
            <w:vAlign w:val="bottom"/>
          </w:tcPr>
          <w:p>
            <w:pPr>
              <w:spacing w:after="0"/>
              <w:rPr>
                <w:sz w:val="15"/>
                <w:szCs w:val="15"/>
                <w:color w:val="auto"/>
              </w:rPr>
            </w:pPr>
          </w:p>
        </w:tc>
        <w:tc>
          <w:tcPr>
            <w:tcW w:w="106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(707.1)</w:t>
            </w:r>
          </w:p>
        </w:tc>
        <w:tc>
          <w:tcPr>
            <w:tcW w:w="340" w:type="dxa"/>
            <w:vAlign w:val="bottom"/>
          </w:tcPr>
          <w:p>
            <w:pPr>
              <w:spacing w:after="0"/>
              <w:rPr>
                <w:sz w:val="15"/>
                <w:szCs w:val="15"/>
                <w:color w:val="auto"/>
              </w:rPr>
            </w:pPr>
          </w:p>
        </w:tc>
        <w:tc>
          <w:tcPr>
            <w:tcW w:w="7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(516.9)</w:t>
            </w:r>
          </w:p>
        </w:tc>
      </w:tr>
      <w:tr>
        <w:trPr>
          <w:trHeight w:val="179"/>
        </w:trPr>
        <w:tc>
          <w:tcPr>
            <w:tcW w:w="72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6"/>
              </w:rPr>
              <w:t>Purchase of available-for-sale securities...................................</w:t>
            </w:r>
          </w:p>
        </w:tc>
        <w:tc>
          <w:tcPr>
            <w:tcW w:w="340" w:type="dxa"/>
            <w:vAlign w:val="bottom"/>
          </w:tcPr>
          <w:p>
            <w:pPr>
              <w:spacing w:after="0"/>
              <w:rPr>
                <w:sz w:val="15"/>
                <w:szCs w:val="15"/>
                <w:color w:val="auto"/>
              </w:rPr>
            </w:pPr>
          </w:p>
        </w:tc>
        <w:tc>
          <w:tcPr>
            <w:tcW w:w="9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2"/>
              </w:rPr>
              <w:t>(2,683.4)</w:t>
            </w:r>
          </w:p>
        </w:tc>
        <w:tc>
          <w:tcPr>
            <w:tcW w:w="660" w:type="dxa"/>
            <w:vAlign w:val="bottom"/>
          </w:tcPr>
          <w:p>
            <w:pPr>
              <w:spacing w:after="0"/>
              <w:rPr>
                <w:sz w:val="15"/>
                <w:szCs w:val="15"/>
                <w:color w:val="auto"/>
              </w:rPr>
            </w:pPr>
          </w:p>
        </w:tc>
        <w:tc>
          <w:tcPr>
            <w:tcW w:w="106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(601.1)</w:t>
            </w:r>
          </w:p>
        </w:tc>
        <w:tc>
          <w:tcPr>
            <w:tcW w:w="340" w:type="dxa"/>
            <w:vAlign w:val="bottom"/>
          </w:tcPr>
          <w:p>
            <w:pPr>
              <w:spacing w:after="0"/>
              <w:rPr>
                <w:sz w:val="15"/>
                <w:szCs w:val="15"/>
                <w:color w:val="auto"/>
              </w:rPr>
            </w:pPr>
          </w:p>
        </w:tc>
        <w:tc>
          <w:tcPr>
            <w:tcW w:w="7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(436.7)</w:t>
            </w:r>
          </w:p>
        </w:tc>
      </w:tr>
      <w:tr>
        <w:trPr>
          <w:trHeight w:val="179"/>
        </w:trPr>
        <w:tc>
          <w:tcPr>
            <w:tcW w:w="72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6"/>
              </w:rPr>
              <w:t>Purchase of held-to-maturity securities.....................................</w:t>
            </w:r>
          </w:p>
        </w:tc>
        <w:tc>
          <w:tcPr>
            <w:tcW w:w="340" w:type="dxa"/>
            <w:vAlign w:val="bottom"/>
          </w:tcPr>
          <w:p>
            <w:pPr>
              <w:spacing w:after="0"/>
              <w:rPr>
                <w:sz w:val="15"/>
                <w:szCs w:val="15"/>
                <w:color w:val="auto"/>
              </w:rPr>
            </w:pPr>
          </w:p>
        </w:tc>
        <w:tc>
          <w:tcPr>
            <w:tcW w:w="9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(205.3)</w:t>
            </w:r>
          </w:p>
        </w:tc>
        <w:tc>
          <w:tcPr>
            <w:tcW w:w="660" w:type="dxa"/>
            <w:vAlign w:val="bottom"/>
          </w:tcPr>
          <w:p>
            <w:pPr>
              <w:spacing w:after="0"/>
              <w:rPr>
                <w:sz w:val="15"/>
                <w:szCs w:val="15"/>
                <w:color w:val="auto"/>
              </w:rPr>
            </w:pPr>
          </w:p>
        </w:tc>
        <w:tc>
          <w:tcPr>
            <w:tcW w:w="106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(52.5)</w:t>
            </w:r>
          </w:p>
        </w:tc>
        <w:tc>
          <w:tcPr>
            <w:tcW w:w="340" w:type="dxa"/>
            <w:vAlign w:val="bottom"/>
          </w:tcPr>
          <w:p>
            <w:pPr>
              <w:spacing w:after="0"/>
              <w:rPr>
                <w:sz w:val="15"/>
                <w:szCs w:val="15"/>
                <w:color w:val="auto"/>
              </w:rPr>
            </w:pPr>
          </w:p>
        </w:tc>
        <w:tc>
          <w:tcPr>
            <w:tcW w:w="7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(10.1)</w:t>
            </w:r>
          </w:p>
        </w:tc>
      </w:tr>
      <w:tr>
        <w:trPr>
          <w:trHeight w:val="179"/>
        </w:trPr>
        <w:tc>
          <w:tcPr>
            <w:tcW w:w="72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6"/>
              </w:rPr>
              <w:t>Proceeds from maturities of available-for-sale securities...................</w:t>
            </w:r>
          </w:p>
        </w:tc>
        <w:tc>
          <w:tcPr>
            <w:tcW w:w="340" w:type="dxa"/>
            <w:vAlign w:val="bottom"/>
          </w:tcPr>
          <w:p>
            <w:pPr>
              <w:spacing w:after="0"/>
              <w:rPr>
                <w:sz w:val="15"/>
                <w:szCs w:val="15"/>
                <w:color w:val="auto"/>
              </w:rPr>
            </w:pPr>
          </w:p>
        </w:tc>
        <w:tc>
          <w:tcPr>
            <w:tcW w:w="9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1,437.5</w:t>
            </w:r>
          </w:p>
        </w:tc>
        <w:tc>
          <w:tcPr>
            <w:tcW w:w="660" w:type="dxa"/>
            <w:vAlign w:val="bottom"/>
          </w:tcPr>
          <w:p>
            <w:pPr>
              <w:spacing w:after="0"/>
              <w:rPr>
                <w:sz w:val="15"/>
                <w:szCs w:val="15"/>
                <w:color w:val="auto"/>
              </w:rPr>
            </w:pPr>
          </w:p>
        </w:tc>
        <w:tc>
          <w:tcPr>
            <w:tcW w:w="106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892.5</w:t>
            </w:r>
          </w:p>
        </w:tc>
        <w:tc>
          <w:tcPr>
            <w:tcW w:w="340" w:type="dxa"/>
            <w:vAlign w:val="bottom"/>
          </w:tcPr>
          <w:p>
            <w:pPr>
              <w:spacing w:after="0"/>
              <w:rPr>
                <w:sz w:val="15"/>
                <w:szCs w:val="15"/>
                <w:color w:val="auto"/>
              </w:rPr>
            </w:pPr>
          </w:p>
        </w:tc>
        <w:tc>
          <w:tcPr>
            <w:tcW w:w="7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80.6</w:t>
            </w:r>
          </w:p>
        </w:tc>
      </w:tr>
      <w:tr>
        <w:trPr>
          <w:trHeight w:val="179"/>
        </w:trPr>
        <w:tc>
          <w:tcPr>
            <w:tcW w:w="72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6"/>
              </w:rPr>
              <w:t>Proceeds from sales of available-for-sale securities........................</w:t>
            </w:r>
          </w:p>
        </w:tc>
        <w:tc>
          <w:tcPr>
            <w:tcW w:w="340" w:type="dxa"/>
            <w:vAlign w:val="bottom"/>
          </w:tcPr>
          <w:p>
            <w:pPr>
              <w:spacing w:after="0"/>
              <w:rPr>
                <w:sz w:val="15"/>
                <w:szCs w:val="15"/>
                <w:color w:val="auto"/>
              </w:rPr>
            </w:pPr>
          </w:p>
        </w:tc>
        <w:tc>
          <w:tcPr>
            <w:tcW w:w="9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154.1</w:t>
            </w:r>
          </w:p>
        </w:tc>
        <w:tc>
          <w:tcPr>
            <w:tcW w:w="660" w:type="dxa"/>
            <w:vAlign w:val="bottom"/>
          </w:tcPr>
          <w:p>
            <w:pPr>
              <w:spacing w:after="0"/>
              <w:rPr>
                <w:sz w:val="15"/>
                <w:szCs w:val="15"/>
                <w:color w:val="auto"/>
              </w:rPr>
            </w:pPr>
          </w:p>
        </w:tc>
        <w:tc>
          <w:tcPr>
            <w:tcW w:w="106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23.6</w:t>
            </w:r>
          </w:p>
        </w:tc>
        <w:tc>
          <w:tcPr>
            <w:tcW w:w="340" w:type="dxa"/>
            <w:vAlign w:val="bottom"/>
          </w:tcPr>
          <w:p>
            <w:pPr>
              <w:spacing w:after="0"/>
              <w:rPr>
                <w:sz w:val="15"/>
                <w:szCs w:val="15"/>
                <w:color w:val="auto"/>
              </w:rPr>
            </w:pPr>
          </w:p>
        </w:tc>
        <w:tc>
          <w:tcPr>
            <w:tcW w:w="7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33.2</w:t>
            </w:r>
          </w:p>
        </w:tc>
      </w:tr>
      <w:tr>
        <w:trPr>
          <w:trHeight w:val="179"/>
        </w:trPr>
        <w:tc>
          <w:tcPr>
            <w:tcW w:w="72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6"/>
              </w:rPr>
              <w:t>Proceeds from maturities of held-to-maturity securities.....................</w:t>
            </w:r>
          </w:p>
        </w:tc>
        <w:tc>
          <w:tcPr>
            <w:tcW w:w="340" w:type="dxa"/>
            <w:vAlign w:val="bottom"/>
          </w:tcPr>
          <w:p>
            <w:pPr>
              <w:spacing w:after="0"/>
              <w:rPr>
                <w:sz w:val="15"/>
                <w:szCs w:val="15"/>
                <w:color w:val="auto"/>
              </w:rPr>
            </w:pPr>
          </w:p>
        </w:tc>
        <w:tc>
          <w:tcPr>
            <w:tcW w:w="9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98.4</w:t>
            </w:r>
          </w:p>
        </w:tc>
        <w:tc>
          <w:tcPr>
            <w:tcW w:w="660" w:type="dxa"/>
            <w:vAlign w:val="bottom"/>
          </w:tcPr>
          <w:p>
            <w:pPr>
              <w:spacing w:after="0"/>
              <w:rPr>
                <w:sz w:val="15"/>
                <w:szCs w:val="15"/>
                <w:color w:val="auto"/>
              </w:rPr>
            </w:pPr>
          </w:p>
        </w:tc>
        <w:tc>
          <w:tcPr>
            <w:tcW w:w="106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34.0</w:t>
            </w:r>
          </w:p>
        </w:tc>
        <w:tc>
          <w:tcPr>
            <w:tcW w:w="340" w:type="dxa"/>
            <w:vAlign w:val="bottom"/>
          </w:tcPr>
          <w:p>
            <w:pPr>
              <w:spacing w:after="0"/>
              <w:rPr>
                <w:sz w:val="15"/>
                <w:szCs w:val="15"/>
                <w:color w:val="auto"/>
              </w:rPr>
            </w:pPr>
          </w:p>
        </w:tc>
        <w:tc>
          <w:tcPr>
            <w:tcW w:w="7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72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6"/>
              </w:rPr>
              <w:t>Proceeds from sale of subsidiary stock, net of MCMS cash....................</w:t>
            </w:r>
          </w:p>
        </w:tc>
        <w:tc>
          <w:tcPr>
            <w:tcW w:w="340" w:type="dxa"/>
            <w:vAlign w:val="bottom"/>
          </w:tcPr>
          <w:p>
            <w:pPr>
              <w:spacing w:after="0"/>
              <w:rPr>
                <w:sz w:val="15"/>
                <w:szCs w:val="15"/>
                <w:color w:val="auto"/>
              </w:rPr>
            </w:pPr>
          </w:p>
        </w:tc>
        <w:tc>
          <w:tcPr>
            <w:tcW w:w="9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660" w:type="dxa"/>
            <w:vAlign w:val="bottom"/>
          </w:tcPr>
          <w:p>
            <w:pPr>
              <w:spacing w:after="0"/>
              <w:rPr>
                <w:sz w:val="15"/>
                <w:szCs w:val="15"/>
                <w:color w:val="auto"/>
              </w:rPr>
            </w:pPr>
          </w:p>
        </w:tc>
        <w:tc>
          <w:tcPr>
            <w:tcW w:w="106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235.9</w:t>
            </w:r>
          </w:p>
        </w:tc>
        <w:tc>
          <w:tcPr>
            <w:tcW w:w="340" w:type="dxa"/>
            <w:vAlign w:val="bottom"/>
          </w:tcPr>
          <w:p>
            <w:pPr>
              <w:spacing w:after="0"/>
              <w:rPr>
                <w:sz w:val="15"/>
                <w:szCs w:val="15"/>
                <w:color w:val="auto"/>
              </w:rPr>
            </w:pPr>
          </w:p>
        </w:tc>
        <w:tc>
          <w:tcPr>
            <w:tcW w:w="7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199.9</w:t>
            </w:r>
          </w:p>
        </w:tc>
      </w:tr>
      <w:tr>
        <w:trPr>
          <w:trHeight w:val="179"/>
        </w:trPr>
        <w:tc>
          <w:tcPr>
            <w:tcW w:w="72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6"/>
              </w:rPr>
              <w:t>Proceeds from sale of equipment.............................................</w:t>
            </w:r>
          </w:p>
        </w:tc>
        <w:tc>
          <w:tcPr>
            <w:tcW w:w="340" w:type="dxa"/>
            <w:vAlign w:val="bottom"/>
          </w:tcPr>
          <w:p>
            <w:pPr>
              <w:spacing w:after="0"/>
              <w:rPr>
                <w:sz w:val="15"/>
                <w:szCs w:val="15"/>
                <w:color w:val="auto"/>
              </w:rPr>
            </w:pPr>
          </w:p>
        </w:tc>
        <w:tc>
          <w:tcPr>
            <w:tcW w:w="9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41.2</w:t>
            </w:r>
          </w:p>
        </w:tc>
        <w:tc>
          <w:tcPr>
            <w:tcW w:w="660" w:type="dxa"/>
            <w:vAlign w:val="bottom"/>
          </w:tcPr>
          <w:p>
            <w:pPr>
              <w:spacing w:after="0"/>
              <w:rPr>
                <w:sz w:val="15"/>
                <w:szCs w:val="15"/>
                <w:color w:val="auto"/>
              </w:rPr>
            </w:pPr>
          </w:p>
        </w:tc>
        <w:tc>
          <w:tcPr>
            <w:tcW w:w="106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33.4</w:t>
            </w:r>
          </w:p>
        </w:tc>
        <w:tc>
          <w:tcPr>
            <w:tcW w:w="340" w:type="dxa"/>
            <w:vAlign w:val="bottom"/>
          </w:tcPr>
          <w:p>
            <w:pPr>
              <w:spacing w:after="0"/>
              <w:rPr>
                <w:sz w:val="15"/>
                <w:szCs w:val="15"/>
                <w:color w:val="auto"/>
              </w:rPr>
            </w:pPr>
          </w:p>
        </w:tc>
        <w:tc>
          <w:tcPr>
            <w:tcW w:w="7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15.5</w:t>
            </w:r>
          </w:p>
        </w:tc>
      </w:tr>
      <w:tr>
        <w:trPr>
          <w:trHeight w:val="179"/>
        </w:trPr>
        <w:tc>
          <w:tcPr>
            <w:tcW w:w="72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6"/>
              </w:rPr>
              <w:t>Other.......................................................................</w:t>
            </w:r>
          </w:p>
        </w:tc>
        <w:tc>
          <w:tcPr>
            <w:tcW w:w="340" w:type="dxa"/>
            <w:vAlign w:val="bottom"/>
          </w:tcPr>
          <w:p>
            <w:pPr>
              <w:spacing w:after="0"/>
              <w:rPr>
                <w:sz w:val="15"/>
                <w:szCs w:val="15"/>
                <w:color w:val="auto"/>
              </w:rPr>
            </w:pPr>
          </w:p>
        </w:tc>
        <w:tc>
          <w:tcPr>
            <w:tcW w:w="9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(66.6)</w:t>
            </w:r>
          </w:p>
        </w:tc>
        <w:tc>
          <w:tcPr>
            <w:tcW w:w="660" w:type="dxa"/>
            <w:vAlign w:val="bottom"/>
          </w:tcPr>
          <w:p>
            <w:pPr>
              <w:spacing w:after="0"/>
              <w:rPr>
                <w:sz w:val="15"/>
                <w:szCs w:val="15"/>
                <w:color w:val="auto"/>
              </w:rPr>
            </w:pPr>
          </w:p>
        </w:tc>
        <w:tc>
          <w:tcPr>
            <w:tcW w:w="106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(24.8)</w:t>
            </w:r>
          </w:p>
        </w:tc>
        <w:tc>
          <w:tcPr>
            <w:tcW w:w="340" w:type="dxa"/>
            <w:vAlign w:val="bottom"/>
          </w:tcPr>
          <w:p>
            <w:pPr>
              <w:spacing w:after="0"/>
              <w:rPr>
                <w:sz w:val="15"/>
                <w:szCs w:val="15"/>
                <w:color w:val="auto"/>
              </w:rPr>
            </w:pPr>
          </w:p>
        </w:tc>
        <w:tc>
          <w:tcPr>
            <w:tcW w:w="7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(55.8)</w:t>
            </w:r>
          </w:p>
        </w:tc>
      </w:tr>
      <w:tr>
        <w:trPr>
          <w:trHeight w:val="179"/>
        </w:trPr>
        <w:tc>
          <w:tcPr>
            <w:tcW w:w="7200" w:type="dxa"/>
            <w:vAlign w:val="bottom"/>
          </w:tcPr>
          <w:p>
            <w:pPr>
              <w:spacing w:after="0"/>
              <w:rPr>
                <w:sz w:val="15"/>
                <w:szCs w:val="15"/>
                <w:color w:val="auto"/>
              </w:rPr>
            </w:pPr>
          </w:p>
        </w:tc>
        <w:tc>
          <w:tcPr>
            <w:tcW w:w="130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720" w:type="dxa"/>
            <w:vAlign w:val="bottom"/>
            <w:gridSpan w:val="2"/>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72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6"/>
              </w:rPr>
              <w:t>Net cash used for investing activities......................................</w:t>
            </w:r>
          </w:p>
        </w:tc>
        <w:tc>
          <w:tcPr>
            <w:tcW w:w="340" w:type="dxa"/>
            <w:vAlign w:val="bottom"/>
          </w:tcPr>
          <w:p>
            <w:pPr>
              <w:spacing w:after="0"/>
              <w:rPr>
                <w:sz w:val="15"/>
                <w:szCs w:val="15"/>
                <w:color w:val="auto"/>
              </w:rPr>
            </w:pPr>
          </w:p>
        </w:tc>
        <w:tc>
          <w:tcPr>
            <w:tcW w:w="9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2"/>
              </w:rPr>
              <w:t>(2,028.0)</w:t>
            </w:r>
          </w:p>
        </w:tc>
        <w:tc>
          <w:tcPr>
            <w:tcW w:w="660" w:type="dxa"/>
            <w:vAlign w:val="bottom"/>
          </w:tcPr>
          <w:p>
            <w:pPr>
              <w:spacing w:after="0"/>
              <w:rPr>
                <w:sz w:val="15"/>
                <w:szCs w:val="15"/>
                <w:color w:val="auto"/>
              </w:rPr>
            </w:pPr>
          </w:p>
        </w:tc>
        <w:tc>
          <w:tcPr>
            <w:tcW w:w="106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(166.1)</w:t>
            </w:r>
          </w:p>
        </w:tc>
        <w:tc>
          <w:tcPr>
            <w:tcW w:w="340" w:type="dxa"/>
            <w:vAlign w:val="bottom"/>
          </w:tcPr>
          <w:p>
            <w:pPr>
              <w:spacing w:after="0"/>
              <w:rPr>
                <w:sz w:val="15"/>
                <w:szCs w:val="15"/>
                <w:color w:val="auto"/>
              </w:rPr>
            </w:pPr>
          </w:p>
        </w:tc>
        <w:tc>
          <w:tcPr>
            <w:tcW w:w="7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(690.3)</w:t>
            </w:r>
          </w:p>
        </w:tc>
      </w:tr>
      <w:tr>
        <w:trPr>
          <w:trHeight w:val="358"/>
        </w:trPr>
        <w:tc>
          <w:tcPr>
            <w:tcW w:w="7200" w:type="dxa"/>
            <w:vAlign w:val="bottom"/>
          </w:tcPr>
          <w:p>
            <w:pPr>
              <w:spacing w:after="0"/>
              <w:rPr>
                <w:sz w:val="20"/>
                <w:szCs w:val="20"/>
                <w:color w:val="auto"/>
              </w:rPr>
            </w:pPr>
            <w:r>
              <w:rPr>
                <w:rFonts w:ascii="Courier New" w:cs="Courier New" w:eastAsia="Courier New" w:hAnsi="Courier New"/>
                <w:sz w:val="16"/>
                <w:szCs w:val="16"/>
                <w:color w:val="auto"/>
              </w:rPr>
              <w:t>Cash flows from financing activities</w:t>
            </w: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9"/>
        </w:trPr>
        <w:tc>
          <w:tcPr>
            <w:tcW w:w="72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6"/>
              </w:rPr>
              <w:t>Cash received in conjunction with acquisition...............................</w:t>
            </w:r>
          </w:p>
        </w:tc>
        <w:tc>
          <w:tcPr>
            <w:tcW w:w="340" w:type="dxa"/>
            <w:vAlign w:val="bottom"/>
          </w:tcPr>
          <w:p>
            <w:pPr>
              <w:spacing w:after="0"/>
              <w:rPr>
                <w:sz w:val="15"/>
                <w:szCs w:val="15"/>
                <w:color w:val="auto"/>
              </w:rPr>
            </w:pPr>
          </w:p>
        </w:tc>
        <w:tc>
          <w:tcPr>
            <w:tcW w:w="9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681.1</w:t>
            </w:r>
          </w:p>
        </w:tc>
        <w:tc>
          <w:tcPr>
            <w:tcW w:w="660" w:type="dxa"/>
            <w:vAlign w:val="bottom"/>
          </w:tcPr>
          <w:p>
            <w:pPr>
              <w:spacing w:after="0"/>
              <w:rPr>
                <w:sz w:val="15"/>
                <w:szCs w:val="15"/>
                <w:color w:val="auto"/>
              </w:rPr>
            </w:pPr>
          </w:p>
        </w:tc>
        <w:tc>
          <w:tcPr>
            <w:tcW w:w="106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5"/>
                <w:szCs w:val="15"/>
                <w:color w:val="auto"/>
              </w:rPr>
            </w:pPr>
          </w:p>
        </w:tc>
        <w:tc>
          <w:tcPr>
            <w:tcW w:w="7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72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6"/>
              </w:rPr>
              <w:t>Proceeds from issuance of common stock......................................</w:t>
            </w:r>
          </w:p>
        </w:tc>
        <w:tc>
          <w:tcPr>
            <w:tcW w:w="340" w:type="dxa"/>
            <w:vAlign w:val="bottom"/>
          </w:tcPr>
          <w:p>
            <w:pPr>
              <w:spacing w:after="0"/>
              <w:rPr>
                <w:sz w:val="15"/>
                <w:szCs w:val="15"/>
                <w:color w:val="auto"/>
              </w:rPr>
            </w:pPr>
          </w:p>
        </w:tc>
        <w:tc>
          <w:tcPr>
            <w:tcW w:w="9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617.2</w:t>
            </w:r>
          </w:p>
        </w:tc>
        <w:tc>
          <w:tcPr>
            <w:tcW w:w="660" w:type="dxa"/>
            <w:vAlign w:val="bottom"/>
          </w:tcPr>
          <w:p>
            <w:pPr>
              <w:spacing w:after="0"/>
              <w:rPr>
                <w:sz w:val="15"/>
                <w:szCs w:val="15"/>
                <w:color w:val="auto"/>
              </w:rPr>
            </w:pPr>
          </w:p>
        </w:tc>
        <w:tc>
          <w:tcPr>
            <w:tcW w:w="106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20.6</w:t>
            </w:r>
          </w:p>
        </w:tc>
        <w:tc>
          <w:tcPr>
            <w:tcW w:w="340" w:type="dxa"/>
            <w:vAlign w:val="bottom"/>
          </w:tcPr>
          <w:p>
            <w:pPr>
              <w:spacing w:after="0"/>
              <w:rPr>
                <w:sz w:val="15"/>
                <w:szCs w:val="15"/>
                <w:color w:val="auto"/>
              </w:rPr>
            </w:pPr>
          </w:p>
        </w:tc>
        <w:tc>
          <w:tcPr>
            <w:tcW w:w="7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34.8</w:t>
            </w:r>
          </w:p>
        </w:tc>
      </w:tr>
      <w:tr>
        <w:trPr>
          <w:trHeight w:val="179"/>
        </w:trPr>
        <w:tc>
          <w:tcPr>
            <w:tcW w:w="72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6"/>
              </w:rPr>
              <w:t>Proceeds from issuance of debt..............................................</w:t>
            </w:r>
          </w:p>
        </w:tc>
        <w:tc>
          <w:tcPr>
            <w:tcW w:w="340" w:type="dxa"/>
            <w:vAlign w:val="bottom"/>
          </w:tcPr>
          <w:p>
            <w:pPr>
              <w:spacing w:after="0"/>
              <w:rPr>
                <w:sz w:val="15"/>
                <w:szCs w:val="15"/>
                <w:color w:val="auto"/>
              </w:rPr>
            </w:pPr>
          </w:p>
        </w:tc>
        <w:tc>
          <w:tcPr>
            <w:tcW w:w="9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34.0</w:t>
            </w:r>
          </w:p>
        </w:tc>
        <w:tc>
          <w:tcPr>
            <w:tcW w:w="660" w:type="dxa"/>
            <w:vAlign w:val="bottom"/>
          </w:tcPr>
          <w:p>
            <w:pPr>
              <w:spacing w:after="0"/>
              <w:rPr>
                <w:sz w:val="15"/>
                <w:szCs w:val="15"/>
                <w:color w:val="auto"/>
              </w:rPr>
            </w:pPr>
          </w:p>
        </w:tc>
        <w:tc>
          <w:tcPr>
            <w:tcW w:w="106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102.9</w:t>
            </w:r>
          </w:p>
        </w:tc>
        <w:tc>
          <w:tcPr>
            <w:tcW w:w="340" w:type="dxa"/>
            <w:vAlign w:val="bottom"/>
          </w:tcPr>
          <w:p>
            <w:pPr>
              <w:spacing w:after="0"/>
              <w:rPr>
                <w:sz w:val="15"/>
                <w:szCs w:val="15"/>
                <w:color w:val="auto"/>
              </w:rPr>
            </w:pPr>
          </w:p>
        </w:tc>
        <w:tc>
          <w:tcPr>
            <w:tcW w:w="7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587.8</w:t>
            </w:r>
          </w:p>
        </w:tc>
      </w:tr>
      <w:tr>
        <w:trPr>
          <w:trHeight w:val="179"/>
        </w:trPr>
        <w:tc>
          <w:tcPr>
            <w:tcW w:w="72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6"/>
              </w:rPr>
              <w:t>Net repayments of borrowings on lines of credit.............................</w:t>
            </w:r>
          </w:p>
        </w:tc>
        <w:tc>
          <w:tcPr>
            <w:tcW w:w="340" w:type="dxa"/>
            <w:vAlign w:val="bottom"/>
          </w:tcPr>
          <w:p>
            <w:pPr>
              <w:spacing w:after="0"/>
              <w:rPr>
                <w:sz w:val="15"/>
                <w:szCs w:val="15"/>
                <w:color w:val="auto"/>
              </w:rPr>
            </w:pPr>
          </w:p>
        </w:tc>
        <w:tc>
          <w:tcPr>
            <w:tcW w:w="9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(11.1)</w:t>
            </w:r>
          </w:p>
        </w:tc>
        <w:tc>
          <w:tcPr>
            <w:tcW w:w="660" w:type="dxa"/>
            <w:vAlign w:val="bottom"/>
          </w:tcPr>
          <w:p>
            <w:pPr>
              <w:spacing w:after="0"/>
              <w:rPr>
                <w:sz w:val="15"/>
                <w:szCs w:val="15"/>
                <w:color w:val="auto"/>
              </w:rPr>
            </w:pPr>
          </w:p>
        </w:tc>
        <w:tc>
          <w:tcPr>
            <w:tcW w:w="106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5"/>
                <w:szCs w:val="15"/>
                <w:color w:val="auto"/>
              </w:rPr>
            </w:pPr>
          </w:p>
        </w:tc>
        <w:tc>
          <w:tcPr>
            <w:tcW w:w="7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(90.0)</w:t>
            </w:r>
          </w:p>
        </w:tc>
      </w:tr>
      <w:tr>
        <w:trPr>
          <w:trHeight w:val="179"/>
        </w:trPr>
        <w:tc>
          <w:tcPr>
            <w:tcW w:w="72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6"/>
              </w:rPr>
              <w:t>Payments on equipment purchase contracts....................................</w:t>
            </w:r>
          </w:p>
        </w:tc>
        <w:tc>
          <w:tcPr>
            <w:tcW w:w="340" w:type="dxa"/>
            <w:vAlign w:val="bottom"/>
          </w:tcPr>
          <w:p>
            <w:pPr>
              <w:spacing w:after="0"/>
              <w:rPr>
                <w:sz w:val="15"/>
                <w:szCs w:val="15"/>
                <w:color w:val="auto"/>
              </w:rPr>
            </w:pPr>
          </w:p>
        </w:tc>
        <w:tc>
          <w:tcPr>
            <w:tcW w:w="9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(302.9)</w:t>
            </w:r>
          </w:p>
        </w:tc>
        <w:tc>
          <w:tcPr>
            <w:tcW w:w="660" w:type="dxa"/>
            <w:vAlign w:val="bottom"/>
          </w:tcPr>
          <w:p>
            <w:pPr>
              <w:spacing w:after="0"/>
              <w:rPr>
                <w:sz w:val="15"/>
                <w:szCs w:val="15"/>
                <w:color w:val="auto"/>
              </w:rPr>
            </w:pPr>
          </w:p>
        </w:tc>
        <w:tc>
          <w:tcPr>
            <w:tcW w:w="106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(63.5)</w:t>
            </w:r>
          </w:p>
        </w:tc>
        <w:tc>
          <w:tcPr>
            <w:tcW w:w="340" w:type="dxa"/>
            <w:vAlign w:val="bottom"/>
          </w:tcPr>
          <w:p>
            <w:pPr>
              <w:spacing w:after="0"/>
              <w:rPr>
                <w:sz w:val="15"/>
                <w:szCs w:val="15"/>
                <w:color w:val="auto"/>
              </w:rPr>
            </w:pPr>
          </w:p>
        </w:tc>
        <w:tc>
          <w:tcPr>
            <w:tcW w:w="7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(53.9)</w:t>
            </w:r>
          </w:p>
        </w:tc>
      </w:tr>
      <w:tr>
        <w:trPr>
          <w:trHeight w:val="179"/>
        </w:trPr>
        <w:tc>
          <w:tcPr>
            <w:tcW w:w="72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6"/>
              </w:rPr>
              <w:t>Repayments of debt..........................................................</w:t>
            </w:r>
          </w:p>
        </w:tc>
        <w:tc>
          <w:tcPr>
            <w:tcW w:w="340" w:type="dxa"/>
            <w:vAlign w:val="bottom"/>
          </w:tcPr>
          <w:p>
            <w:pPr>
              <w:spacing w:after="0"/>
              <w:rPr>
                <w:sz w:val="15"/>
                <w:szCs w:val="15"/>
                <w:color w:val="auto"/>
              </w:rPr>
            </w:pPr>
          </w:p>
        </w:tc>
        <w:tc>
          <w:tcPr>
            <w:tcW w:w="9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(106.7)</w:t>
            </w:r>
          </w:p>
        </w:tc>
        <w:tc>
          <w:tcPr>
            <w:tcW w:w="660" w:type="dxa"/>
            <w:vAlign w:val="bottom"/>
          </w:tcPr>
          <w:p>
            <w:pPr>
              <w:spacing w:after="0"/>
              <w:rPr>
                <w:sz w:val="15"/>
                <w:szCs w:val="15"/>
                <w:color w:val="auto"/>
              </w:rPr>
            </w:pPr>
          </w:p>
        </w:tc>
        <w:tc>
          <w:tcPr>
            <w:tcW w:w="106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(125.7)</w:t>
            </w:r>
          </w:p>
        </w:tc>
        <w:tc>
          <w:tcPr>
            <w:tcW w:w="340" w:type="dxa"/>
            <w:vAlign w:val="bottom"/>
          </w:tcPr>
          <w:p>
            <w:pPr>
              <w:spacing w:after="0"/>
              <w:rPr>
                <w:sz w:val="15"/>
                <w:szCs w:val="15"/>
                <w:color w:val="auto"/>
              </w:rPr>
            </w:pPr>
          </w:p>
        </w:tc>
        <w:tc>
          <w:tcPr>
            <w:tcW w:w="7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(101.1)</w:t>
            </w:r>
          </w:p>
        </w:tc>
      </w:tr>
      <w:tr>
        <w:trPr>
          <w:trHeight w:val="179"/>
        </w:trPr>
        <w:tc>
          <w:tcPr>
            <w:tcW w:w="72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6"/>
              </w:rPr>
              <w:t>Proceeds from issuance of stock by subsidiaries.............................</w:t>
            </w:r>
          </w:p>
        </w:tc>
        <w:tc>
          <w:tcPr>
            <w:tcW w:w="340" w:type="dxa"/>
            <w:vAlign w:val="bottom"/>
          </w:tcPr>
          <w:p>
            <w:pPr>
              <w:spacing w:after="0"/>
              <w:rPr>
                <w:sz w:val="15"/>
                <w:szCs w:val="15"/>
                <w:color w:val="auto"/>
              </w:rPr>
            </w:pPr>
          </w:p>
        </w:tc>
        <w:tc>
          <w:tcPr>
            <w:tcW w:w="9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4.7</w:t>
            </w:r>
          </w:p>
        </w:tc>
        <w:tc>
          <w:tcPr>
            <w:tcW w:w="660" w:type="dxa"/>
            <w:vAlign w:val="bottom"/>
          </w:tcPr>
          <w:p>
            <w:pPr>
              <w:spacing w:after="0"/>
              <w:rPr>
                <w:sz w:val="15"/>
                <w:szCs w:val="15"/>
                <w:color w:val="auto"/>
              </w:rPr>
            </w:pPr>
          </w:p>
        </w:tc>
        <w:tc>
          <w:tcPr>
            <w:tcW w:w="106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3.4</w:t>
            </w:r>
          </w:p>
        </w:tc>
        <w:tc>
          <w:tcPr>
            <w:tcW w:w="340" w:type="dxa"/>
            <w:vAlign w:val="bottom"/>
          </w:tcPr>
          <w:p>
            <w:pPr>
              <w:spacing w:after="0"/>
              <w:rPr>
                <w:sz w:val="15"/>
                <w:szCs w:val="15"/>
                <w:color w:val="auto"/>
              </w:rPr>
            </w:pPr>
          </w:p>
        </w:tc>
        <w:tc>
          <w:tcPr>
            <w:tcW w:w="7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55.4</w:t>
            </w:r>
          </w:p>
        </w:tc>
      </w:tr>
      <w:tr>
        <w:trPr>
          <w:trHeight w:val="179"/>
        </w:trPr>
        <w:tc>
          <w:tcPr>
            <w:tcW w:w="72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6"/>
              </w:rPr>
              <w:t>Other.......................................................................</w:t>
            </w:r>
          </w:p>
        </w:tc>
        <w:tc>
          <w:tcPr>
            <w:tcW w:w="340" w:type="dxa"/>
            <w:vAlign w:val="bottom"/>
          </w:tcPr>
          <w:p>
            <w:pPr>
              <w:spacing w:after="0"/>
              <w:rPr>
                <w:sz w:val="15"/>
                <w:szCs w:val="15"/>
                <w:color w:val="auto"/>
              </w:rPr>
            </w:pPr>
          </w:p>
        </w:tc>
        <w:tc>
          <w:tcPr>
            <w:tcW w:w="9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(0.4)</w:t>
            </w:r>
          </w:p>
        </w:tc>
        <w:tc>
          <w:tcPr>
            <w:tcW w:w="660" w:type="dxa"/>
            <w:vAlign w:val="bottom"/>
          </w:tcPr>
          <w:p>
            <w:pPr>
              <w:spacing w:after="0"/>
              <w:rPr>
                <w:sz w:val="15"/>
                <w:szCs w:val="15"/>
                <w:color w:val="auto"/>
              </w:rPr>
            </w:pPr>
          </w:p>
        </w:tc>
        <w:tc>
          <w:tcPr>
            <w:tcW w:w="106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0.3</w:t>
            </w:r>
          </w:p>
        </w:tc>
        <w:tc>
          <w:tcPr>
            <w:tcW w:w="340" w:type="dxa"/>
            <w:vAlign w:val="bottom"/>
          </w:tcPr>
          <w:p>
            <w:pPr>
              <w:spacing w:after="0"/>
              <w:rPr>
                <w:sz w:val="15"/>
                <w:szCs w:val="15"/>
                <w:color w:val="auto"/>
              </w:rPr>
            </w:pPr>
          </w:p>
        </w:tc>
        <w:tc>
          <w:tcPr>
            <w:tcW w:w="7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26.4</w:t>
            </w:r>
          </w:p>
        </w:tc>
      </w:tr>
      <w:tr>
        <w:trPr>
          <w:trHeight w:val="179"/>
        </w:trPr>
        <w:tc>
          <w:tcPr>
            <w:tcW w:w="7200" w:type="dxa"/>
            <w:vAlign w:val="bottom"/>
          </w:tcPr>
          <w:p>
            <w:pPr>
              <w:spacing w:after="0"/>
              <w:rPr>
                <w:sz w:val="15"/>
                <w:szCs w:val="15"/>
                <w:color w:val="auto"/>
              </w:rPr>
            </w:pPr>
          </w:p>
        </w:tc>
        <w:tc>
          <w:tcPr>
            <w:tcW w:w="130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720" w:type="dxa"/>
            <w:vAlign w:val="bottom"/>
            <w:gridSpan w:val="2"/>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72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6"/>
              </w:rPr>
              <w:t>Net cash provided by (used for) financing activities........................</w:t>
            </w:r>
          </w:p>
        </w:tc>
        <w:tc>
          <w:tcPr>
            <w:tcW w:w="340" w:type="dxa"/>
            <w:vAlign w:val="bottom"/>
          </w:tcPr>
          <w:p>
            <w:pPr>
              <w:spacing w:after="0"/>
              <w:rPr>
                <w:sz w:val="15"/>
                <w:szCs w:val="15"/>
                <w:color w:val="auto"/>
              </w:rPr>
            </w:pPr>
          </w:p>
        </w:tc>
        <w:tc>
          <w:tcPr>
            <w:tcW w:w="9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915.9</w:t>
            </w:r>
          </w:p>
        </w:tc>
        <w:tc>
          <w:tcPr>
            <w:tcW w:w="660" w:type="dxa"/>
            <w:vAlign w:val="bottom"/>
          </w:tcPr>
          <w:p>
            <w:pPr>
              <w:spacing w:after="0"/>
              <w:rPr>
                <w:sz w:val="15"/>
                <w:szCs w:val="15"/>
                <w:color w:val="auto"/>
              </w:rPr>
            </w:pPr>
          </w:p>
        </w:tc>
        <w:tc>
          <w:tcPr>
            <w:tcW w:w="106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(62.0)</w:t>
            </w:r>
          </w:p>
        </w:tc>
        <w:tc>
          <w:tcPr>
            <w:tcW w:w="340" w:type="dxa"/>
            <w:vAlign w:val="bottom"/>
          </w:tcPr>
          <w:p>
            <w:pPr>
              <w:spacing w:after="0"/>
              <w:rPr>
                <w:sz w:val="15"/>
                <w:szCs w:val="15"/>
                <w:color w:val="auto"/>
              </w:rPr>
            </w:pPr>
          </w:p>
        </w:tc>
        <w:tc>
          <w:tcPr>
            <w:tcW w:w="7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459.4</w:t>
            </w:r>
          </w:p>
        </w:tc>
      </w:tr>
      <w:tr>
        <w:trPr>
          <w:trHeight w:val="179"/>
        </w:trPr>
        <w:tc>
          <w:tcPr>
            <w:tcW w:w="7200" w:type="dxa"/>
            <w:vAlign w:val="bottom"/>
          </w:tcPr>
          <w:p>
            <w:pPr>
              <w:spacing w:after="0"/>
              <w:rPr>
                <w:sz w:val="15"/>
                <w:szCs w:val="15"/>
                <w:color w:val="auto"/>
              </w:rPr>
            </w:pPr>
          </w:p>
        </w:tc>
        <w:tc>
          <w:tcPr>
            <w:tcW w:w="130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720" w:type="dxa"/>
            <w:vAlign w:val="bottom"/>
            <w:gridSpan w:val="2"/>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72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6"/>
              </w:rPr>
              <w:t>Net increase (decrease) in cash and equivalents.............................</w:t>
            </w:r>
          </w:p>
        </w:tc>
        <w:tc>
          <w:tcPr>
            <w:tcW w:w="340" w:type="dxa"/>
            <w:vAlign w:val="bottom"/>
          </w:tcPr>
          <w:p>
            <w:pPr>
              <w:spacing w:after="0"/>
              <w:rPr>
                <w:sz w:val="15"/>
                <w:szCs w:val="15"/>
                <w:color w:val="auto"/>
              </w:rPr>
            </w:pPr>
          </w:p>
        </w:tc>
        <w:tc>
          <w:tcPr>
            <w:tcW w:w="9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(264.2)</w:t>
            </w:r>
          </w:p>
        </w:tc>
        <w:tc>
          <w:tcPr>
            <w:tcW w:w="660" w:type="dxa"/>
            <w:vAlign w:val="bottom"/>
          </w:tcPr>
          <w:p>
            <w:pPr>
              <w:spacing w:after="0"/>
              <w:rPr>
                <w:sz w:val="15"/>
                <w:szCs w:val="15"/>
                <w:color w:val="auto"/>
              </w:rPr>
            </w:pPr>
          </w:p>
        </w:tc>
        <w:tc>
          <w:tcPr>
            <w:tcW w:w="106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(62.7)</w:t>
            </w:r>
          </w:p>
        </w:tc>
        <w:tc>
          <w:tcPr>
            <w:tcW w:w="340" w:type="dxa"/>
            <w:vAlign w:val="bottom"/>
          </w:tcPr>
          <w:p>
            <w:pPr>
              <w:spacing w:after="0"/>
              <w:rPr>
                <w:sz w:val="15"/>
                <w:szCs w:val="15"/>
                <w:color w:val="auto"/>
              </w:rPr>
            </w:pPr>
          </w:p>
        </w:tc>
        <w:tc>
          <w:tcPr>
            <w:tcW w:w="7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345.4</w:t>
            </w:r>
          </w:p>
        </w:tc>
      </w:tr>
      <w:tr>
        <w:trPr>
          <w:trHeight w:val="179"/>
        </w:trPr>
        <w:tc>
          <w:tcPr>
            <w:tcW w:w="72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6"/>
              </w:rPr>
              <w:t>Cash and equivalents at beginning of year...................................</w:t>
            </w:r>
          </w:p>
        </w:tc>
        <w:tc>
          <w:tcPr>
            <w:tcW w:w="340" w:type="dxa"/>
            <w:vAlign w:val="bottom"/>
          </w:tcPr>
          <w:p>
            <w:pPr>
              <w:spacing w:after="0"/>
              <w:rPr>
                <w:sz w:val="15"/>
                <w:szCs w:val="15"/>
                <w:color w:val="auto"/>
              </w:rPr>
            </w:pPr>
          </w:p>
        </w:tc>
        <w:tc>
          <w:tcPr>
            <w:tcW w:w="9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558.8</w:t>
            </w:r>
          </w:p>
        </w:tc>
        <w:tc>
          <w:tcPr>
            <w:tcW w:w="660" w:type="dxa"/>
            <w:vAlign w:val="bottom"/>
          </w:tcPr>
          <w:p>
            <w:pPr>
              <w:spacing w:after="0"/>
              <w:rPr>
                <w:sz w:val="15"/>
                <w:szCs w:val="15"/>
                <w:color w:val="auto"/>
              </w:rPr>
            </w:pPr>
          </w:p>
        </w:tc>
        <w:tc>
          <w:tcPr>
            <w:tcW w:w="106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621.5</w:t>
            </w:r>
          </w:p>
        </w:tc>
        <w:tc>
          <w:tcPr>
            <w:tcW w:w="340" w:type="dxa"/>
            <w:vAlign w:val="bottom"/>
          </w:tcPr>
          <w:p>
            <w:pPr>
              <w:spacing w:after="0"/>
              <w:rPr>
                <w:sz w:val="15"/>
                <w:szCs w:val="15"/>
                <w:color w:val="auto"/>
              </w:rPr>
            </w:pPr>
          </w:p>
        </w:tc>
        <w:tc>
          <w:tcPr>
            <w:tcW w:w="7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276.1</w:t>
            </w:r>
          </w:p>
        </w:tc>
      </w:tr>
      <w:tr>
        <w:trPr>
          <w:trHeight w:val="179"/>
        </w:trPr>
        <w:tc>
          <w:tcPr>
            <w:tcW w:w="7200" w:type="dxa"/>
            <w:vAlign w:val="bottom"/>
          </w:tcPr>
          <w:p>
            <w:pPr>
              <w:spacing w:after="0"/>
              <w:rPr>
                <w:sz w:val="15"/>
                <w:szCs w:val="15"/>
                <w:color w:val="auto"/>
              </w:rPr>
            </w:pPr>
          </w:p>
        </w:tc>
        <w:tc>
          <w:tcPr>
            <w:tcW w:w="130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720" w:type="dxa"/>
            <w:vAlign w:val="bottom"/>
            <w:gridSpan w:val="2"/>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720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6"/>
              </w:rPr>
              <w:t>Cash and equivalents at end of year.........................................</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294.6</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558.8</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621.5</w:t>
            </w:r>
          </w:p>
        </w:tc>
      </w:tr>
      <w:tr>
        <w:trPr>
          <w:trHeight w:val="179"/>
        </w:trPr>
        <w:tc>
          <w:tcPr>
            <w:tcW w:w="7200" w:type="dxa"/>
            <w:vAlign w:val="bottom"/>
          </w:tcPr>
          <w:p>
            <w:pPr>
              <w:spacing w:after="0"/>
              <w:rPr>
                <w:sz w:val="15"/>
                <w:szCs w:val="15"/>
                <w:color w:val="auto"/>
              </w:rPr>
            </w:pPr>
          </w:p>
        </w:tc>
        <w:tc>
          <w:tcPr>
            <w:tcW w:w="130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720" w:type="dxa"/>
            <w:vAlign w:val="bottom"/>
            <w:gridSpan w:val="2"/>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7200" w:type="dxa"/>
            <w:vAlign w:val="bottom"/>
          </w:tcPr>
          <w:p>
            <w:pPr>
              <w:spacing w:after="0"/>
              <w:rPr>
                <w:sz w:val="20"/>
                <w:szCs w:val="20"/>
                <w:color w:val="auto"/>
              </w:rPr>
            </w:pPr>
            <w:r>
              <w:rPr>
                <w:rFonts w:ascii="Courier New" w:cs="Courier New" w:eastAsia="Courier New" w:hAnsi="Courier New"/>
                <w:sz w:val="16"/>
                <w:szCs w:val="16"/>
                <w:color w:val="auto"/>
              </w:rPr>
              <w:t>Supplemental disclosures:</w:t>
            </w: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9"/>
        </w:trPr>
        <w:tc>
          <w:tcPr>
            <w:tcW w:w="72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6"/>
              </w:rPr>
              <w:t>Income taxes refunded (paid), net...........................................</w:t>
            </w:r>
          </w:p>
        </w:tc>
        <w:tc>
          <w:tcPr>
            <w:tcW w:w="3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185.6</w:t>
            </w: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(21.7)</w:t>
            </w:r>
          </w:p>
        </w:tc>
        <w:tc>
          <w:tcPr>
            <w:tcW w:w="112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 (122.9)</w:t>
            </w:r>
          </w:p>
        </w:tc>
      </w:tr>
      <w:tr>
        <w:trPr>
          <w:trHeight w:val="179"/>
        </w:trPr>
        <w:tc>
          <w:tcPr>
            <w:tcW w:w="72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6"/>
              </w:rPr>
              <w:t>Interest paid, net of amounts capitalized...................................</w:t>
            </w:r>
          </w:p>
        </w:tc>
        <w:tc>
          <w:tcPr>
            <w:tcW w:w="340" w:type="dxa"/>
            <w:vAlign w:val="bottom"/>
          </w:tcPr>
          <w:p>
            <w:pPr>
              <w:spacing w:after="0"/>
              <w:rPr>
                <w:sz w:val="15"/>
                <w:szCs w:val="15"/>
                <w:color w:val="auto"/>
              </w:rPr>
            </w:pPr>
          </w:p>
        </w:tc>
        <w:tc>
          <w:tcPr>
            <w:tcW w:w="9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(90.2)</w:t>
            </w:r>
          </w:p>
        </w:tc>
        <w:tc>
          <w:tcPr>
            <w:tcW w:w="660" w:type="dxa"/>
            <w:vAlign w:val="bottom"/>
          </w:tcPr>
          <w:p>
            <w:pPr>
              <w:spacing w:after="0"/>
              <w:rPr>
                <w:sz w:val="15"/>
                <w:szCs w:val="15"/>
                <w:color w:val="auto"/>
              </w:rPr>
            </w:pPr>
          </w:p>
        </w:tc>
        <w:tc>
          <w:tcPr>
            <w:tcW w:w="106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(59.9)</w:t>
            </w:r>
          </w:p>
        </w:tc>
        <w:tc>
          <w:tcPr>
            <w:tcW w:w="340" w:type="dxa"/>
            <w:vAlign w:val="bottom"/>
          </w:tcPr>
          <w:p>
            <w:pPr>
              <w:spacing w:after="0"/>
              <w:rPr>
                <w:sz w:val="15"/>
                <w:szCs w:val="15"/>
                <w:color w:val="auto"/>
              </w:rPr>
            </w:pPr>
          </w:p>
        </w:tc>
        <w:tc>
          <w:tcPr>
            <w:tcW w:w="7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(27.9)</w:t>
            </w:r>
          </w:p>
        </w:tc>
      </w:tr>
      <w:tr>
        <w:trPr>
          <w:trHeight w:val="179"/>
        </w:trPr>
        <w:tc>
          <w:tcPr>
            <w:tcW w:w="7200" w:type="dxa"/>
            <w:vAlign w:val="bottom"/>
          </w:tcPr>
          <w:p>
            <w:pPr>
              <w:spacing w:after="0" w:line="179" w:lineRule="exact"/>
              <w:rPr>
                <w:sz w:val="20"/>
                <w:szCs w:val="20"/>
                <w:color w:val="auto"/>
              </w:rPr>
            </w:pPr>
            <w:r>
              <w:rPr>
                <w:rFonts w:ascii="Courier New" w:cs="Courier New" w:eastAsia="Courier New" w:hAnsi="Courier New"/>
                <w:sz w:val="16"/>
                <w:szCs w:val="16"/>
                <w:color w:val="auto"/>
              </w:rPr>
              <w:t>Noncash investing and financing activities:</w:t>
            </w:r>
          </w:p>
        </w:tc>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9"/>
        </w:trPr>
        <w:tc>
          <w:tcPr>
            <w:tcW w:w="72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7"/>
              </w:rPr>
              <w:t>Equipment acquisitions on contracts payable and capital leases.............</w:t>
            </w:r>
          </w:p>
        </w:tc>
        <w:tc>
          <w:tcPr>
            <w:tcW w:w="340" w:type="dxa"/>
            <w:vAlign w:val="bottom"/>
          </w:tcPr>
          <w:p>
            <w:pPr>
              <w:spacing w:after="0"/>
              <w:rPr>
                <w:sz w:val="15"/>
                <w:szCs w:val="15"/>
                <w:color w:val="auto"/>
              </w:rPr>
            </w:pPr>
          </w:p>
        </w:tc>
        <w:tc>
          <w:tcPr>
            <w:tcW w:w="9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219.3</w:t>
            </w:r>
          </w:p>
        </w:tc>
        <w:tc>
          <w:tcPr>
            <w:tcW w:w="660" w:type="dxa"/>
            <w:vAlign w:val="bottom"/>
          </w:tcPr>
          <w:p>
            <w:pPr>
              <w:spacing w:after="0"/>
              <w:rPr>
                <w:sz w:val="15"/>
                <w:szCs w:val="15"/>
                <w:color w:val="auto"/>
              </w:rPr>
            </w:pPr>
          </w:p>
        </w:tc>
        <w:tc>
          <w:tcPr>
            <w:tcW w:w="106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212.6</w:t>
            </w:r>
          </w:p>
        </w:tc>
        <w:tc>
          <w:tcPr>
            <w:tcW w:w="340" w:type="dxa"/>
            <w:vAlign w:val="bottom"/>
          </w:tcPr>
          <w:p>
            <w:pPr>
              <w:spacing w:after="0"/>
              <w:rPr>
                <w:sz w:val="15"/>
                <w:szCs w:val="15"/>
                <w:color w:val="auto"/>
              </w:rPr>
            </w:pPr>
          </w:p>
        </w:tc>
        <w:tc>
          <w:tcPr>
            <w:tcW w:w="7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41.5</w:t>
            </w:r>
          </w:p>
        </w:tc>
      </w:tr>
      <w:tr>
        <w:trPr>
          <w:trHeight w:val="179"/>
        </w:trPr>
        <w:tc>
          <w:tcPr>
            <w:tcW w:w="7200" w:type="dxa"/>
            <w:vAlign w:val="bottom"/>
          </w:tcPr>
          <w:p>
            <w:pPr>
              <w:spacing w:after="0" w:line="179" w:lineRule="exact"/>
              <w:rPr>
                <w:sz w:val="20"/>
                <w:szCs w:val="20"/>
                <w:color w:val="auto"/>
              </w:rPr>
            </w:pPr>
            <w:r>
              <w:rPr>
                <w:rFonts w:ascii="Courier New" w:cs="Courier New" w:eastAsia="Courier New" w:hAnsi="Courier New"/>
                <w:sz w:val="16"/>
                <w:szCs w:val="16"/>
                <w:color w:val="auto"/>
              </w:rPr>
              <w:t>Cash received in conjunction with acquisition:</w:t>
            </w:r>
          </w:p>
        </w:tc>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9"/>
        </w:trPr>
        <w:tc>
          <w:tcPr>
            <w:tcW w:w="72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7"/>
              </w:rPr>
              <w:t>Fair value of assets acquired..............................................</w:t>
            </w:r>
          </w:p>
        </w:tc>
        <w:tc>
          <w:tcPr>
            <w:tcW w:w="3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949.3</w:t>
            </w: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3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72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7"/>
              </w:rPr>
              <w:t>Liabilities assumed........................................................</w:t>
            </w:r>
          </w:p>
        </w:tc>
        <w:tc>
          <w:tcPr>
            <w:tcW w:w="340" w:type="dxa"/>
            <w:vAlign w:val="bottom"/>
          </w:tcPr>
          <w:p>
            <w:pPr>
              <w:spacing w:after="0"/>
              <w:rPr>
                <w:sz w:val="15"/>
                <w:szCs w:val="15"/>
                <w:color w:val="auto"/>
              </w:rPr>
            </w:pPr>
          </w:p>
        </w:tc>
        <w:tc>
          <w:tcPr>
            <w:tcW w:w="9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(138.0)</w:t>
            </w:r>
          </w:p>
        </w:tc>
        <w:tc>
          <w:tcPr>
            <w:tcW w:w="660" w:type="dxa"/>
            <w:vAlign w:val="bottom"/>
          </w:tcPr>
          <w:p>
            <w:pPr>
              <w:spacing w:after="0"/>
              <w:rPr>
                <w:sz w:val="15"/>
                <w:szCs w:val="15"/>
                <w:color w:val="auto"/>
              </w:rPr>
            </w:pPr>
          </w:p>
        </w:tc>
        <w:tc>
          <w:tcPr>
            <w:tcW w:w="106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5"/>
                <w:szCs w:val="15"/>
                <w:color w:val="auto"/>
              </w:rPr>
            </w:pPr>
          </w:p>
        </w:tc>
        <w:tc>
          <w:tcPr>
            <w:tcW w:w="7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72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7"/>
              </w:rPr>
              <w:t>Debt issued................................................................</w:t>
            </w:r>
          </w:p>
        </w:tc>
        <w:tc>
          <w:tcPr>
            <w:tcW w:w="340" w:type="dxa"/>
            <w:vAlign w:val="bottom"/>
          </w:tcPr>
          <w:p>
            <w:pPr>
              <w:spacing w:after="0"/>
              <w:rPr>
                <w:sz w:val="15"/>
                <w:szCs w:val="15"/>
                <w:color w:val="auto"/>
              </w:rPr>
            </w:pPr>
          </w:p>
        </w:tc>
        <w:tc>
          <w:tcPr>
            <w:tcW w:w="9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(836.0)</w:t>
            </w:r>
          </w:p>
        </w:tc>
        <w:tc>
          <w:tcPr>
            <w:tcW w:w="660" w:type="dxa"/>
            <w:vAlign w:val="bottom"/>
          </w:tcPr>
          <w:p>
            <w:pPr>
              <w:spacing w:after="0"/>
              <w:rPr>
                <w:sz w:val="15"/>
                <w:szCs w:val="15"/>
                <w:color w:val="auto"/>
              </w:rPr>
            </w:pPr>
          </w:p>
        </w:tc>
        <w:tc>
          <w:tcPr>
            <w:tcW w:w="106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5"/>
                <w:szCs w:val="15"/>
                <w:color w:val="auto"/>
              </w:rPr>
            </w:pPr>
          </w:p>
        </w:tc>
        <w:tc>
          <w:tcPr>
            <w:tcW w:w="7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72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7"/>
              </w:rPr>
              <w:t>Stock issued...............................................................</w:t>
            </w:r>
          </w:p>
        </w:tc>
        <w:tc>
          <w:tcPr>
            <w:tcW w:w="340" w:type="dxa"/>
            <w:vAlign w:val="bottom"/>
          </w:tcPr>
          <w:p>
            <w:pPr>
              <w:spacing w:after="0"/>
              <w:rPr>
                <w:sz w:val="15"/>
                <w:szCs w:val="15"/>
                <w:color w:val="auto"/>
              </w:rPr>
            </w:pPr>
          </w:p>
        </w:tc>
        <w:tc>
          <w:tcPr>
            <w:tcW w:w="9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(656.4)</w:t>
            </w:r>
          </w:p>
        </w:tc>
        <w:tc>
          <w:tcPr>
            <w:tcW w:w="660" w:type="dxa"/>
            <w:vAlign w:val="bottom"/>
          </w:tcPr>
          <w:p>
            <w:pPr>
              <w:spacing w:after="0"/>
              <w:rPr>
                <w:sz w:val="15"/>
                <w:szCs w:val="15"/>
                <w:color w:val="auto"/>
              </w:rPr>
            </w:pPr>
          </w:p>
        </w:tc>
        <w:tc>
          <w:tcPr>
            <w:tcW w:w="106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5"/>
                <w:szCs w:val="15"/>
                <w:color w:val="auto"/>
              </w:rPr>
            </w:pPr>
          </w:p>
        </w:tc>
        <w:tc>
          <w:tcPr>
            <w:tcW w:w="7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7200" w:type="dxa"/>
            <w:vAlign w:val="bottom"/>
          </w:tcPr>
          <w:p>
            <w:pPr>
              <w:spacing w:after="0"/>
              <w:rPr>
                <w:sz w:val="15"/>
                <w:szCs w:val="15"/>
                <w:color w:val="auto"/>
              </w:rPr>
            </w:pPr>
          </w:p>
        </w:tc>
        <w:tc>
          <w:tcPr>
            <w:tcW w:w="130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720" w:type="dxa"/>
            <w:vAlign w:val="bottom"/>
            <w:gridSpan w:val="2"/>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7200" w:type="dxa"/>
            <w:vAlign w:val="bottom"/>
          </w:tcPr>
          <w:p>
            <w:pPr>
              <w:spacing w:after="0"/>
              <w:rPr>
                <w:sz w:val="15"/>
                <w:szCs w:val="15"/>
                <w:color w:val="auto"/>
              </w:rPr>
            </w:pPr>
          </w:p>
        </w:tc>
        <w:tc>
          <w:tcPr>
            <w:tcW w:w="3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(681.1)</w:t>
            </w: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3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7200" w:type="dxa"/>
            <w:vAlign w:val="bottom"/>
          </w:tcPr>
          <w:p>
            <w:pPr>
              <w:spacing w:after="0"/>
              <w:rPr>
                <w:sz w:val="15"/>
                <w:szCs w:val="15"/>
                <w:color w:val="auto"/>
              </w:rPr>
            </w:pPr>
          </w:p>
        </w:tc>
        <w:tc>
          <w:tcPr>
            <w:tcW w:w="130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720" w:type="dxa"/>
            <w:vAlign w:val="bottom"/>
            <w:gridSpan w:val="2"/>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177" w:lineRule="exact"/>
        <w:rPr>
          <w:sz w:val="20"/>
          <w:szCs w:val="20"/>
          <w:color w:val="auto"/>
        </w:rPr>
      </w:pPr>
    </w:p>
    <w:p>
      <w:pPr>
        <w:jc w:val="center"/>
        <w:ind w:right="3900"/>
        <w:spacing w:after="0"/>
        <w:rPr>
          <w:sz w:val="20"/>
          <w:szCs w:val="20"/>
          <w:color w:val="auto"/>
        </w:rPr>
      </w:pPr>
      <w:r>
        <w:rPr>
          <w:rFonts w:ascii="Courier New" w:cs="Courier New" w:eastAsia="Courier New" w:hAnsi="Courier New"/>
          <w:sz w:val="16"/>
          <w:szCs w:val="16"/>
          <w:color w:val="auto"/>
        </w:rPr>
        <w:t>Certain Fiscal 1998 and 1997 amounts have been restated as a result of a</w:t>
      </w:r>
    </w:p>
    <w:p>
      <w:pPr>
        <w:jc w:val="center"/>
        <w:ind w:right="3900"/>
        <w:spacing w:after="0" w:line="236" w:lineRule="auto"/>
        <w:rPr>
          <w:sz w:val="20"/>
          <w:szCs w:val="20"/>
          <w:color w:val="auto"/>
        </w:rPr>
      </w:pPr>
      <w:r>
        <w:rPr>
          <w:rFonts w:ascii="Courier New" w:cs="Courier New" w:eastAsia="Courier New" w:hAnsi="Courier New"/>
          <w:sz w:val="16"/>
          <w:szCs w:val="16"/>
          <w:color w:val="auto"/>
        </w:rPr>
        <w:t>pooling-of-interests merger.</w:t>
      </w:r>
    </w:p>
    <w:p>
      <w:pPr>
        <w:jc w:val="center"/>
        <w:ind w:right="3900"/>
        <w:spacing w:after="0" w:line="237" w:lineRule="auto"/>
        <w:rPr>
          <w:sz w:val="20"/>
          <w:szCs w:val="20"/>
          <w:color w:val="auto"/>
        </w:rPr>
      </w:pPr>
      <w:r>
        <w:rPr>
          <w:rFonts w:ascii="Courier New" w:cs="Courier New" w:eastAsia="Courier New" w:hAnsi="Courier New"/>
          <w:sz w:val="16"/>
          <w:szCs w:val="16"/>
          <w:color w:val="auto"/>
        </w:rPr>
        <w:t>See accompanying notes to consolidated financial statements.</w:t>
      </w:r>
    </w:p>
    <w:p>
      <w:pPr>
        <w:spacing w:after="0" w:line="177"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32/57</w:t>
      </w:r>
    </w:p>
    <w:p>
      <w:pPr>
        <w:sectPr>
          <w:pgSz w:w="11900" w:h="16838" w:orient="portrait"/>
          <w:cols w:equalWidth="0" w:num="1">
            <w:col w:w="11340"/>
          </w:cols>
          <w:pgMar w:left="240" w:top="648" w:right="319" w:bottom="1440" w:gutter="0" w:footer="0" w:header="0"/>
        </w:sectPr>
      </w:pPr>
    </w:p>
    <w:bookmarkStart w:id="32" w:name="page33"/>
    <w:bookmarkEnd w:id="32"/>
    <w:p>
      <w:pPr>
        <w:jc w:val="center"/>
        <w:ind w:right="2879"/>
        <w:spacing w:after="0"/>
        <w:rPr>
          <w:sz w:val="20"/>
          <w:szCs w:val="20"/>
          <w:color w:val="auto"/>
        </w:rPr>
      </w:pPr>
      <w:r>
        <w:rPr>
          <w:rFonts w:ascii="Courier New" w:cs="Courier New" w:eastAsia="Courier New" w:hAnsi="Courier New"/>
          <w:sz w:val="16"/>
          <w:szCs w:val="16"/>
          <w:color w:val="auto"/>
        </w:rPr>
        <w:t>MICRON TECHNOLOGY, INC.</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CONSOLIDATED STATEMENTS OF COMPREHENSIVE INCOME (LOSS)</w:t>
      </w:r>
    </w:p>
    <w:p>
      <w:pPr>
        <w:jc w:val="center"/>
        <w:ind w:right="2879"/>
        <w:spacing w:after="0" w:line="236" w:lineRule="auto"/>
        <w:rPr>
          <w:sz w:val="20"/>
          <w:szCs w:val="20"/>
          <w:color w:val="auto"/>
        </w:rPr>
      </w:pPr>
      <w:r>
        <w:rPr>
          <w:rFonts w:ascii="Courier New" w:cs="Courier New" w:eastAsia="Courier New" w:hAnsi="Courier New"/>
          <w:sz w:val="16"/>
          <w:szCs w:val="16"/>
          <w:color w:val="auto"/>
        </w:rPr>
        <w:t>(Amounts in millions)</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720" w:type="dxa"/>
            <w:vAlign w:val="bottom"/>
          </w:tcPr>
          <w:p>
            <w:pPr>
              <w:jc w:val="right"/>
              <w:ind w:right="2"/>
              <w:spacing w:after="0"/>
              <w:rPr>
                <w:sz w:val="20"/>
                <w:szCs w:val="20"/>
                <w:color w:val="auto"/>
              </w:rPr>
            </w:pPr>
            <w:r>
              <w:rPr>
                <w:rFonts w:ascii="Courier New" w:cs="Courier New" w:eastAsia="Courier New" w:hAnsi="Courier New"/>
                <w:sz w:val="16"/>
                <w:szCs w:val="16"/>
                <w:color w:val="auto"/>
                <w:w w:val="99"/>
              </w:rPr>
              <w:t>Fiscal year ended</w:t>
            </w:r>
          </w:p>
        </w:tc>
        <w:tc>
          <w:tcPr>
            <w:tcW w:w="1020" w:type="dxa"/>
            <w:vAlign w:val="bottom"/>
          </w:tcPr>
          <w:p>
            <w:pPr>
              <w:spacing w:after="0"/>
              <w:rPr>
                <w:sz w:val="15"/>
                <w:szCs w:val="15"/>
                <w:color w:val="auto"/>
              </w:rPr>
            </w:pPr>
          </w:p>
        </w:tc>
      </w:tr>
      <w:tr>
        <w:trPr>
          <w:trHeight w:val="179"/>
        </w:trPr>
        <w:tc>
          <w:tcPr>
            <w:tcW w:w="4360" w:type="dxa"/>
            <w:vAlign w:val="bottom"/>
          </w:tcPr>
          <w:p>
            <w:pPr>
              <w:spacing w:after="0"/>
              <w:rPr>
                <w:sz w:val="15"/>
                <w:szCs w:val="15"/>
                <w:color w:val="auto"/>
              </w:rPr>
            </w:pPr>
          </w:p>
        </w:tc>
        <w:tc>
          <w:tcPr>
            <w:tcW w:w="4000" w:type="dxa"/>
            <w:vAlign w:val="bottom"/>
            <w:gridSpan w:val="4"/>
          </w:tcPr>
          <w:p>
            <w:pPr>
              <w:jc w:val="right"/>
              <w:spacing w:after="0" w:line="179" w:lineRule="exact"/>
              <w:rPr>
                <w:sz w:val="20"/>
                <w:szCs w:val="20"/>
                <w:color w:val="auto"/>
              </w:rPr>
            </w:pPr>
            <w:r>
              <w:rPr>
                <w:rFonts w:ascii="Courier New" w:cs="Courier New" w:eastAsia="Courier New" w:hAnsi="Courier New"/>
                <w:sz w:val="16"/>
                <w:szCs w:val="16"/>
                <w:color w:val="auto"/>
                <w:w w:val="98"/>
              </w:rPr>
              <w:t>------------------------------------------</w:t>
            </w:r>
          </w:p>
        </w:tc>
      </w:tr>
      <w:tr>
        <w:trPr>
          <w:trHeight w:val="179"/>
        </w:trPr>
        <w:tc>
          <w:tcPr>
            <w:tcW w:w="4360" w:type="dxa"/>
            <w:vAlign w:val="bottom"/>
          </w:tcPr>
          <w:p>
            <w:pPr>
              <w:spacing w:after="0"/>
              <w:rPr>
                <w:sz w:val="15"/>
                <w:szCs w:val="15"/>
                <w:color w:val="auto"/>
              </w:rPr>
            </w:pPr>
          </w:p>
        </w:tc>
        <w:tc>
          <w:tcPr>
            <w:tcW w:w="126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7"/>
              </w:rPr>
              <w:t>September 2,</w:t>
            </w:r>
          </w:p>
        </w:tc>
        <w:tc>
          <w:tcPr>
            <w:tcW w:w="17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September 3,</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August 28,</w:t>
            </w:r>
          </w:p>
        </w:tc>
      </w:tr>
      <w:tr>
        <w:trPr>
          <w:trHeight w:val="179"/>
        </w:trPr>
        <w:tc>
          <w:tcPr>
            <w:tcW w:w="4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jc w:val="center"/>
              <w:ind w:right="342"/>
              <w:spacing w:after="0" w:line="179" w:lineRule="exact"/>
              <w:rPr>
                <w:sz w:val="20"/>
                <w:szCs w:val="20"/>
                <w:color w:val="auto"/>
              </w:rPr>
            </w:pPr>
            <w:r>
              <w:rPr>
                <w:rFonts w:ascii="Courier New" w:cs="Courier New" w:eastAsia="Courier New" w:hAnsi="Courier New"/>
                <w:sz w:val="16"/>
                <w:szCs w:val="16"/>
                <w:color w:val="auto"/>
                <w:w w:val="93"/>
              </w:rPr>
              <w:t>1999</w:t>
            </w:r>
          </w:p>
        </w:tc>
        <w:tc>
          <w:tcPr>
            <w:tcW w:w="172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rPr>
              <w:t>1998</w:t>
            </w: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1997</w:t>
            </w:r>
          </w:p>
        </w:tc>
      </w:tr>
      <w:tr>
        <w:trPr>
          <w:trHeight w:val="179"/>
        </w:trPr>
        <w:tc>
          <w:tcPr>
            <w:tcW w:w="4360" w:type="dxa"/>
            <w:vAlign w:val="bottom"/>
          </w:tcPr>
          <w:p>
            <w:pPr>
              <w:spacing w:after="0"/>
              <w:rPr>
                <w:sz w:val="15"/>
                <w:szCs w:val="15"/>
                <w:color w:val="auto"/>
              </w:rPr>
            </w:pPr>
          </w:p>
        </w:tc>
        <w:tc>
          <w:tcPr>
            <w:tcW w:w="126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7"/>
              </w:rPr>
              <w:t>------------</w:t>
            </w:r>
          </w:p>
        </w:tc>
        <w:tc>
          <w:tcPr>
            <w:tcW w:w="17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360" w:type="dxa"/>
            <w:vAlign w:val="bottom"/>
          </w:tcPr>
          <w:p>
            <w:pPr>
              <w:jc w:val="right"/>
              <w:ind w:right="2"/>
              <w:spacing w:after="0"/>
              <w:rPr>
                <w:sz w:val="20"/>
                <w:szCs w:val="20"/>
                <w:color w:val="auto"/>
              </w:rPr>
            </w:pPr>
            <w:r>
              <w:rPr>
                <w:rFonts w:ascii="Courier New" w:cs="Courier New" w:eastAsia="Courier New" w:hAnsi="Courier New"/>
                <w:sz w:val="16"/>
                <w:szCs w:val="16"/>
                <w:color w:val="auto"/>
                <w:w w:val="96"/>
              </w:rPr>
              <w:t>Net income (loss).............................</w:t>
            </w:r>
          </w:p>
        </w:tc>
        <w:tc>
          <w:tcPr>
            <w:tcW w:w="4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(68.9)</w:t>
            </w:r>
          </w:p>
        </w:tc>
        <w:tc>
          <w:tcPr>
            <w:tcW w:w="172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 (247.1)</w:t>
            </w:r>
          </w:p>
        </w:tc>
        <w:tc>
          <w:tcPr>
            <w:tcW w:w="1020" w:type="dxa"/>
            <w:vAlign w:val="bottom"/>
          </w:tcPr>
          <w:p>
            <w:pPr>
              <w:jc w:val="right"/>
              <w:ind w:right="2"/>
              <w:spacing w:after="0"/>
              <w:rPr>
                <w:sz w:val="20"/>
                <w:szCs w:val="20"/>
                <w:color w:val="auto"/>
              </w:rPr>
            </w:pPr>
            <w:r>
              <w:rPr>
                <w:rFonts w:ascii="Courier New" w:cs="Courier New" w:eastAsia="Courier New" w:hAnsi="Courier New"/>
                <w:sz w:val="16"/>
                <w:szCs w:val="16"/>
                <w:color w:val="auto"/>
              </w:rPr>
              <w:t>$ 315.0</w:t>
            </w:r>
          </w:p>
        </w:tc>
      </w:tr>
      <w:tr>
        <w:trPr>
          <w:trHeight w:val="179"/>
        </w:trPr>
        <w:tc>
          <w:tcPr>
            <w:tcW w:w="43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6"/>
              </w:rPr>
              <w:t>Foreign currency translation adjustment.......</w:t>
            </w:r>
          </w:p>
        </w:tc>
        <w:tc>
          <w:tcPr>
            <w:tcW w:w="480" w:type="dxa"/>
            <w:vAlign w:val="bottom"/>
          </w:tcPr>
          <w:p>
            <w:pPr>
              <w:spacing w:after="0"/>
              <w:rPr>
                <w:sz w:val="15"/>
                <w:szCs w:val="15"/>
                <w:color w:val="auto"/>
              </w:rPr>
            </w:pPr>
          </w:p>
        </w:tc>
        <w:tc>
          <w:tcPr>
            <w:tcW w:w="7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(0.4)</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(0.5)</w:t>
            </w:r>
          </w:p>
        </w:tc>
      </w:tr>
      <w:tr>
        <w:trPr>
          <w:trHeight w:val="179"/>
        </w:trPr>
        <w:tc>
          <w:tcPr>
            <w:tcW w:w="43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6"/>
              </w:rPr>
              <w:t>Unrealized loss in investments................</w:t>
            </w:r>
          </w:p>
        </w:tc>
        <w:tc>
          <w:tcPr>
            <w:tcW w:w="48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(2.0)</w:t>
            </w:r>
          </w:p>
        </w:tc>
        <w:tc>
          <w:tcPr>
            <w:tcW w:w="17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360" w:type="dxa"/>
            <w:vAlign w:val="bottom"/>
          </w:tcPr>
          <w:p>
            <w:pPr>
              <w:spacing w:after="0"/>
              <w:rPr>
                <w:sz w:val="15"/>
                <w:szCs w:val="15"/>
                <w:color w:val="auto"/>
              </w:rPr>
            </w:pPr>
          </w:p>
        </w:tc>
        <w:tc>
          <w:tcPr>
            <w:tcW w:w="126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3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8"/>
              </w:rPr>
              <w:t>Total comprehensive income (loss)............</w:t>
            </w:r>
          </w:p>
        </w:tc>
        <w:tc>
          <w:tcPr>
            <w:tcW w:w="4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(70.9)</w:t>
            </w:r>
          </w:p>
        </w:tc>
        <w:tc>
          <w:tcPr>
            <w:tcW w:w="17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 (246.7)</w:t>
            </w:r>
          </w:p>
        </w:tc>
        <w:tc>
          <w:tcPr>
            <w:tcW w:w="10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$ 314.5</w:t>
            </w:r>
          </w:p>
        </w:tc>
      </w:tr>
      <w:tr>
        <w:trPr>
          <w:trHeight w:val="179"/>
        </w:trPr>
        <w:tc>
          <w:tcPr>
            <w:tcW w:w="4360" w:type="dxa"/>
            <w:vAlign w:val="bottom"/>
          </w:tcPr>
          <w:p>
            <w:pPr>
              <w:spacing w:after="0"/>
              <w:rPr>
                <w:sz w:val="15"/>
                <w:szCs w:val="15"/>
                <w:color w:val="auto"/>
              </w:rPr>
            </w:pPr>
          </w:p>
        </w:tc>
        <w:tc>
          <w:tcPr>
            <w:tcW w:w="126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Certain Fiscal 1998 and 1997 amounts have been restated as a result of a</w:t>
      </w:r>
    </w:p>
    <w:p>
      <w:pPr>
        <w:jc w:val="center"/>
        <w:ind w:right="2779"/>
        <w:spacing w:after="0" w:line="236" w:lineRule="auto"/>
        <w:rPr>
          <w:sz w:val="20"/>
          <w:szCs w:val="20"/>
          <w:color w:val="auto"/>
        </w:rPr>
      </w:pPr>
      <w:r>
        <w:rPr>
          <w:rFonts w:ascii="Courier New" w:cs="Courier New" w:eastAsia="Courier New" w:hAnsi="Courier New"/>
          <w:sz w:val="16"/>
          <w:szCs w:val="16"/>
          <w:color w:val="auto"/>
        </w:rPr>
        <w:t>pooling-of-interests merger.</w:t>
      </w:r>
    </w:p>
    <w:p>
      <w:pPr>
        <w:jc w:val="center"/>
        <w:ind w:right="2779"/>
        <w:spacing w:after="0" w:line="237" w:lineRule="auto"/>
        <w:rPr>
          <w:sz w:val="20"/>
          <w:szCs w:val="20"/>
          <w:color w:val="auto"/>
        </w:rPr>
      </w:pPr>
      <w:r>
        <w:rPr>
          <w:rFonts w:ascii="Courier New" w:cs="Courier New" w:eastAsia="Courier New" w:hAnsi="Courier New"/>
          <w:sz w:val="16"/>
          <w:szCs w:val="16"/>
          <w:color w:val="auto"/>
        </w:rPr>
        <w:t>See accompanying notes to consolidated financial statements.</w:t>
      </w:r>
    </w:p>
    <w:p>
      <w:pPr>
        <w:spacing w:after="0" w:line="177"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33/57</w:t>
      </w:r>
    </w:p>
    <w:p>
      <w:pPr>
        <w:sectPr>
          <w:pgSz w:w="11900" w:h="16838" w:orient="portrait"/>
          <w:cols w:equalWidth="0" w:num="1">
            <w:col w:w="10219"/>
          </w:cols>
          <w:pgMar w:left="240" w:top="648" w:right="1440" w:bottom="1440" w:gutter="0" w:footer="0" w:header="0"/>
        </w:sectPr>
      </w:pPr>
    </w:p>
    <w:bookmarkStart w:id="33" w:name="page34"/>
    <w:bookmarkEnd w:id="33"/>
    <w:p>
      <w:pPr>
        <w:jc w:val="center"/>
        <w:ind w:right="2879"/>
        <w:spacing w:after="0"/>
        <w:rPr>
          <w:sz w:val="20"/>
          <w:szCs w:val="20"/>
          <w:color w:val="auto"/>
        </w:rPr>
      </w:pPr>
      <w:r>
        <w:rPr>
          <w:rFonts w:ascii="Courier New" w:cs="Courier New" w:eastAsia="Courier New" w:hAnsi="Courier New"/>
          <w:sz w:val="16"/>
          <w:szCs w:val="16"/>
          <w:color w:val="auto"/>
        </w:rPr>
        <w:t>MICRON TECHNOLOGY, INC.</w:t>
      </w:r>
    </w:p>
    <w:p>
      <w:pPr>
        <w:spacing w:after="0" w:line="177"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NOTES TO CONSOLIDATED FINANCIAL STATEMENTS</w:t>
      </w:r>
    </w:p>
    <w:p>
      <w:pPr>
        <w:ind w:left="920"/>
        <w:spacing w:after="0" w:line="236" w:lineRule="auto"/>
        <w:rPr>
          <w:sz w:val="20"/>
          <w:szCs w:val="20"/>
          <w:color w:val="auto"/>
        </w:rPr>
      </w:pPr>
      <w:r>
        <w:rPr>
          <w:rFonts w:ascii="Courier New" w:cs="Courier New" w:eastAsia="Courier New" w:hAnsi="Courier New"/>
          <w:sz w:val="16"/>
          <w:szCs w:val="16"/>
          <w:color w:val="auto"/>
        </w:rPr>
        <w:t>(All tabular dollars in millions except for per share data)</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Significant Accounting Policies</w:t>
      </w:r>
    </w:p>
    <w:p>
      <w:pPr>
        <w:spacing w:after="0" w:line="183" w:lineRule="exact"/>
        <w:rPr>
          <w:sz w:val="20"/>
          <w:szCs w:val="20"/>
          <w:color w:val="auto"/>
        </w:rPr>
      </w:pPr>
    </w:p>
    <w:p>
      <w:pPr>
        <w:ind w:right="2779" w:firstLine="186"/>
        <w:spacing w:after="0" w:line="273" w:lineRule="auto"/>
        <w:rPr>
          <w:sz w:val="20"/>
          <w:szCs w:val="20"/>
          <w:color w:val="auto"/>
        </w:rPr>
      </w:pPr>
      <w:r>
        <w:rPr>
          <w:rFonts w:ascii="Courier New" w:cs="Courier New" w:eastAsia="Courier New" w:hAnsi="Courier New"/>
          <w:sz w:val="14"/>
          <w:szCs w:val="14"/>
          <w:color w:val="auto"/>
        </w:rPr>
        <w:t>Basis of presentation: The consolidated financial statements include the accounts of Micron Technology, Inc. and its domestic and foreign subsidiaries (the "Company"). The Company designs, develops, manufactures and markets semiconductor memory products, primarily DRAM, principally for use in personal computers ("PCs"). Through Micron Electronics, Inc. ("MEI"), the Company offers PC systems, notebooks and servers. MEI is a 63% owned subsidiary of the Company. Micron Technology, Inc. and its wholly-owned subsidiaries are hereinafter referred to collectively as "MTI." All significant intercompany accounts and transactions have been eliminated. The Company's fiscal year is the 52 or 53 week period ending on the Thursday closest to August 31. The fiscal years ended September 2, 1999, and August 28, 1997, contained 52 weeks compared to 53 weeks in fiscal year ended September 3, 1998.</w:t>
      </w:r>
    </w:p>
    <w:p>
      <w:pPr>
        <w:spacing w:after="0" w:line="341" w:lineRule="exact"/>
        <w:rPr>
          <w:sz w:val="20"/>
          <w:szCs w:val="20"/>
          <w:color w:val="auto"/>
        </w:rPr>
      </w:pPr>
    </w:p>
    <w:p>
      <w:pPr>
        <w:ind w:right="3239" w:firstLine="186"/>
        <w:spacing w:after="0" w:line="279" w:lineRule="auto"/>
        <w:rPr>
          <w:sz w:val="20"/>
          <w:szCs w:val="20"/>
          <w:color w:val="auto"/>
        </w:rPr>
      </w:pPr>
      <w:r>
        <w:rPr>
          <w:rFonts w:ascii="Courier New" w:cs="Courier New" w:eastAsia="Courier New" w:hAnsi="Courier New"/>
          <w:sz w:val="14"/>
          <w:szCs w:val="14"/>
          <w:color w:val="auto"/>
        </w:rPr>
        <w:t>Certain concentrations and estimates: Approximately 81% of the Company's sales of semiconductor memory products are to the PC or peripheral markets. Certain components used by the Company in manufacturing of PC systems are purchased from a limited number of suppliers.</w:t>
      </w:r>
    </w:p>
    <w:p>
      <w:pPr>
        <w:spacing w:after="0" w:line="157" w:lineRule="exact"/>
        <w:rPr>
          <w:sz w:val="20"/>
          <w:szCs w:val="20"/>
          <w:color w:val="auto"/>
        </w:rPr>
      </w:pPr>
    </w:p>
    <w:p>
      <w:pPr>
        <w:ind w:right="3339" w:firstLine="186"/>
        <w:spacing w:after="0" w:line="235" w:lineRule="auto"/>
        <w:rPr>
          <w:sz w:val="20"/>
          <w:szCs w:val="20"/>
          <w:color w:val="auto"/>
        </w:rPr>
      </w:pPr>
      <w:r>
        <w:rPr>
          <w:rFonts w:ascii="Courier New" w:cs="Courier New" w:eastAsia="Courier New" w:hAnsi="Courier New"/>
          <w:sz w:val="16"/>
          <w:szCs w:val="16"/>
          <w:color w:val="auto"/>
        </w:rPr>
        <w:t>The preparation of financial statements in conformity with generally accepted accounting principles requires management to make estimates and assumptions that affect the amounts reported in the consolidated financial statements and accompanying notes. Actual results could differ from those estimates.</w:t>
      </w:r>
    </w:p>
    <w:p>
      <w:pPr>
        <w:spacing w:after="0" w:line="186" w:lineRule="exact"/>
        <w:rPr>
          <w:sz w:val="20"/>
          <w:szCs w:val="20"/>
          <w:color w:val="auto"/>
        </w:rPr>
      </w:pPr>
    </w:p>
    <w:p>
      <w:pPr>
        <w:ind w:right="2879" w:firstLine="186"/>
        <w:spacing w:after="0" w:line="236" w:lineRule="auto"/>
        <w:rPr>
          <w:sz w:val="20"/>
          <w:szCs w:val="20"/>
          <w:color w:val="auto"/>
        </w:rPr>
      </w:pPr>
      <w:r>
        <w:rPr>
          <w:rFonts w:ascii="Courier New" w:cs="Courier New" w:eastAsia="Courier New" w:hAnsi="Courier New"/>
          <w:sz w:val="16"/>
          <w:szCs w:val="16"/>
          <w:color w:val="auto"/>
        </w:rPr>
        <w:t>Revenue recognition: Revenue from product sales to direct customers is recognized when title transfers to the customer, primarily upon shipment. The Company defers recognition of sales to distributors, which allow certain rights of return and price protection, until distributors have sold the products. Net sales include PC operations revenue from web services, service and support contracts and sales of third party services contracts. Revenue from web services is recognized as the services are performed. Revenue from service and support contracts for which the Company is primarily obligated is recognized over the term of the contract. Revenue from sales of third party service contracts for which the Company is not obligated is recognized at the time of sale.</w:t>
      </w:r>
    </w:p>
    <w:p>
      <w:pPr>
        <w:spacing w:after="0" w:line="186" w:lineRule="exact"/>
        <w:rPr>
          <w:sz w:val="20"/>
          <w:szCs w:val="20"/>
          <w:color w:val="auto"/>
        </w:rPr>
      </w:pPr>
    </w:p>
    <w:p>
      <w:pPr>
        <w:ind w:right="2779" w:firstLine="186"/>
        <w:spacing w:after="0" w:line="236" w:lineRule="auto"/>
        <w:rPr>
          <w:sz w:val="20"/>
          <w:szCs w:val="20"/>
          <w:color w:val="auto"/>
        </w:rPr>
      </w:pPr>
      <w:r>
        <w:rPr>
          <w:rFonts w:ascii="Courier New" w:cs="Courier New" w:eastAsia="Courier New" w:hAnsi="Courier New"/>
          <w:sz w:val="16"/>
          <w:szCs w:val="16"/>
          <w:color w:val="auto"/>
        </w:rPr>
        <w:t>Earnings (loss) per share: Basic earnings per share is calculated using the average number of shares of common stock outstanding during the year. Diluted earnings per share is computed on the basis of the average number of common shares outstanding plus the effect of outstanding stock options using the "treasury stock method" and convertible debentures using the "if-converted" method. Common stock equivalents consist of stock options. Diluted earnings per share further assumes the conversion of the Company's convertible subordinated notes for the period they were outstanding, unless such assumed conversion would result in anti-dilution.</w:t>
      </w:r>
    </w:p>
    <w:p>
      <w:pPr>
        <w:spacing w:after="0" w:line="185" w:lineRule="exact"/>
        <w:rPr>
          <w:sz w:val="20"/>
          <w:szCs w:val="20"/>
          <w:color w:val="auto"/>
        </w:rPr>
      </w:pPr>
    </w:p>
    <w:p>
      <w:pPr>
        <w:ind w:right="2779" w:firstLine="186"/>
        <w:spacing w:after="0" w:line="273" w:lineRule="auto"/>
        <w:rPr>
          <w:sz w:val="20"/>
          <w:szCs w:val="20"/>
          <w:color w:val="auto"/>
        </w:rPr>
      </w:pPr>
      <w:r>
        <w:rPr>
          <w:rFonts w:ascii="Courier New" w:cs="Courier New" w:eastAsia="Courier New" w:hAnsi="Courier New"/>
          <w:sz w:val="14"/>
          <w:szCs w:val="14"/>
          <w:color w:val="auto"/>
        </w:rPr>
        <w:t>Financial instruments: Cash equivalents include highly liquid short-term investments with original maturities of three months or less, readily convertible to known amounts of cash. The amounts reported as cash and equivalents, liquid investments, receivables, other assets, accounts payable and accrued expenses and equipment purchase contracts are considered to be reasonable approximations of their fair values. The fair value of the Company's long-term debt as of September 2, 1999, and September 3, 1998, approximated $1,636.8 million and $790.4 million, respectively. The fair value estimates presented herein were based on market interest rates and other market information available to management as of each balance sheet date presented.</w:t>
      </w:r>
    </w:p>
    <w:p>
      <w:pPr>
        <w:spacing w:after="0" w:line="165" w:lineRule="exact"/>
        <w:rPr>
          <w:sz w:val="20"/>
          <w:szCs w:val="20"/>
          <w:color w:val="auto"/>
        </w:rPr>
      </w:pPr>
    </w:p>
    <w:p>
      <w:pPr>
        <w:ind w:right="2879"/>
        <w:spacing w:after="0" w:line="235" w:lineRule="auto"/>
        <w:rPr>
          <w:sz w:val="20"/>
          <w:szCs w:val="20"/>
          <w:color w:val="auto"/>
        </w:rPr>
      </w:pPr>
      <w:r>
        <w:rPr>
          <w:rFonts w:ascii="Courier New" w:cs="Courier New" w:eastAsia="Courier New" w:hAnsi="Courier New"/>
          <w:sz w:val="16"/>
          <w:szCs w:val="16"/>
          <w:color w:val="auto"/>
        </w:rPr>
        <w:t>The use of different market assumptions and/or estimation methodologies could have a material effect on the estimated fair value amounts. The reported fair values do not take into consideration potential expenses that would be incurred in an actual settlement.</w:t>
      </w:r>
    </w:p>
    <w:p>
      <w:pPr>
        <w:spacing w:after="0" w:line="185" w:lineRule="exact"/>
        <w:rPr>
          <w:sz w:val="20"/>
          <w:szCs w:val="20"/>
          <w:color w:val="auto"/>
        </w:rPr>
      </w:pPr>
    </w:p>
    <w:p>
      <w:pPr>
        <w:ind w:right="2779" w:firstLine="186"/>
        <w:spacing w:after="0" w:line="273" w:lineRule="auto"/>
        <w:rPr>
          <w:sz w:val="20"/>
          <w:szCs w:val="20"/>
          <w:color w:val="auto"/>
        </w:rPr>
      </w:pPr>
      <w:r>
        <w:rPr>
          <w:rFonts w:ascii="Courier New" w:cs="Courier New" w:eastAsia="Courier New" w:hAnsi="Courier New"/>
          <w:sz w:val="14"/>
          <w:szCs w:val="14"/>
          <w:color w:val="auto"/>
        </w:rPr>
        <w:t>Financial instruments that potentially subject the Company to concentrations of credit risk consist principally of cash, liquid investments and trade accounts receivable. The Company invests cash through high-credit-quality financial institutions and performs periodic evaluations of the relative credit standing of these financial institutions. The Company, by policy, limits the concentration of credit exposure by restricting investments with any single obligor. A concentration of credit risk may exist with respect to trade receivables, as a substantial portion of the Company's customers are affiliated with the computer, telecommunications and office automation industries. The Company performs ongoing credit evaluations of customers worldwide and generally does not require collateral from its customers. Historically, the Company has not experienced significant losses on receivables.</w:t>
      </w:r>
    </w:p>
    <w:p>
      <w:pPr>
        <w:spacing w:after="0" w:line="200" w:lineRule="exact"/>
        <w:rPr>
          <w:sz w:val="20"/>
          <w:szCs w:val="20"/>
          <w:color w:val="auto"/>
        </w:rPr>
      </w:pPr>
    </w:p>
    <w:p>
      <w:pPr>
        <w:spacing w:after="0" w:line="314"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34/57</w:t>
      </w:r>
    </w:p>
    <w:p>
      <w:pPr>
        <w:sectPr>
          <w:pgSz w:w="11900" w:h="16838" w:orient="portrait"/>
          <w:cols w:equalWidth="0" w:num="1">
            <w:col w:w="10219"/>
          </w:cols>
          <w:pgMar w:left="240" w:top="648" w:right="1440" w:bottom="775" w:gutter="0" w:footer="0" w:header="0"/>
        </w:sectPr>
      </w:pPr>
    </w:p>
    <w:bookmarkStart w:id="34" w:name="page35"/>
    <w:bookmarkEnd w:id="34"/>
    <w:p>
      <w:pPr>
        <w:ind w:right="2879" w:firstLine="186"/>
        <w:spacing w:after="0" w:line="235" w:lineRule="auto"/>
        <w:rPr>
          <w:sz w:val="20"/>
          <w:szCs w:val="20"/>
          <w:color w:val="auto"/>
        </w:rPr>
      </w:pPr>
      <w:r>
        <w:rPr>
          <w:rFonts w:ascii="Courier New" w:cs="Courier New" w:eastAsia="Courier New" w:hAnsi="Courier New"/>
          <w:sz w:val="16"/>
          <w:szCs w:val="16"/>
          <w:color w:val="auto"/>
        </w:rPr>
        <w:t>Inventories: Inventories are stated at the lower of average cost or market. Cost includes labor, material and overhead costs, including product and process technology costs.</w:t>
      </w:r>
    </w:p>
    <w:p>
      <w:pPr>
        <w:spacing w:after="0" w:line="183" w:lineRule="exact"/>
        <w:rPr>
          <w:sz w:val="20"/>
          <w:szCs w:val="20"/>
          <w:color w:val="auto"/>
        </w:rPr>
      </w:pPr>
    </w:p>
    <w:p>
      <w:pPr>
        <w:ind w:right="2779" w:firstLine="186"/>
        <w:spacing w:after="0" w:line="236" w:lineRule="auto"/>
        <w:rPr>
          <w:sz w:val="20"/>
          <w:szCs w:val="20"/>
          <w:color w:val="auto"/>
        </w:rPr>
      </w:pPr>
      <w:r>
        <w:rPr>
          <w:rFonts w:ascii="Courier New" w:cs="Courier New" w:eastAsia="Courier New" w:hAnsi="Courier New"/>
          <w:sz w:val="16"/>
          <w:szCs w:val="16"/>
          <w:color w:val="auto"/>
        </w:rPr>
        <w:t>Property, plant and equipment: Property, plant and equipment are stated at cost. Depreciation is computed using the straight-line method over the estimated useful lives of 5 to 30 years for buildings and 2 to 20 years for equipment. When property or equipment is retired or otherwise disposed of, the net book value of the asset is removed from the Company's books and the net gain or loss is included in the determination of income.</w:t>
      </w:r>
    </w:p>
    <w:p>
      <w:pPr>
        <w:spacing w:after="0" w:line="183" w:lineRule="exact"/>
        <w:rPr>
          <w:sz w:val="20"/>
          <w:szCs w:val="20"/>
          <w:color w:val="auto"/>
        </w:rPr>
      </w:pPr>
    </w:p>
    <w:p>
      <w:pPr>
        <w:ind w:right="2779" w:firstLine="186"/>
        <w:spacing w:after="0" w:line="236" w:lineRule="auto"/>
        <w:rPr>
          <w:sz w:val="20"/>
          <w:szCs w:val="20"/>
          <w:color w:val="auto"/>
        </w:rPr>
      </w:pPr>
      <w:r>
        <w:rPr>
          <w:rFonts w:ascii="Courier New" w:cs="Courier New" w:eastAsia="Courier New" w:hAnsi="Courier New"/>
          <w:sz w:val="16"/>
          <w:szCs w:val="16"/>
          <w:color w:val="auto"/>
        </w:rPr>
        <w:t>The Company capitalizes interest on borrowings during the active construction period of major capital projects. Capitalized interest is added to the cost of the underlying assets and is amortized over the useful lives of the assets. For 1999, 1998 and 1997, the Company capitalized $2.2 million, $15.5 million and $6.0 million of interest, respectively, in connection with various capital expansion projects.</w:t>
      </w:r>
    </w:p>
    <w:p>
      <w:pPr>
        <w:spacing w:after="0" w:line="183" w:lineRule="exact"/>
        <w:rPr>
          <w:sz w:val="20"/>
          <w:szCs w:val="20"/>
          <w:color w:val="auto"/>
        </w:rPr>
      </w:pPr>
    </w:p>
    <w:p>
      <w:pPr>
        <w:ind w:right="2779" w:firstLine="186"/>
        <w:spacing w:after="0" w:line="236" w:lineRule="auto"/>
        <w:rPr>
          <w:sz w:val="20"/>
          <w:szCs w:val="20"/>
          <w:color w:val="auto"/>
        </w:rPr>
      </w:pPr>
      <w:r>
        <w:rPr>
          <w:rFonts w:ascii="Courier New" w:cs="Courier New" w:eastAsia="Courier New" w:hAnsi="Courier New"/>
          <w:sz w:val="16"/>
          <w:szCs w:val="16"/>
          <w:color w:val="auto"/>
        </w:rPr>
        <w:t>The Company reviews the carrying value of property, plant and equipment for impairment whenever events and circumstances indicate that the carrying value of an asset may not be recoverable from the estimated future cash flows expected to result from its use and eventual disposition. In cases where undiscounted expected future cash flows are less than the carrying value, an impairment loss is recognized equal to an amount by which the carrying value exceeds the fair value of assets.</w:t>
      </w:r>
    </w:p>
    <w:p>
      <w:pPr>
        <w:spacing w:after="0" w:line="184" w:lineRule="exact"/>
        <w:rPr>
          <w:sz w:val="20"/>
          <w:szCs w:val="20"/>
          <w:color w:val="auto"/>
        </w:rPr>
      </w:pPr>
    </w:p>
    <w:p>
      <w:pPr>
        <w:ind w:right="2779" w:firstLine="186"/>
        <w:spacing w:after="0" w:line="236" w:lineRule="auto"/>
        <w:rPr>
          <w:sz w:val="20"/>
          <w:szCs w:val="20"/>
          <w:color w:val="auto"/>
        </w:rPr>
      </w:pPr>
      <w:r>
        <w:rPr>
          <w:rFonts w:ascii="Courier New" w:cs="Courier New" w:eastAsia="Courier New" w:hAnsi="Courier New"/>
          <w:sz w:val="16"/>
          <w:szCs w:val="16"/>
          <w:color w:val="auto"/>
        </w:rPr>
        <w:t>Product and process technology: Costs related to the conceptual formulation and design of products and processes are expensed as research and development. Costs incurred to establish patents and acquire product and process technology are capitalized. Capitalized costs are amortized on the straight-line method over the shorter of the estimated useful life of the technology, the patent term or the agreement, ranging up to 10 years. The Company has license agreements that allow it to manufacture and sell semiconductor memory devices, PC hardware and software.</w:t>
      </w:r>
    </w:p>
    <w:p>
      <w:pPr>
        <w:spacing w:after="0" w:line="184" w:lineRule="exact"/>
        <w:rPr>
          <w:sz w:val="20"/>
          <w:szCs w:val="20"/>
          <w:color w:val="auto"/>
        </w:rPr>
      </w:pPr>
    </w:p>
    <w:p>
      <w:pPr>
        <w:ind w:right="2779" w:firstLine="186"/>
        <w:spacing w:after="0" w:line="234" w:lineRule="auto"/>
        <w:rPr>
          <w:sz w:val="20"/>
          <w:szCs w:val="20"/>
          <w:color w:val="auto"/>
        </w:rPr>
      </w:pPr>
      <w:r>
        <w:rPr>
          <w:rFonts w:ascii="Courier New" w:cs="Courier New" w:eastAsia="Courier New" w:hAnsi="Courier New"/>
          <w:sz w:val="16"/>
          <w:szCs w:val="16"/>
          <w:color w:val="auto"/>
        </w:rPr>
        <w:t>Subsidiary stock sales: Gains and losses on issuance of stock by a subsidiary are recognized in the Company's results of operations.</w:t>
      </w:r>
    </w:p>
    <w:p>
      <w:pPr>
        <w:spacing w:after="0" w:line="183" w:lineRule="exact"/>
        <w:rPr>
          <w:sz w:val="20"/>
          <w:szCs w:val="20"/>
          <w:color w:val="auto"/>
        </w:rPr>
      </w:pPr>
    </w:p>
    <w:p>
      <w:pPr>
        <w:ind w:right="3239" w:firstLine="186"/>
        <w:spacing w:after="0" w:line="235" w:lineRule="auto"/>
        <w:rPr>
          <w:sz w:val="20"/>
          <w:szCs w:val="20"/>
          <w:color w:val="auto"/>
        </w:rPr>
      </w:pPr>
      <w:r>
        <w:rPr>
          <w:rFonts w:ascii="Courier New" w:cs="Courier New" w:eastAsia="Courier New" w:hAnsi="Courier New"/>
          <w:sz w:val="16"/>
          <w:szCs w:val="16"/>
          <w:color w:val="auto"/>
        </w:rPr>
        <w:t>Advertising: Advertising costs are charged to operations as incurred. Advertising costs expensed in 1999, 1998 and 1997 were $41.3 million, $70.8 million and $35.7 million, respectively.</w:t>
      </w:r>
    </w:p>
    <w:p>
      <w:pPr>
        <w:spacing w:after="0" w:line="183" w:lineRule="exact"/>
        <w:rPr>
          <w:sz w:val="20"/>
          <w:szCs w:val="20"/>
          <w:color w:val="auto"/>
        </w:rPr>
      </w:pPr>
    </w:p>
    <w:p>
      <w:pPr>
        <w:ind w:right="2779" w:firstLine="186"/>
        <w:spacing w:after="0" w:line="272" w:lineRule="auto"/>
        <w:rPr>
          <w:sz w:val="20"/>
          <w:szCs w:val="20"/>
          <w:color w:val="auto"/>
        </w:rPr>
      </w:pPr>
      <w:r>
        <w:rPr>
          <w:rFonts w:ascii="Courier New" w:cs="Courier New" w:eastAsia="Courier New" w:hAnsi="Courier New"/>
          <w:sz w:val="14"/>
          <w:szCs w:val="14"/>
          <w:color w:val="auto"/>
        </w:rPr>
        <w:t>Recently issued accounting standards: In March 1998, the AICPA issued Statement of Position ("SOP") 98-1 "Accounting for the Costs of Computer Software Developed or Obtained for Internal Use." SOP 98-1 requires companies to capitalize certain costs of computer software developed or obtained for internal use. The Company, which currently capitalizes costs of purchased internal-use computer software and expenses costs of internally developed internal-use software as incurred, is adopting the standard in the first quarter of 2000 for developmental costs incurred in that quarter and thereafter. The adoption is expected to result in an initial decrease in selling, general and administrative expense due to the capitalization of certain business system software costs that are not being capitalized under the Company's current practice. Subsequent period expenses are expected to reflect a higher level of depreciation expense resulting from the relatively higher carrying value of the Company's capitalized software accounted for under SOP 98-1.</w:t>
      </w:r>
    </w:p>
    <w:p>
      <w:pPr>
        <w:spacing w:after="0" w:line="347" w:lineRule="exact"/>
        <w:rPr>
          <w:sz w:val="20"/>
          <w:szCs w:val="20"/>
          <w:color w:val="auto"/>
        </w:rPr>
      </w:pPr>
    </w:p>
    <w:p>
      <w:pPr>
        <w:ind w:right="2779" w:firstLine="186"/>
        <w:spacing w:after="0" w:line="236" w:lineRule="auto"/>
        <w:rPr>
          <w:sz w:val="20"/>
          <w:szCs w:val="20"/>
          <w:color w:val="auto"/>
        </w:rPr>
      </w:pPr>
      <w:r>
        <w:rPr>
          <w:rFonts w:ascii="Courier New" w:cs="Courier New" w:eastAsia="Courier New" w:hAnsi="Courier New"/>
          <w:sz w:val="16"/>
          <w:szCs w:val="16"/>
          <w:color w:val="auto"/>
        </w:rPr>
        <w:t>In June 1998, the FASB issued Statement of Financial Accounting Standards ("SFAS") No. 133 "Accounting for Derivative Instruments and Hedging Activities." SFAS No. 133 requires that all derivatives be recorded as either assets or liabilities in the balance sheet and marked to market on an ongoing basis. SFAS No. 133 applies to all derivatives including stand-alone instruments, such as forward currency exchange contracts and interest rate swaps, or embedded derivatives, such as call options contained in convertible debt investments. Along with the derivatives, the underlying hedged items are also to be marked to market on an ongoing basis. These market value adjustments are to be included either in the statement of operations or as a component of comprehensive income, depending on the nature of the transaction. Implementation of SFAS No. 133 is required for the Company by the first quarter of 2001. Given the Company's current business practice, the implementation of SFAS 133 is not expected to have a significant impact on the Company's future results of operations or financial position.</w:t>
      </w:r>
    </w:p>
    <w:p>
      <w:pPr>
        <w:spacing w:after="0" w:line="189" w:lineRule="exact"/>
        <w:rPr>
          <w:sz w:val="20"/>
          <w:szCs w:val="20"/>
          <w:color w:val="auto"/>
        </w:rPr>
      </w:pPr>
    </w:p>
    <w:p>
      <w:pPr>
        <w:ind w:right="2779" w:firstLine="186"/>
        <w:spacing w:after="0" w:line="236" w:lineRule="auto"/>
        <w:rPr>
          <w:sz w:val="20"/>
          <w:szCs w:val="20"/>
          <w:color w:val="auto"/>
        </w:rPr>
      </w:pPr>
      <w:r>
        <w:rPr>
          <w:rFonts w:ascii="Courier New" w:cs="Courier New" w:eastAsia="Courier New" w:hAnsi="Courier New"/>
          <w:sz w:val="16"/>
          <w:szCs w:val="16"/>
          <w:color w:val="auto"/>
        </w:rPr>
        <w:t>Foreign currency: The U.S. dollar is the Company's functional currency for substantially all of its operations. For international operations where the local currency is the functional currency, assets and liabilities are translated into U.S. dollars at exchange rates in effect at the balance sheet date and income and expense items are translated at the average exchange rates prevailing during the period.</w:t>
      </w:r>
    </w:p>
    <w:p>
      <w:pPr>
        <w:spacing w:after="0" w:line="177"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35/57</w:t>
      </w:r>
    </w:p>
    <w:p>
      <w:pPr>
        <w:sectPr>
          <w:pgSz w:w="11900" w:h="16838" w:orient="portrait"/>
          <w:cols w:equalWidth="0" w:num="1">
            <w:col w:w="10219"/>
          </w:cols>
          <w:pgMar w:left="240" w:top="654" w:right="1440" w:bottom="1132" w:gutter="0" w:footer="0" w:header="0"/>
        </w:sectPr>
      </w:pPr>
    </w:p>
    <w:bookmarkStart w:id="35" w:name="page36"/>
    <w:bookmarkEnd w:id="35"/>
    <w:p>
      <w:pPr>
        <w:ind w:right="2879" w:firstLine="186"/>
        <w:spacing w:after="0" w:line="236" w:lineRule="auto"/>
        <w:rPr>
          <w:sz w:val="20"/>
          <w:szCs w:val="20"/>
          <w:color w:val="auto"/>
        </w:rPr>
      </w:pPr>
      <w:r>
        <w:rPr>
          <w:rFonts w:ascii="Courier New" w:cs="Courier New" w:eastAsia="Courier New" w:hAnsi="Courier New"/>
          <w:sz w:val="16"/>
          <w:szCs w:val="16"/>
          <w:color w:val="auto"/>
        </w:rPr>
        <w:t>Restatements and reclassifications: The Company has restated the consolidated financial statements for fiscal years 1998 and 1997 as a result of the merger with Rendition, Inc. ("Rendition") which was accounted for as a business combination using the pooling-of-interests method. Certain other reclassifications have been made, none of which affected the results of operations, to present the financial statements on a consistent basis.</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320" w:type="dxa"/>
            <w:vAlign w:val="bottom"/>
          </w:tcPr>
          <w:p>
            <w:pPr>
              <w:spacing w:after="0"/>
              <w:rPr>
                <w:sz w:val="20"/>
                <w:szCs w:val="20"/>
                <w:color w:val="auto"/>
              </w:rPr>
            </w:pPr>
            <w:r>
              <w:rPr>
                <w:rFonts w:ascii="Courier New" w:cs="Courier New" w:eastAsia="Courier New" w:hAnsi="Courier New"/>
                <w:sz w:val="16"/>
                <w:szCs w:val="16"/>
                <w:color w:val="auto"/>
              </w:rPr>
              <w:t>Supplemental Balance Sheet Information</w:t>
            </w:r>
          </w:p>
        </w:tc>
        <w:tc>
          <w:tcPr>
            <w:tcW w:w="17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9/2/99</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9/3/98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 Investments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880" w:type="dxa"/>
            <w:vAlign w:val="bottom"/>
          </w:tcPr>
          <w:p>
            <w:pPr>
              <w:jc w:val="right"/>
              <w:ind w:right="2022"/>
              <w:spacing w:after="0"/>
              <w:rPr>
                <w:sz w:val="20"/>
                <w:szCs w:val="20"/>
                <w:color w:val="auto"/>
              </w:rPr>
            </w:pPr>
            <w:r>
              <w:rPr>
                <w:rFonts w:ascii="Courier New" w:cs="Courier New" w:eastAsia="Courier New" w:hAnsi="Courier New"/>
                <w:sz w:val="16"/>
                <w:szCs w:val="16"/>
                <w:color w:val="auto"/>
                <w:w w:val="95"/>
              </w:rPr>
              <w:t>Available-for-sale securities:</w:t>
            </w: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9"/>
        </w:trPr>
        <w:tc>
          <w:tcPr>
            <w:tcW w:w="4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Commercial paper..............................</w:t>
            </w:r>
          </w:p>
        </w:tc>
        <w:tc>
          <w:tcPr>
            <w:tcW w:w="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636.0</w:t>
            </w:r>
          </w:p>
        </w:tc>
        <w:tc>
          <w:tcPr>
            <w:tcW w:w="3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228.4</w:t>
            </w:r>
          </w:p>
        </w:tc>
      </w:tr>
      <w:tr>
        <w:trPr>
          <w:trHeight w:val="179"/>
        </w:trPr>
        <w:tc>
          <w:tcPr>
            <w:tcW w:w="4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U.S. Government agency........................</w:t>
            </w:r>
          </w:p>
        </w:tc>
        <w:tc>
          <w:tcPr>
            <w:tcW w:w="240" w:type="dxa"/>
            <w:vAlign w:val="bottom"/>
          </w:tcPr>
          <w:p>
            <w:pPr>
              <w:spacing w:after="0"/>
              <w:rPr>
                <w:sz w:val="15"/>
                <w:szCs w:val="15"/>
                <w:color w:val="auto"/>
              </w:rPr>
            </w:pPr>
          </w:p>
        </w:tc>
        <w:tc>
          <w:tcPr>
            <w:tcW w:w="9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279.7</w:t>
            </w:r>
          </w:p>
        </w:tc>
        <w:tc>
          <w:tcPr>
            <w:tcW w:w="380" w:type="dxa"/>
            <w:vAlign w:val="bottom"/>
          </w:tcPr>
          <w:p>
            <w:pPr>
              <w:spacing w:after="0"/>
              <w:rPr>
                <w:sz w:val="15"/>
                <w:szCs w:val="15"/>
                <w:color w:val="auto"/>
              </w:rPr>
            </w:pPr>
          </w:p>
        </w:tc>
        <w:tc>
          <w:tcPr>
            <w:tcW w:w="7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25.9</w:t>
            </w:r>
          </w:p>
        </w:tc>
      </w:tr>
      <w:tr>
        <w:trPr>
          <w:trHeight w:val="179"/>
        </w:trPr>
        <w:tc>
          <w:tcPr>
            <w:tcW w:w="4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Bankers' acceptances..........................</w:t>
            </w:r>
          </w:p>
        </w:tc>
        <w:tc>
          <w:tcPr>
            <w:tcW w:w="240" w:type="dxa"/>
            <w:vAlign w:val="bottom"/>
          </w:tcPr>
          <w:p>
            <w:pPr>
              <w:spacing w:after="0"/>
              <w:rPr>
                <w:sz w:val="15"/>
                <w:szCs w:val="15"/>
                <w:color w:val="auto"/>
              </w:rPr>
            </w:pPr>
          </w:p>
        </w:tc>
        <w:tc>
          <w:tcPr>
            <w:tcW w:w="9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13.0</w:t>
            </w:r>
          </w:p>
        </w:tc>
        <w:tc>
          <w:tcPr>
            <w:tcW w:w="380" w:type="dxa"/>
            <w:vAlign w:val="bottom"/>
          </w:tcPr>
          <w:p>
            <w:pPr>
              <w:spacing w:after="0"/>
              <w:rPr>
                <w:sz w:val="15"/>
                <w:szCs w:val="15"/>
                <w:color w:val="auto"/>
              </w:rPr>
            </w:pPr>
          </w:p>
        </w:tc>
        <w:tc>
          <w:tcPr>
            <w:tcW w:w="7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Certificates of deposit.......................</w:t>
            </w:r>
          </w:p>
        </w:tc>
        <w:tc>
          <w:tcPr>
            <w:tcW w:w="240" w:type="dxa"/>
            <w:vAlign w:val="bottom"/>
          </w:tcPr>
          <w:p>
            <w:pPr>
              <w:spacing w:after="0"/>
              <w:rPr>
                <w:sz w:val="15"/>
                <w:szCs w:val="15"/>
                <w:color w:val="auto"/>
              </w:rPr>
            </w:pPr>
          </w:p>
        </w:tc>
        <w:tc>
          <w:tcPr>
            <w:tcW w:w="9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220.7</w:t>
            </w:r>
          </w:p>
        </w:tc>
        <w:tc>
          <w:tcPr>
            <w:tcW w:w="380" w:type="dxa"/>
            <w:vAlign w:val="bottom"/>
          </w:tcPr>
          <w:p>
            <w:pPr>
              <w:spacing w:after="0"/>
              <w:rPr>
                <w:sz w:val="15"/>
                <w:szCs w:val="15"/>
                <w:color w:val="auto"/>
              </w:rPr>
            </w:pPr>
          </w:p>
        </w:tc>
        <w:tc>
          <w:tcPr>
            <w:tcW w:w="7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Corporate notes...............................</w:t>
            </w:r>
          </w:p>
        </w:tc>
        <w:tc>
          <w:tcPr>
            <w:tcW w:w="240" w:type="dxa"/>
            <w:vAlign w:val="bottom"/>
          </w:tcPr>
          <w:p>
            <w:pPr>
              <w:spacing w:after="0"/>
              <w:rPr>
                <w:sz w:val="15"/>
                <w:szCs w:val="15"/>
                <w:color w:val="auto"/>
              </w:rPr>
            </w:pPr>
          </w:p>
        </w:tc>
        <w:tc>
          <w:tcPr>
            <w:tcW w:w="9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35.0</w:t>
            </w:r>
          </w:p>
        </w:tc>
        <w:tc>
          <w:tcPr>
            <w:tcW w:w="380" w:type="dxa"/>
            <w:vAlign w:val="bottom"/>
          </w:tcPr>
          <w:p>
            <w:pPr>
              <w:spacing w:after="0"/>
              <w:rPr>
                <w:sz w:val="15"/>
                <w:szCs w:val="15"/>
                <w:color w:val="auto"/>
              </w:rPr>
            </w:pPr>
          </w:p>
        </w:tc>
        <w:tc>
          <w:tcPr>
            <w:tcW w:w="7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880" w:type="dxa"/>
            <w:vAlign w:val="bottom"/>
          </w:tcPr>
          <w:p>
            <w:pPr>
              <w:spacing w:after="0"/>
              <w:rPr>
                <w:sz w:val="15"/>
                <w:szCs w:val="15"/>
                <w:color w:val="auto"/>
              </w:rPr>
            </w:pPr>
          </w:p>
        </w:tc>
        <w:tc>
          <w:tcPr>
            <w:tcW w:w="120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w w:val="92"/>
              </w:rPr>
              <w:t>1,184.4</w:t>
            </w:r>
          </w:p>
        </w:tc>
        <w:tc>
          <w:tcPr>
            <w:tcW w:w="380" w:type="dxa"/>
            <w:vAlign w:val="bottom"/>
          </w:tcPr>
          <w:p>
            <w:pPr>
              <w:spacing w:after="0"/>
              <w:rPr>
                <w:sz w:val="15"/>
                <w:szCs w:val="15"/>
                <w:color w:val="auto"/>
              </w:rPr>
            </w:pPr>
          </w:p>
        </w:tc>
        <w:tc>
          <w:tcPr>
            <w:tcW w:w="7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254.3</w:t>
            </w:r>
          </w:p>
        </w:tc>
      </w:tr>
      <w:tr>
        <w:trPr>
          <w:trHeight w:val="179"/>
        </w:trPr>
        <w:tc>
          <w:tcPr>
            <w:tcW w:w="4880" w:type="dxa"/>
            <w:vAlign w:val="bottom"/>
          </w:tcPr>
          <w:p>
            <w:pPr>
              <w:jc w:val="right"/>
              <w:ind w:right="2022"/>
              <w:spacing w:after="0" w:line="179" w:lineRule="exact"/>
              <w:rPr>
                <w:sz w:val="20"/>
                <w:szCs w:val="20"/>
                <w:color w:val="auto"/>
              </w:rPr>
            </w:pPr>
            <w:r>
              <w:rPr>
                <w:rFonts w:ascii="Courier New" w:cs="Courier New" w:eastAsia="Courier New" w:hAnsi="Courier New"/>
                <w:sz w:val="16"/>
                <w:szCs w:val="16"/>
                <w:color w:val="auto"/>
              </w:rPr>
              <w:t>Held-to-maturity securities:</w:t>
            </w: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9"/>
        </w:trPr>
        <w:tc>
          <w:tcPr>
            <w:tcW w:w="4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Commercial paper..............................</w:t>
            </w:r>
          </w:p>
        </w:tc>
        <w:tc>
          <w:tcPr>
            <w:tcW w:w="240" w:type="dxa"/>
            <w:vAlign w:val="bottom"/>
          </w:tcPr>
          <w:p>
            <w:pPr>
              <w:spacing w:after="0"/>
              <w:rPr>
                <w:sz w:val="15"/>
                <w:szCs w:val="15"/>
                <w:color w:val="auto"/>
              </w:rPr>
            </w:pPr>
          </w:p>
        </w:tc>
        <w:tc>
          <w:tcPr>
            <w:tcW w:w="9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115.6</w:t>
            </w:r>
          </w:p>
        </w:tc>
        <w:tc>
          <w:tcPr>
            <w:tcW w:w="380" w:type="dxa"/>
            <w:vAlign w:val="bottom"/>
          </w:tcPr>
          <w:p>
            <w:pPr>
              <w:spacing w:after="0"/>
              <w:rPr>
                <w:sz w:val="15"/>
                <w:szCs w:val="15"/>
                <w:color w:val="auto"/>
              </w:rPr>
            </w:pPr>
          </w:p>
        </w:tc>
        <w:tc>
          <w:tcPr>
            <w:tcW w:w="7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70.4</w:t>
            </w:r>
          </w:p>
        </w:tc>
      </w:tr>
      <w:tr>
        <w:trPr>
          <w:trHeight w:val="179"/>
        </w:trPr>
        <w:tc>
          <w:tcPr>
            <w:tcW w:w="4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State and local governments...................</w:t>
            </w:r>
          </w:p>
        </w:tc>
        <w:tc>
          <w:tcPr>
            <w:tcW w:w="240" w:type="dxa"/>
            <w:vAlign w:val="bottom"/>
          </w:tcPr>
          <w:p>
            <w:pPr>
              <w:spacing w:after="0"/>
              <w:rPr>
                <w:sz w:val="15"/>
                <w:szCs w:val="15"/>
                <w:color w:val="auto"/>
              </w:rPr>
            </w:pPr>
          </w:p>
        </w:tc>
        <w:tc>
          <w:tcPr>
            <w:tcW w:w="9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80.8</w:t>
            </w:r>
          </w:p>
        </w:tc>
        <w:tc>
          <w:tcPr>
            <w:tcW w:w="380" w:type="dxa"/>
            <w:vAlign w:val="bottom"/>
          </w:tcPr>
          <w:p>
            <w:pPr>
              <w:spacing w:after="0"/>
              <w:rPr>
                <w:sz w:val="15"/>
                <w:szCs w:val="15"/>
                <w:color w:val="auto"/>
              </w:rPr>
            </w:pPr>
          </w:p>
        </w:tc>
        <w:tc>
          <w:tcPr>
            <w:tcW w:w="7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37.4</w:t>
            </w:r>
          </w:p>
        </w:tc>
      </w:tr>
      <w:tr>
        <w:trPr>
          <w:trHeight w:val="179"/>
        </w:trPr>
        <w:tc>
          <w:tcPr>
            <w:tcW w:w="4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U.S. Government agency........................</w:t>
            </w:r>
          </w:p>
        </w:tc>
        <w:tc>
          <w:tcPr>
            <w:tcW w:w="240" w:type="dxa"/>
            <w:vAlign w:val="bottom"/>
          </w:tcPr>
          <w:p>
            <w:pPr>
              <w:spacing w:after="0"/>
              <w:rPr>
                <w:sz w:val="15"/>
                <w:szCs w:val="15"/>
                <w:color w:val="auto"/>
              </w:rPr>
            </w:pPr>
          </w:p>
        </w:tc>
        <w:tc>
          <w:tcPr>
            <w:tcW w:w="9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109.8</w:t>
            </w:r>
          </w:p>
        </w:tc>
        <w:tc>
          <w:tcPr>
            <w:tcW w:w="380" w:type="dxa"/>
            <w:vAlign w:val="bottom"/>
          </w:tcPr>
          <w:p>
            <w:pPr>
              <w:spacing w:after="0"/>
              <w:rPr>
                <w:sz w:val="15"/>
                <w:szCs w:val="15"/>
                <w:color w:val="auto"/>
              </w:rPr>
            </w:pPr>
          </w:p>
        </w:tc>
        <w:tc>
          <w:tcPr>
            <w:tcW w:w="7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205.0</w:t>
            </w:r>
          </w:p>
        </w:tc>
      </w:tr>
      <w:tr>
        <w:trPr>
          <w:trHeight w:val="179"/>
        </w:trPr>
        <w:tc>
          <w:tcPr>
            <w:tcW w:w="4880" w:type="dxa"/>
            <w:vAlign w:val="bottom"/>
          </w:tcPr>
          <w:p>
            <w:pPr>
              <w:spacing w:after="0"/>
              <w:rPr>
                <w:sz w:val="15"/>
                <w:szCs w:val="15"/>
                <w:color w:val="auto"/>
              </w:rPr>
            </w:pPr>
          </w:p>
        </w:tc>
        <w:tc>
          <w:tcPr>
            <w:tcW w:w="120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306.2</w:t>
            </w:r>
          </w:p>
        </w:tc>
        <w:tc>
          <w:tcPr>
            <w:tcW w:w="380" w:type="dxa"/>
            <w:vAlign w:val="bottom"/>
          </w:tcPr>
          <w:p>
            <w:pPr>
              <w:spacing w:after="0"/>
              <w:rPr>
                <w:sz w:val="15"/>
                <w:szCs w:val="15"/>
                <w:color w:val="auto"/>
              </w:rPr>
            </w:pPr>
          </w:p>
        </w:tc>
        <w:tc>
          <w:tcPr>
            <w:tcW w:w="7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312.8</w:t>
            </w:r>
          </w:p>
        </w:tc>
      </w:tr>
      <w:tr>
        <w:trPr>
          <w:trHeight w:val="179"/>
        </w:trPr>
        <w:tc>
          <w:tcPr>
            <w:tcW w:w="4880" w:type="dxa"/>
            <w:vAlign w:val="bottom"/>
          </w:tcPr>
          <w:p>
            <w:pPr>
              <w:spacing w:after="0"/>
              <w:rPr>
                <w:sz w:val="15"/>
                <w:szCs w:val="15"/>
                <w:color w:val="auto"/>
              </w:rPr>
            </w:pPr>
          </w:p>
        </w:tc>
        <w:tc>
          <w:tcPr>
            <w:tcW w:w="120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Total investments................................</w:t>
            </w:r>
          </w:p>
        </w:tc>
        <w:tc>
          <w:tcPr>
            <w:tcW w:w="240" w:type="dxa"/>
            <w:vAlign w:val="bottom"/>
          </w:tcPr>
          <w:p>
            <w:pPr>
              <w:spacing w:after="0"/>
              <w:rPr>
                <w:sz w:val="15"/>
                <w:szCs w:val="15"/>
                <w:color w:val="auto"/>
              </w:rPr>
            </w:pPr>
          </w:p>
        </w:tc>
        <w:tc>
          <w:tcPr>
            <w:tcW w:w="9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w w:val="92"/>
              </w:rPr>
              <w:t>1,490.6</w:t>
            </w:r>
          </w:p>
        </w:tc>
        <w:tc>
          <w:tcPr>
            <w:tcW w:w="380" w:type="dxa"/>
            <w:vAlign w:val="bottom"/>
          </w:tcPr>
          <w:p>
            <w:pPr>
              <w:spacing w:after="0"/>
              <w:rPr>
                <w:sz w:val="15"/>
                <w:szCs w:val="15"/>
                <w:color w:val="auto"/>
              </w:rPr>
            </w:pPr>
          </w:p>
        </w:tc>
        <w:tc>
          <w:tcPr>
            <w:tcW w:w="7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567.1</w:t>
            </w:r>
          </w:p>
        </w:tc>
      </w:tr>
      <w:tr>
        <w:trPr>
          <w:trHeight w:val="179"/>
        </w:trPr>
        <w:tc>
          <w:tcPr>
            <w:tcW w:w="4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Less cash equivalents............................</w:t>
            </w:r>
          </w:p>
        </w:tc>
        <w:tc>
          <w:tcPr>
            <w:tcW w:w="240" w:type="dxa"/>
            <w:vAlign w:val="bottom"/>
          </w:tcPr>
          <w:p>
            <w:pPr>
              <w:spacing w:after="0"/>
              <w:rPr>
                <w:sz w:val="15"/>
                <w:szCs w:val="15"/>
                <w:color w:val="auto"/>
              </w:rPr>
            </w:pPr>
          </w:p>
        </w:tc>
        <w:tc>
          <w:tcPr>
            <w:tcW w:w="9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(171.7)</w:t>
            </w:r>
          </w:p>
        </w:tc>
        <w:tc>
          <w:tcPr>
            <w:tcW w:w="380" w:type="dxa"/>
            <w:vAlign w:val="bottom"/>
          </w:tcPr>
          <w:p>
            <w:pPr>
              <w:spacing w:after="0"/>
              <w:rPr>
                <w:sz w:val="15"/>
                <w:szCs w:val="15"/>
                <w:color w:val="auto"/>
              </w:rPr>
            </w:pPr>
          </w:p>
        </w:tc>
        <w:tc>
          <w:tcPr>
            <w:tcW w:w="7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(476.3)</w:t>
            </w:r>
          </w:p>
        </w:tc>
      </w:tr>
      <w:tr>
        <w:trPr>
          <w:trHeight w:val="179"/>
        </w:trPr>
        <w:tc>
          <w:tcPr>
            <w:tcW w:w="4880" w:type="dxa"/>
            <w:vAlign w:val="bottom"/>
          </w:tcPr>
          <w:p>
            <w:pPr>
              <w:spacing w:after="0"/>
              <w:rPr>
                <w:sz w:val="15"/>
                <w:szCs w:val="15"/>
                <w:color w:val="auto"/>
              </w:rPr>
            </w:pPr>
          </w:p>
        </w:tc>
        <w:tc>
          <w:tcPr>
            <w:tcW w:w="120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880" w:type="dxa"/>
            <w:vAlign w:val="bottom"/>
          </w:tcPr>
          <w:p>
            <w:pPr>
              <w:spacing w:after="0"/>
              <w:rPr>
                <w:sz w:val="15"/>
                <w:szCs w:val="15"/>
                <w:color w:val="auto"/>
              </w:rPr>
            </w:pPr>
          </w:p>
        </w:tc>
        <w:tc>
          <w:tcPr>
            <w:tcW w:w="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w w:val="92"/>
              </w:rPr>
              <w:t>1,318.9</w:t>
            </w:r>
          </w:p>
        </w:tc>
        <w:tc>
          <w:tcPr>
            <w:tcW w:w="3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90.8</w:t>
            </w:r>
          </w:p>
        </w:tc>
      </w:tr>
      <w:tr>
        <w:trPr>
          <w:trHeight w:val="179"/>
        </w:trPr>
        <w:tc>
          <w:tcPr>
            <w:tcW w:w="4880" w:type="dxa"/>
            <w:vAlign w:val="bottom"/>
          </w:tcPr>
          <w:p>
            <w:pPr>
              <w:spacing w:after="0"/>
              <w:rPr>
                <w:sz w:val="15"/>
                <w:szCs w:val="15"/>
                <w:color w:val="auto"/>
              </w:rPr>
            </w:pPr>
          </w:p>
        </w:tc>
        <w:tc>
          <w:tcPr>
            <w:tcW w:w="120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362" w:lineRule="exact"/>
        <w:rPr>
          <w:sz w:val="20"/>
          <w:szCs w:val="20"/>
          <w:color w:val="auto"/>
        </w:rPr>
      </w:pPr>
    </w:p>
    <w:p>
      <w:pPr>
        <w:ind w:right="2779" w:firstLine="186"/>
        <w:spacing w:after="0" w:line="236" w:lineRule="auto"/>
        <w:rPr>
          <w:sz w:val="20"/>
          <w:szCs w:val="20"/>
          <w:color w:val="auto"/>
        </w:rPr>
      </w:pPr>
      <w:r>
        <w:rPr>
          <w:rFonts w:ascii="Courier New" w:cs="Courier New" w:eastAsia="Courier New" w:hAnsi="Courier New"/>
          <w:sz w:val="16"/>
          <w:szCs w:val="16"/>
          <w:color w:val="auto"/>
        </w:rPr>
        <w:t>Management determines the appropriate classification of its investments in marketable securities at the time of purchase and reevaluates such determination at each balance sheet date. Securities classified as available-for-sale are stated at current market value. Securities classified as held-to-maturity are stated at amortized cost. As of September 2, 1999, the total amount of securities mature within one year.</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Receivables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93" w:lineRule="exact"/>
        <w:rPr>
          <w:sz w:val="20"/>
          <w:szCs w:val="20"/>
          <w:color w:val="auto"/>
        </w:rPr>
      </w:pPr>
    </w:p>
    <w:tbl>
      <w:tblPr>
        <w:tblLayout w:type="fixed"/>
        <w:tblInd w:w="180" w:type="dxa"/>
        <w:tblCellMar>
          <w:top w:w="0" w:type="dxa"/>
          <w:left w:w="0" w:type="dxa"/>
          <w:bottom w:w="0" w:type="dxa"/>
          <w:right w:w="0" w:type="dxa"/>
        </w:tblCellMar>
      </w:tblPr>
      <w:tr>
        <w:trPr>
          <w:trHeight w:val="181"/>
        </w:trPr>
        <w:tc>
          <w:tcPr>
            <w:tcW w:w="4740" w:type="dxa"/>
            <w:vAlign w:val="bottom"/>
          </w:tcPr>
          <w:p>
            <w:pPr>
              <w:spacing w:after="0"/>
              <w:rPr>
                <w:sz w:val="20"/>
                <w:szCs w:val="20"/>
                <w:color w:val="auto"/>
              </w:rPr>
            </w:pPr>
            <w:r>
              <w:rPr>
                <w:rFonts w:ascii="Courier New" w:cs="Courier New" w:eastAsia="Courier New" w:hAnsi="Courier New"/>
                <w:sz w:val="16"/>
                <w:szCs w:val="16"/>
                <w:color w:val="auto"/>
              </w:rPr>
              <w:t>Trade receivables................................</w:t>
            </w:r>
          </w:p>
        </w:tc>
        <w:tc>
          <w:tcPr>
            <w:tcW w:w="3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242"/>
              <w:spacing w:after="0"/>
              <w:rPr>
                <w:sz w:val="20"/>
                <w:szCs w:val="20"/>
                <w:color w:val="auto"/>
              </w:rPr>
            </w:pPr>
            <w:r>
              <w:rPr>
                <w:rFonts w:ascii="Courier New" w:cs="Courier New" w:eastAsia="Courier New" w:hAnsi="Courier New"/>
                <w:sz w:val="16"/>
                <w:szCs w:val="16"/>
                <w:color w:val="auto"/>
                <w:w w:val="91"/>
              </w:rPr>
              <w:t>542.4</w:t>
            </w:r>
          </w:p>
        </w:tc>
        <w:tc>
          <w:tcPr>
            <w:tcW w:w="42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294.4</w:t>
            </w:r>
          </w:p>
        </w:tc>
      </w:tr>
      <w:tr>
        <w:trPr>
          <w:trHeight w:val="179"/>
        </w:trPr>
        <w:tc>
          <w:tcPr>
            <w:tcW w:w="4740" w:type="dxa"/>
            <w:vAlign w:val="bottom"/>
          </w:tcPr>
          <w:p>
            <w:pPr>
              <w:spacing w:after="0" w:line="179" w:lineRule="exact"/>
              <w:rPr>
                <w:sz w:val="20"/>
                <w:szCs w:val="20"/>
                <w:color w:val="auto"/>
              </w:rPr>
            </w:pPr>
            <w:r>
              <w:rPr>
                <w:rFonts w:ascii="Courier New" w:cs="Courier New" w:eastAsia="Courier New" w:hAnsi="Courier New"/>
                <w:sz w:val="16"/>
                <w:szCs w:val="16"/>
                <w:color w:val="auto"/>
              </w:rPr>
              <w:t>Income taxes receivable..........................</w:t>
            </w:r>
          </w:p>
        </w:tc>
        <w:tc>
          <w:tcPr>
            <w:tcW w:w="380" w:type="dxa"/>
            <w:vAlign w:val="bottom"/>
          </w:tcPr>
          <w:p>
            <w:pPr>
              <w:spacing w:after="0"/>
              <w:rPr>
                <w:sz w:val="15"/>
                <w:szCs w:val="15"/>
                <w:color w:val="auto"/>
              </w:rPr>
            </w:pPr>
          </w:p>
        </w:tc>
        <w:tc>
          <w:tcPr>
            <w:tcW w:w="7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w w:val="91"/>
              </w:rPr>
              <w:t>100.8</w:t>
            </w:r>
          </w:p>
        </w:tc>
        <w:tc>
          <w:tcPr>
            <w:tcW w:w="420" w:type="dxa"/>
            <w:vAlign w:val="bottom"/>
          </w:tcPr>
          <w:p>
            <w:pPr>
              <w:spacing w:after="0"/>
              <w:rPr>
                <w:sz w:val="15"/>
                <w:szCs w:val="15"/>
                <w:color w:val="auto"/>
              </w:rPr>
            </w:pP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191.9</w:t>
            </w:r>
          </w:p>
        </w:tc>
      </w:tr>
      <w:tr>
        <w:trPr>
          <w:trHeight w:val="179"/>
        </w:trPr>
        <w:tc>
          <w:tcPr>
            <w:tcW w:w="4740" w:type="dxa"/>
            <w:vAlign w:val="bottom"/>
          </w:tcPr>
          <w:p>
            <w:pPr>
              <w:spacing w:after="0" w:line="179" w:lineRule="exact"/>
              <w:rPr>
                <w:sz w:val="20"/>
                <w:szCs w:val="20"/>
                <w:color w:val="auto"/>
              </w:rPr>
            </w:pPr>
            <w:r>
              <w:rPr>
                <w:rFonts w:ascii="Courier New" w:cs="Courier New" w:eastAsia="Courier New" w:hAnsi="Courier New"/>
                <w:sz w:val="16"/>
                <w:szCs w:val="16"/>
                <w:color w:val="auto"/>
              </w:rPr>
              <w:t>Allowance for returns and discounts..............</w:t>
            </w:r>
          </w:p>
        </w:tc>
        <w:tc>
          <w:tcPr>
            <w:tcW w:w="380" w:type="dxa"/>
            <w:vAlign w:val="bottom"/>
          </w:tcPr>
          <w:p>
            <w:pPr>
              <w:spacing w:after="0"/>
              <w:rPr>
                <w:sz w:val="15"/>
                <w:szCs w:val="15"/>
                <w:color w:val="auto"/>
              </w:rPr>
            </w:pPr>
          </w:p>
        </w:tc>
        <w:tc>
          <w:tcPr>
            <w:tcW w:w="7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w w:val="93"/>
              </w:rPr>
              <w:t>(38.2)</w:t>
            </w:r>
          </w:p>
        </w:tc>
        <w:tc>
          <w:tcPr>
            <w:tcW w:w="420" w:type="dxa"/>
            <w:vAlign w:val="bottom"/>
          </w:tcPr>
          <w:p>
            <w:pPr>
              <w:spacing w:after="0"/>
              <w:rPr>
                <w:sz w:val="15"/>
                <w:szCs w:val="15"/>
                <w:color w:val="auto"/>
              </w:rPr>
            </w:pP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(11.9)</w:t>
            </w:r>
          </w:p>
        </w:tc>
      </w:tr>
      <w:tr>
        <w:trPr>
          <w:trHeight w:val="179"/>
        </w:trPr>
        <w:tc>
          <w:tcPr>
            <w:tcW w:w="4740" w:type="dxa"/>
            <w:vAlign w:val="bottom"/>
          </w:tcPr>
          <w:p>
            <w:pPr>
              <w:spacing w:after="0" w:line="179" w:lineRule="exact"/>
              <w:rPr>
                <w:sz w:val="20"/>
                <w:szCs w:val="20"/>
                <w:color w:val="auto"/>
              </w:rPr>
            </w:pPr>
            <w:r>
              <w:rPr>
                <w:rFonts w:ascii="Courier New" w:cs="Courier New" w:eastAsia="Courier New" w:hAnsi="Courier New"/>
                <w:sz w:val="16"/>
                <w:szCs w:val="16"/>
                <w:color w:val="auto"/>
              </w:rPr>
              <w:t>Allowance for doubtful accounts..................</w:t>
            </w:r>
          </w:p>
        </w:tc>
        <w:tc>
          <w:tcPr>
            <w:tcW w:w="380" w:type="dxa"/>
            <w:vAlign w:val="bottom"/>
          </w:tcPr>
          <w:p>
            <w:pPr>
              <w:spacing w:after="0"/>
              <w:rPr>
                <w:sz w:val="15"/>
                <w:szCs w:val="15"/>
                <w:color w:val="auto"/>
              </w:rPr>
            </w:pPr>
          </w:p>
        </w:tc>
        <w:tc>
          <w:tcPr>
            <w:tcW w:w="7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(9.8)</w:t>
            </w:r>
          </w:p>
        </w:tc>
        <w:tc>
          <w:tcPr>
            <w:tcW w:w="420" w:type="dxa"/>
            <w:vAlign w:val="bottom"/>
          </w:tcPr>
          <w:p>
            <w:pPr>
              <w:spacing w:after="0"/>
              <w:rPr>
                <w:sz w:val="15"/>
                <w:szCs w:val="15"/>
                <w:color w:val="auto"/>
              </w:rPr>
            </w:pP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(6.5)</w:t>
            </w:r>
          </w:p>
        </w:tc>
      </w:tr>
      <w:tr>
        <w:trPr>
          <w:trHeight w:val="179"/>
        </w:trPr>
        <w:tc>
          <w:tcPr>
            <w:tcW w:w="4740" w:type="dxa"/>
            <w:vAlign w:val="bottom"/>
          </w:tcPr>
          <w:p>
            <w:pPr>
              <w:spacing w:after="0" w:line="179" w:lineRule="exact"/>
              <w:rPr>
                <w:sz w:val="20"/>
                <w:szCs w:val="20"/>
                <w:color w:val="auto"/>
              </w:rPr>
            </w:pPr>
            <w:r>
              <w:rPr>
                <w:rFonts w:ascii="Courier New" w:cs="Courier New" w:eastAsia="Courier New" w:hAnsi="Courier New"/>
                <w:sz w:val="16"/>
                <w:szCs w:val="16"/>
                <w:color w:val="auto"/>
              </w:rPr>
              <w:t>Other receivables................................</w:t>
            </w:r>
          </w:p>
        </w:tc>
        <w:tc>
          <w:tcPr>
            <w:tcW w:w="380" w:type="dxa"/>
            <w:vAlign w:val="bottom"/>
          </w:tcPr>
          <w:p>
            <w:pPr>
              <w:spacing w:after="0"/>
              <w:rPr>
                <w:sz w:val="15"/>
                <w:szCs w:val="15"/>
                <w:color w:val="auto"/>
              </w:rPr>
            </w:pPr>
          </w:p>
        </w:tc>
        <w:tc>
          <w:tcPr>
            <w:tcW w:w="7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97.4</w:t>
            </w:r>
          </w:p>
        </w:tc>
        <w:tc>
          <w:tcPr>
            <w:tcW w:w="420" w:type="dxa"/>
            <w:vAlign w:val="bottom"/>
          </w:tcPr>
          <w:p>
            <w:pPr>
              <w:spacing w:after="0"/>
              <w:rPr>
                <w:sz w:val="15"/>
                <w:szCs w:val="15"/>
                <w:color w:val="auto"/>
              </w:rPr>
            </w:pP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21.6</w:t>
            </w:r>
          </w:p>
        </w:tc>
      </w:tr>
      <w:tr>
        <w:trPr>
          <w:trHeight w:val="179"/>
        </w:trPr>
        <w:tc>
          <w:tcPr>
            <w:tcW w:w="4740" w:type="dxa"/>
            <w:vAlign w:val="bottom"/>
          </w:tcPr>
          <w:p>
            <w:pPr>
              <w:spacing w:after="0"/>
              <w:rPr>
                <w:sz w:val="15"/>
                <w:szCs w:val="15"/>
                <w:color w:val="auto"/>
              </w:rPr>
            </w:pPr>
          </w:p>
        </w:tc>
        <w:tc>
          <w:tcPr>
            <w:tcW w:w="116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740" w:type="dxa"/>
            <w:vAlign w:val="bottom"/>
          </w:tcPr>
          <w:p>
            <w:pPr>
              <w:spacing w:after="0"/>
              <w:rPr>
                <w:sz w:val="15"/>
                <w:szCs w:val="15"/>
                <w:color w:val="auto"/>
              </w:rPr>
            </w:pPr>
          </w:p>
        </w:tc>
        <w:tc>
          <w:tcPr>
            <w:tcW w:w="3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w w:val="91"/>
              </w:rPr>
              <w:t>692.6</w:t>
            </w:r>
          </w:p>
        </w:tc>
        <w:tc>
          <w:tcPr>
            <w:tcW w:w="4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489.5</w:t>
            </w:r>
          </w:p>
        </w:tc>
      </w:tr>
      <w:tr>
        <w:trPr>
          <w:trHeight w:val="179"/>
        </w:trPr>
        <w:tc>
          <w:tcPr>
            <w:tcW w:w="4740" w:type="dxa"/>
            <w:vAlign w:val="bottom"/>
          </w:tcPr>
          <w:p>
            <w:pPr>
              <w:spacing w:after="0"/>
              <w:rPr>
                <w:sz w:val="15"/>
                <w:szCs w:val="15"/>
                <w:color w:val="auto"/>
              </w:rPr>
            </w:pPr>
          </w:p>
        </w:tc>
        <w:tc>
          <w:tcPr>
            <w:tcW w:w="116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Inventories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72" w:lineRule="exact"/>
        <w:rPr>
          <w:sz w:val="20"/>
          <w:szCs w:val="20"/>
          <w:color w:val="auto"/>
        </w:rPr>
      </w:pPr>
    </w:p>
    <w:tbl>
      <w:tblPr>
        <w:tblLayout w:type="fixed"/>
        <w:tblInd w:w="180" w:type="dxa"/>
        <w:tblCellMar>
          <w:top w:w="0" w:type="dxa"/>
          <w:left w:w="0" w:type="dxa"/>
          <w:bottom w:w="0" w:type="dxa"/>
          <w:right w:w="0" w:type="dxa"/>
        </w:tblCellMar>
      </w:tblPr>
      <w:tr>
        <w:trPr>
          <w:trHeight w:val="181"/>
        </w:trPr>
        <w:tc>
          <w:tcPr>
            <w:tcW w:w="4740" w:type="dxa"/>
            <w:vAlign w:val="bottom"/>
          </w:tcPr>
          <w:p>
            <w:pPr>
              <w:spacing w:after="0"/>
              <w:rPr>
                <w:sz w:val="20"/>
                <w:szCs w:val="20"/>
                <w:color w:val="auto"/>
              </w:rPr>
            </w:pPr>
            <w:r>
              <w:rPr>
                <w:rFonts w:ascii="Courier New" w:cs="Courier New" w:eastAsia="Courier New" w:hAnsi="Courier New"/>
                <w:sz w:val="16"/>
                <w:szCs w:val="16"/>
                <w:color w:val="auto"/>
              </w:rPr>
              <w:t>Finished goods...................................</w:t>
            </w:r>
          </w:p>
        </w:tc>
        <w:tc>
          <w:tcPr>
            <w:tcW w:w="3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242"/>
              <w:spacing w:after="0"/>
              <w:rPr>
                <w:sz w:val="20"/>
                <w:szCs w:val="20"/>
                <w:color w:val="auto"/>
              </w:rPr>
            </w:pPr>
            <w:r>
              <w:rPr>
                <w:rFonts w:ascii="Courier New" w:cs="Courier New" w:eastAsia="Courier New" w:hAnsi="Courier New"/>
                <w:sz w:val="16"/>
                <w:szCs w:val="16"/>
                <w:color w:val="auto"/>
                <w:w w:val="91"/>
              </w:rPr>
              <w:t>136.3</w:t>
            </w:r>
          </w:p>
        </w:tc>
        <w:tc>
          <w:tcPr>
            <w:tcW w:w="42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106.7</w:t>
            </w:r>
          </w:p>
        </w:tc>
      </w:tr>
      <w:tr>
        <w:trPr>
          <w:trHeight w:val="179"/>
        </w:trPr>
        <w:tc>
          <w:tcPr>
            <w:tcW w:w="4740" w:type="dxa"/>
            <w:vAlign w:val="bottom"/>
          </w:tcPr>
          <w:p>
            <w:pPr>
              <w:spacing w:after="0" w:line="179" w:lineRule="exact"/>
              <w:rPr>
                <w:sz w:val="20"/>
                <w:szCs w:val="20"/>
                <w:color w:val="auto"/>
              </w:rPr>
            </w:pPr>
            <w:r>
              <w:rPr>
                <w:rFonts w:ascii="Courier New" w:cs="Courier New" w:eastAsia="Courier New" w:hAnsi="Courier New"/>
                <w:sz w:val="16"/>
                <w:szCs w:val="16"/>
                <w:color w:val="auto"/>
              </w:rPr>
              <w:t>Work in progress.................................</w:t>
            </w:r>
          </w:p>
        </w:tc>
        <w:tc>
          <w:tcPr>
            <w:tcW w:w="380" w:type="dxa"/>
            <w:vAlign w:val="bottom"/>
          </w:tcPr>
          <w:p>
            <w:pPr>
              <w:spacing w:after="0"/>
              <w:rPr>
                <w:sz w:val="15"/>
                <w:szCs w:val="15"/>
                <w:color w:val="auto"/>
              </w:rPr>
            </w:pPr>
          </w:p>
        </w:tc>
        <w:tc>
          <w:tcPr>
            <w:tcW w:w="7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w w:val="91"/>
              </w:rPr>
              <w:t>173.6</w:t>
            </w:r>
          </w:p>
        </w:tc>
        <w:tc>
          <w:tcPr>
            <w:tcW w:w="420" w:type="dxa"/>
            <w:vAlign w:val="bottom"/>
          </w:tcPr>
          <w:p>
            <w:pPr>
              <w:spacing w:after="0"/>
              <w:rPr>
                <w:sz w:val="15"/>
                <w:szCs w:val="15"/>
                <w:color w:val="auto"/>
              </w:rPr>
            </w:pP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139.6</w:t>
            </w:r>
          </w:p>
        </w:tc>
      </w:tr>
      <w:tr>
        <w:trPr>
          <w:trHeight w:val="179"/>
        </w:trPr>
        <w:tc>
          <w:tcPr>
            <w:tcW w:w="4740" w:type="dxa"/>
            <w:vAlign w:val="bottom"/>
          </w:tcPr>
          <w:p>
            <w:pPr>
              <w:spacing w:after="0" w:line="179" w:lineRule="exact"/>
              <w:rPr>
                <w:sz w:val="20"/>
                <w:szCs w:val="20"/>
                <w:color w:val="auto"/>
              </w:rPr>
            </w:pPr>
            <w:r>
              <w:rPr>
                <w:rFonts w:ascii="Courier New" w:cs="Courier New" w:eastAsia="Courier New" w:hAnsi="Courier New"/>
                <w:sz w:val="16"/>
                <w:szCs w:val="16"/>
                <w:color w:val="auto"/>
              </w:rPr>
              <w:t>Raw materials and supplies.......................</w:t>
            </w:r>
          </w:p>
        </w:tc>
        <w:tc>
          <w:tcPr>
            <w:tcW w:w="380" w:type="dxa"/>
            <w:vAlign w:val="bottom"/>
          </w:tcPr>
          <w:p>
            <w:pPr>
              <w:spacing w:after="0"/>
              <w:rPr>
                <w:sz w:val="15"/>
                <w:szCs w:val="15"/>
                <w:color w:val="auto"/>
              </w:rPr>
            </w:pPr>
          </w:p>
        </w:tc>
        <w:tc>
          <w:tcPr>
            <w:tcW w:w="7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71.5</w:t>
            </w:r>
          </w:p>
        </w:tc>
        <w:tc>
          <w:tcPr>
            <w:tcW w:w="420" w:type="dxa"/>
            <w:vAlign w:val="bottom"/>
          </w:tcPr>
          <w:p>
            <w:pPr>
              <w:spacing w:after="0"/>
              <w:rPr>
                <w:sz w:val="15"/>
                <w:szCs w:val="15"/>
                <w:color w:val="auto"/>
              </w:rPr>
            </w:pP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65.1</w:t>
            </w:r>
          </w:p>
        </w:tc>
      </w:tr>
      <w:tr>
        <w:trPr>
          <w:trHeight w:val="179"/>
        </w:trPr>
        <w:tc>
          <w:tcPr>
            <w:tcW w:w="4740" w:type="dxa"/>
            <w:vAlign w:val="bottom"/>
          </w:tcPr>
          <w:p>
            <w:pPr>
              <w:spacing w:after="0" w:line="179" w:lineRule="exact"/>
              <w:rPr>
                <w:sz w:val="20"/>
                <w:szCs w:val="20"/>
                <w:color w:val="auto"/>
              </w:rPr>
            </w:pPr>
            <w:r>
              <w:rPr>
                <w:rFonts w:ascii="Courier New" w:cs="Courier New" w:eastAsia="Courier New" w:hAnsi="Courier New"/>
                <w:sz w:val="16"/>
                <w:szCs w:val="16"/>
                <w:color w:val="auto"/>
              </w:rPr>
              <w:t>Allowance for obsolescence.......................</w:t>
            </w:r>
          </w:p>
        </w:tc>
        <w:tc>
          <w:tcPr>
            <w:tcW w:w="380" w:type="dxa"/>
            <w:vAlign w:val="bottom"/>
          </w:tcPr>
          <w:p>
            <w:pPr>
              <w:spacing w:after="0"/>
              <w:rPr>
                <w:sz w:val="15"/>
                <w:szCs w:val="15"/>
                <w:color w:val="auto"/>
              </w:rPr>
            </w:pPr>
          </w:p>
        </w:tc>
        <w:tc>
          <w:tcPr>
            <w:tcW w:w="7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w w:val="93"/>
              </w:rPr>
              <w:t>(15.7)</w:t>
            </w:r>
          </w:p>
        </w:tc>
        <w:tc>
          <w:tcPr>
            <w:tcW w:w="420" w:type="dxa"/>
            <w:vAlign w:val="bottom"/>
          </w:tcPr>
          <w:p>
            <w:pPr>
              <w:spacing w:after="0"/>
              <w:rPr>
                <w:sz w:val="15"/>
                <w:szCs w:val="15"/>
                <w:color w:val="auto"/>
              </w:rPr>
            </w:pP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(19.8)</w:t>
            </w:r>
          </w:p>
        </w:tc>
      </w:tr>
      <w:tr>
        <w:trPr>
          <w:trHeight w:val="179"/>
        </w:trPr>
        <w:tc>
          <w:tcPr>
            <w:tcW w:w="4740" w:type="dxa"/>
            <w:vAlign w:val="bottom"/>
          </w:tcPr>
          <w:p>
            <w:pPr>
              <w:spacing w:after="0"/>
              <w:rPr>
                <w:sz w:val="15"/>
                <w:szCs w:val="15"/>
                <w:color w:val="auto"/>
              </w:rPr>
            </w:pPr>
          </w:p>
        </w:tc>
        <w:tc>
          <w:tcPr>
            <w:tcW w:w="116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740" w:type="dxa"/>
            <w:vAlign w:val="bottom"/>
          </w:tcPr>
          <w:p>
            <w:pPr>
              <w:spacing w:after="0"/>
              <w:rPr>
                <w:sz w:val="15"/>
                <w:szCs w:val="15"/>
                <w:color w:val="auto"/>
              </w:rPr>
            </w:pPr>
          </w:p>
        </w:tc>
        <w:tc>
          <w:tcPr>
            <w:tcW w:w="3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w w:val="91"/>
              </w:rPr>
              <w:t>365.7</w:t>
            </w:r>
          </w:p>
        </w:tc>
        <w:tc>
          <w:tcPr>
            <w:tcW w:w="4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291.6</w:t>
            </w:r>
          </w:p>
        </w:tc>
      </w:tr>
      <w:tr>
        <w:trPr>
          <w:trHeight w:val="179"/>
        </w:trPr>
        <w:tc>
          <w:tcPr>
            <w:tcW w:w="4740" w:type="dxa"/>
            <w:vAlign w:val="bottom"/>
          </w:tcPr>
          <w:p>
            <w:pPr>
              <w:spacing w:after="0"/>
              <w:rPr>
                <w:sz w:val="15"/>
                <w:szCs w:val="15"/>
                <w:color w:val="auto"/>
              </w:rPr>
            </w:pPr>
          </w:p>
        </w:tc>
        <w:tc>
          <w:tcPr>
            <w:tcW w:w="116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Product and Process Technology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93" w:lineRule="exact"/>
        <w:rPr>
          <w:sz w:val="20"/>
          <w:szCs w:val="20"/>
          <w:color w:val="auto"/>
        </w:rPr>
      </w:pPr>
    </w:p>
    <w:tbl>
      <w:tblPr>
        <w:tblLayout w:type="fixed"/>
        <w:tblInd w:w="180" w:type="dxa"/>
        <w:tblCellMar>
          <w:top w:w="0" w:type="dxa"/>
          <w:left w:w="0" w:type="dxa"/>
          <w:bottom w:w="0" w:type="dxa"/>
          <w:right w:w="0" w:type="dxa"/>
        </w:tblCellMar>
      </w:tblPr>
      <w:tr>
        <w:trPr>
          <w:trHeight w:val="181"/>
        </w:trPr>
        <w:tc>
          <w:tcPr>
            <w:tcW w:w="4740" w:type="dxa"/>
            <w:vAlign w:val="bottom"/>
          </w:tcPr>
          <w:p>
            <w:pPr>
              <w:spacing w:after="0"/>
              <w:rPr>
                <w:sz w:val="20"/>
                <w:szCs w:val="20"/>
                <w:color w:val="auto"/>
              </w:rPr>
            </w:pPr>
            <w:r>
              <w:rPr>
                <w:rFonts w:ascii="Courier New" w:cs="Courier New" w:eastAsia="Courier New" w:hAnsi="Courier New"/>
                <w:sz w:val="16"/>
                <w:szCs w:val="16"/>
                <w:color w:val="auto"/>
              </w:rPr>
              <w:t>Product and process technology, at cost..........</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325.2</w:t>
            </w:r>
          </w:p>
        </w:tc>
        <w:tc>
          <w:tcPr>
            <w:tcW w:w="42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161.7</w:t>
            </w:r>
          </w:p>
        </w:tc>
      </w:tr>
      <w:tr>
        <w:trPr>
          <w:trHeight w:val="179"/>
        </w:trPr>
        <w:tc>
          <w:tcPr>
            <w:tcW w:w="4740" w:type="dxa"/>
            <w:vAlign w:val="bottom"/>
          </w:tcPr>
          <w:p>
            <w:pPr>
              <w:spacing w:after="0" w:line="179" w:lineRule="exact"/>
              <w:rPr>
                <w:sz w:val="20"/>
                <w:szCs w:val="20"/>
                <w:color w:val="auto"/>
              </w:rPr>
            </w:pPr>
            <w:r>
              <w:rPr>
                <w:rFonts w:ascii="Courier New" w:cs="Courier New" w:eastAsia="Courier New" w:hAnsi="Courier New"/>
                <w:sz w:val="16"/>
                <w:szCs w:val="16"/>
                <w:color w:val="auto"/>
              </w:rPr>
              <w:t>Less accumulated amortization....................</w:t>
            </w:r>
          </w:p>
        </w:tc>
        <w:tc>
          <w:tcPr>
            <w:tcW w:w="280" w:type="dxa"/>
            <w:vAlign w:val="bottom"/>
          </w:tcPr>
          <w:p>
            <w:pPr>
              <w:spacing w:after="0"/>
              <w:rPr>
                <w:sz w:val="15"/>
                <w:szCs w:val="15"/>
                <w:color w:val="auto"/>
              </w:rPr>
            </w:pPr>
          </w:p>
        </w:tc>
        <w:tc>
          <w:tcPr>
            <w:tcW w:w="8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w w:val="95"/>
              </w:rPr>
              <w:t>(112.6)</w:t>
            </w:r>
          </w:p>
        </w:tc>
        <w:tc>
          <w:tcPr>
            <w:tcW w:w="420" w:type="dxa"/>
            <w:vAlign w:val="bottom"/>
          </w:tcPr>
          <w:p>
            <w:pPr>
              <w:spacing w:after="0"/>
              <w:rPr>
                <w:sz w:val="15"/>
                <w:szCs w:val="15"/>
                <w:color w:val="auto"/>
              </w:rPr>
            </w:pP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(76.8)</w:t>
            </w:r>
          </w:p>
        </w:tc>
      </w:tr>
      <w:tr>
        <w:trPr>
          <w:trHeight w:val="179"/>
        </w:trPr>
        <w:tc>
          <w:tcPr>
            <w:tcW w:w="4740" w:type="dxa"/>
            <w:vAlign w:val="bottom"/>
          </w:tcPr>
          <w:p>
            <w:pPr>
              <w:spacing w:after="0"/>
              <w:rPr>
                <w:sz w:val="15"/>
                <w:szCs w:val="15"/>
                <w:color w:val="auto"/>
              </w:rPr>
            </w:pPr>
          </w:p>
        </w:tc>
        <w:tc>
          <w:tcPr>
            <w:tcW w:w="116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740" w:type="dxa"/>
            <w:vAlign w:val="bottom"/>
          </w:tcPr>
          <w:p>
            <w:pPr>
              <w:spacing w:after="0"/>
              <w:rPr>
                <w:sz w:val="15"/>
                <w:szCs w:val="15"/>
                <w:color w:val="auto"/>
              </w:rPr>
            </w:pPr>
          </w:p>
        </w:tc>
        <w:tc>
          <w:tcPr>
            <w:tcW w:w="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212.6</w:t>
            </w:r>
          </w:p>
        </w:tc>
        <w:tc>
          <w:tcPr>
            <w:tcW w:w="4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84.9</w:t>
            </w:r>
          </w:p>
        </w:tc>
      </w:tr>
      <w:tr>
        <w:trPr>
          <w:trHeight w:val="179"/>
        </w:trPr>
        <w:tc>
          <w:tcPr>
            <w:tcW w:w="4740" w:type="dxa"/>
            <w:vAlign w:val="bottom"/>
          </w:tcPr>
          <w:p>
            <w:pPr>
              <w:spacing w:after="0"/>
              <w:rPr>
                <w:sz w:val="15"/>
                <w:szCs w:val="15"/>
                <w:color w:val="auto"/>
              </w:rPr>
            </w:pPr>
          </w:p>
        </w:tc>
        <w:tc>
          <w:tcPr>
            <w:tcW w:w="116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362" w:lineRule="exact"/>
        <w:rPr>
          <w:sz w:val="20"/>
          <w:szCs w:val="20"/>
          <w:color w:val="auto"/>
        </w:rPr>
      </w:pPr>
    </w:p>
    <w:p>
      <w:pPr>
        <w:ind w:right="2879" w:firstLine="186"/>
        <w:spacing w:after="0" w:line="276" w:lineRule="auto"/>
        <w:rPr>
          <w:sz w:val="20"/>
          <w:szCs w:val="20"/>
          <w:color w:val="auto"/>
        </w:rPr>
      </w:pPr>
      <w:r>
        <w:rPr>
          <w:rFonts w:ascii="Courier New" w:cs="Courier New" w:eastAsia="Courier New" w:hAnsi="Courier New"/>
          <w:sz w:val="14"/>
          <w:szCs w:val="14"/>
          <w:color w:val="auto"/>
        </w:rPr>
        <w:t>In September 1998, the Company and Texas Instruments Incorporated ("TI") entered into a ten-year, royalty free, life of patents, patent cross license, which accounts for the majority of the increase in the Company's capitalized product and process technology cost at the end of 1999 compared to the end of 1998. (See "Acquisition" note.) Amortization of capitalized product and process</w:t>
      </w:r>
    </w:p>
    <w:p>
      <w:pPr>
        <w:sectPr>
          <w:pgSz w:w="11900" w:h="16838" w:orient="portrait"/>
          <w:cols w:equalWidth="0" w:num="1">
            <w:col w:w="10219"/>
          </w:cols>
          <w:pgMar w:left="240" w:top="654" w:right="1440" w:bottom="0" w:gutter="0" w:footer="0" w:header="0"/>
        </w:sectPr>
      </w:pPr>
    </w:p>
    <w:bookmarkStart w:id="36" w:name="page37"/>
    <w:bookmarkEnd w:id="36"/>
    <w:p>
      <w:pPr>
        <w:ind w:right="3239"/>
        <w:spacing w:after="0" w:line="234" w:lineRule="auto"/>
        <w:rPr>
          <w:sz w:val="20"/>
          <w:szCs w:val="20"/>
          <w:color w:val="auto"/>
        </w:rPr>
      </w:pPr>
      <w:r>
        <w:rPr>
          <w:rFonts w:ascii="Courier New" w:cs="Courier New" w:eastAsia="Courier New" w:hAnsi="Courier New"/>
          <w:sz w:val="16"/>
          <w:szCs w:val="16"/>
          <w:color w:val="auto"/>
        </w:rPr>
        <w:t>technology costs was $37.6 million in 1999, $23.1 million in 1998 and $11.4 million in 1997.</w:t>
      </w:r>
    </w:p>
    <w:p>
      <w:pPr>
        <w:spacing w:after="0" w:line="177"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36/57</w:t>
      </w:r>
    </w:p>
    <w:p>
      <w:pPr>
        <w:sectPr>
          <w:pgSz w:w="11900" w:h="16838" w:orient="portrait"/>
          <w:cols w:equalWidth="0" w:num="1">
            <w:col w:w="10219"/>
          </w:cols>
          <w:pgMar w:left="240" w:top="142" w:right="1440" w:bottom="1440" w:gutter="0" w:footer="0" w:header="0"/>
        </w:sectPr>
      </w:pPr>
    </w:p>
    <w:bookmarkStart w:id="37" w:name="page38"/>
    <w:bookmarkEnd w:id="37"/>
    <w:p>
      <w:pPr>
        <w:ind w:left="5"/>
        <w:spacing w:after="0"/>
        <w:rPr>
          <w:sz w:val="20"/>
          <w:szCs w:val="20"/>
          <w:color w:val="auto"/>
        </w:rPr>
      </w:pPr>
      <w:r>
        <w:rPr>
          <w:rFonts w:ascii="Courier New" w:cs="Courier New" w:eastAsia="Courier New" w:hAnsi="Courier New"/>
          <w:sz w:val="16"/>
          <w:szCs w:val="16"/>
          <w:color w:val="auto"/>
        </w:rPr>
        <w:t>Supplemental Balance Sheet Information (continued)</w:t>
      </w:r>
    </w:p>
    <w:p>
      <w:pPr>
        <w:ind w:left="5"/>
        <w:spacing w:after="0" w:line="236" w:lineRule="auto"/>
        <w:rPr>
          <w:sz w:val="20"/>
          <w:szCs w:val="20"/>
          <w:color w:val="auto"/>
        </w:rPr>
      </w:pPr>
      <w:r>
        <w:rPr>
          <w:rFonts w:ascii="Courier New" w:cs="Courier New" w:eastAsia="Courier New" w:hAnsi="Courier New"/>
          <w:sz w:val="16"/>
          <w:szCs w:val="16"/>
          <w:color w:val="auto"/>
        </w:rPr>
        <w:t>- -----------------------------------------------------</w:t>
      </w:r>
    </w:p>
    <w:p>
      <w:pPr>
        <w:spacing w:after="0" w:line="356"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Property, Plant and Equipment</w:t>
      </w:r>
    </w:p>
    <w:p>
      <w:pPr>
        <w:ind w:left="185" w:hanging="185"/>
        <w:spacing w:after="0" w:line="236" w:lineRule="auto"/>
        <w:tabs>
          <w:tab w:leader="none" w:pos="185"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62" w:lineRule="exact"/>
        <w:rPr>
          <w:rFonts w:ascii="Courier New" w:cs="Courier New" w:eastAsia="Courier New" w:hAnsi="Courier New"/>
          <w:sz w:val="16"/>
          <w:szCs w:val="16"/>
          <w:color w:val="auto"/>
        </w:rPr>
      </w:pPr>
    </w:p>
    <w:p>
      <w:pPr>
        <w:ind w:left="185"/>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Land................................................................................</w:t>
      </w:r>
    </w:p>
    <w:p>
      <w:pPr>
        <w:spacing w:after="0" w:line="20" w:lineRule="exact"/>
        <w:rPr>
          <w:rFonts w:ascii="Courier New" w:cs="Courier New" w:eastAsia="Courier New" w:hAnsi="Courier New"/>
          <w:sz w:val="16"/>
          <w:szCs w:val="16"/>
          <w:color w:val="auto"/>
        </w:rPr>
      </w:pPr>
    </w:p>
    <w:p>
      <w:pPr>
        <w:ind w:left="185"/>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Buildings...........................................................................</w:t>
      </w:r>
    </w:p>
    <w:p>
      <w:pPr>
        <w:spacing w:after="0" w:line="20" w:lineRule="exact"/>
        <w:rPr>
          <w:rFonts w:ascii="Courier New" w:cs="Courier New" w:eastAsia="Courier New" w:hAnsi="Courier New"/>
          <w:sz w:val="16"/>
          <w:szCs w:val="16"/>
          <w:color w:val="auto"/>
        </w:rPr>
      </w:pPr>
    </w:p>
    <w:p>
      <w:pPr>
        <w:ind w:left="185"/>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Equipment...........................................................................</w:t>
      </w:r>
    </w:p>
    <w:p>
      <w:pPr>
        <w:spacing w:after="0" w:line="20" w:lineRule="exact"/>
        <w:rPr>
          <w:rFonts w:ascii="Courier New" w:cs="Courier New" w:eastAsia="Courier New" w:hAnsi="Courier New"/>
          <w:sz w:val="16"/>
          <w:szCs w:val="16"/>
          <w:color w:val="auto"/>
        </w:rPr>
      </w:pPr>
    </w:p>
    <w:p>
      <w:pPr>
        <w:ind w:left="185"/>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Construction in progress............................................................</w:t>
      </w:r>
    </w:p>
    <w:p>
      <w:pPr>
        <w:spacing w:after="0" w:line="378" w:lineRule="exact"/>
        <w:rPr>
          <w:rFonts w:ascii="Courier New" w:cs="Courier New" w:eastAsia="Courier New" w:hAnsi="Courier New"/>
          <w:sz w:val="16"/>
          <w:szCs w:val="16"/>
          <w:color w:val="auto"/>
        </w:rPr>
      </w:pPr>
    </w:p>
    <w:p>
      <w:pPr>
        <w:ind w:left="185"/>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Less accumulated depreciation and amortization......................................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 w:right="560" w:firstLine="186"/>
        <w:spacing w:after="0" w:line="236" w:lineRule="auto"/>
        <w:rPr>
          <w:sz w:val="20"/>
          <w:szCs w:val="20"/>
          <w:color w:val="auto"/>
        </w:rPr>
      </w:pPr>
      <w:r>
        <w:rPr>
          <w:rFonts w:ascii="Courier New" w:cs="Courier New" w:eastAsia="Courier New" w:hAnsi="Courier New"/>
          <w:sz w:val="16"/>
          <w:szCs w:val="16"/>
          <w:color w:val="auto"/>
        </w:rPr>
        <w:t>As of September 2, 1999, property, plant and equipment included unamortized costs of $707.3 million for the semiconductor operations facility in Lehi, Utah, of which $646.7 million has not been placed in service and is not being depreciated. Timing of the completion of the remainder of the Lehi facilities is dependent upon market conditions. Market conditions which the Company expects to evaluate include, but are not limited to, worldwide market supply and demand of semiconductor products and the Company's operations, cash flows and alternative uses of capital. The Company continues to evaluate the carrying value of the facility and as of September 2, 1999, it was determined to have no impairment.</w:t>
      </w:r>
    </w:p>
    <w:p>
      <w:pPr>
        <w:spacing w:after="0" w:line="186" w:lineRule="exact"/>
        <w:rPr>
          <w:sz w:val="20"/>
          <w:szCs w:val="20"/>
          <w:color w:val="auto"/>
        </w:rPr>
      </w:pPr>
    </w:p>
    <w:p>
      <w:pPr>
        <w:ind w:left="5" w:right="560" w:firstLine="186"/>
        <w:spacing w:after="0" w:line="234" w:lineRule="auto"/>
        <w:rPr>
          <w:sz w:val="20"/>
          <w:szCs w:val="20"/>
          <w:color w:val="auto"/>
        </w:rPr>
      </w:pPr>
      <w:r>
        <w:rPr>
          <w:rFonts w:ascii="Courier New" w:cs="Courier New" w:eastAsia="Courier New" w:hAnsi="Courier New"/>
          <w:sz w:val="16"/>
          <w:szCs w:val="16"/>
          <w:color w:val="auto"/>
        </w:rPr>
        <w:t>Depreciation expense was $767.4 million, $569.7 million and $462.5 million for 1999, 1998 and 1997, respectively.</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Accounts Payable and Accrued Expenses</w:t>
      </w:r>
    </w:p>
    <w:p>
      <w:pPr>
        <w:ind w:left="185" w:hanging="185"/>
        <w:spacing w:after="0" w:line="236" w:lineRule="auto"/>
        <w:tabs>
          <w:tab w:leader="none" w:pos="185"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62" w:lineRule="exact"/>
        <w:rPr>
          <w:rFonts w:ascii="Courier New" w:cs="Courier New" w:eastAsia="Courier New" w:hAnsi="Courier New"/>
          <w:sz w:val="16"/>
          <w:szCs w:val="16"/>
          <w:color w:val="auto"/>
        </w:rPr>
      </w:pPr>
    </w:p>
    <w:p>
      <w:pPr>
        <w:ind w:left="185"/>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Accounts payable....................................................................</w:t>
      </w:r>
    </w:p>
    <w:p>
      <w:pPr>
        <w:spacing w:after="0" w:line="20" w:lineRule="exact"/>
        <w:rPr>
          <w:rFonts w:ascii="Courier New" w:cs="Courier New" w:eastAsia="Courier New" w:hAnsi="Courier New"/>
          <w:sz w:val="16"/>
          <w:szCs w:val="16"/>
          <w:color w:val="auto"/>
        </w:rPr>
      </w:pPr>
    </w:p>
    <w:p>
      <w:pPr>
        <w:ind w:left="185"/>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Salaries, wages and benefits........................................................</w:t>
      </w:r>
    </w:p>
    <w:p>
      <w:pPr>
        <w:spacing w:after="0" w:line="20" w:lineRule="exact"/>
        <w:rPr>
          <w:rFonts w:ascii="Courier New" w:cs="Courier New" w:eastAsia="Courier New" w:hAnsi="Courier New"/>
          <w:sz w:val="16"/>
          <w:szCs w:val="16"/>
          <w:color w:val="auto"/>
        </w:rPr>
      </w:pPr>
    </w:p>
    <w:p>
      <w:pPr>
        <w:ind w:left="185"/>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Product and process technology payable..............................................</w:t>
      </w:r>
    </w:p>
    <w:p>
      <w:pPr>
        <w:spacing w:after="0" w:line="20" w:lineRule="exact"/>
        <w:rPr>
          <w:rFonts w:ascii="Courier New" w:cs="Courier New" w:eastAsia="Courier New" w:hAnsi="Courier New"/>
          <w:sz w:val="16"/>
          <w:szCs w:val="16"/>
          <w:color w:val="auto"/>
        </w:rPr>
      </w:pPr>
    </w:p>
    <w:p>
      <w:pPr>
        <w:ind w:left="185"/>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Taxes payable other than income.....................................................</w:t>
      </w:r>
    </w:p>
    <w:p>
      <w:pPr>
        <w:spacing w:after="0" w:line="20" w:lineRule="exact"/>
        <w:rPr>
          <w:rFonts w:ascii="Courier New" w:cs="Courier New" w:eastAsia="Courier New" w:hAnsi="Courier New"/>
          <w:sz w:val="16"/>
          <w:szCs w:val="16"/>
          <w:color w:val="auto"/>
        </w:rPr>
      </w:pPr>
    </w:p>
    <w:p>
      <w:pPr>
        <w:ind w:left="185"/>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Interest payable....................................................................</w:t>
      </w:r>
    </w:p>
    <w:p>
      <w:pPr>
        <w:spacing w:after="0" w:line="20" w:lineRule="exact"/>
        <w:rPr>
          <w:rFonts w:ascii="Courier New" w:cs="Courier New" w:eastAsia="Courier New" w:hAnsi="Courier New"/>
          <w:sz w:val="16"/>
          <w:szCs w:val="16"/>
          <w:color w:val="auto"/>
        </w:rPr>
      </w:pPr>
    </w:p>
    <w:p>
      <w:pPr>
        <w:ind w:left="185"/>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Debt</w:t>
      </w:r>
    </w:p>
    <w:p>
      <w:pPr>
        <w:ind w:left="5"/>
        <w:spacing w:after="0" w:line="236" w:lineRule="auto"/>
        <w:rPr>
          <w:sz w:val="20"/>
          <w:szCs w:val="20"/>
          <w:color w:val="auto"/>
        </w:rPr>
      </w:pPr>
      <w:r>
        <w:rPr>
          <w:rFonts w:ascii="Courier New" w:cs="Courier New" w:eastAsia="Courier New" w:hAnsi="Courier New"/>
          <w:sz w:val="16"/>
          <w:szCs w:val="16"/>
          <w:color w:val="auto"/>
        </w:rPr>
        <w:t>- ----</w:t>
      </w:r>
    </w:p>
    <w:p>
      <w:pPr>
        <w:spacing w:after="0" w:line="356"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Convertible subordinated notes payable, due October 2005, with an effective yield</w:t>
      </w:r>
    </w:p>
    <w:p>
      <w:pPr>
        <w:spacing w:after="0" w:line="4" w:lineRule="exact"/>
        <w:rPr>
          <w:sz w:val="20"/>
          <w:szCs w:val="20"/>
          <w:color w:val="auto"/>
        </w:rPr>
      </w:pPr>
    </w:p>
    <w:p>
      <w:pPr>
        <w:ind w:left="85"/>
        <w:spacing w:after="0"/>
        <w:rPr>
          <w:sz w:val="20"/>
          <w:szCs w:val="20"/>
          <w:color w:val="auto"/>
        </w:rPr>
      </w:pPr>
      <w:r>
        <w:rPr>
          <w:rFonts w:ascii="Courier New" w:cs="Courier New" w:eastAsia="Courier New" w:hAnsi="Courier New"/>
          <w:sz w:val="14"/>
          <w:szCs w:val="14"/>
          <w:color w:val="auto"/>
        </w:rPr>
        <w:t>to maturity of 8.4%, net of unamortized discount of $64.8 million...................</w:t>
      </w:r>
    </w:p>
    <w:p>
      <w:pPr>
        <w:spacing w:after="0" w:line="199"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Convertible subordinated notes payable, due July 2004, interest rate of 7%...........</w:t>
      </w:r>
    </w:p>
    <w:p>
      <w:pPr>
        <w:spacing w:after="0" w:line="193"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Subordinated notes payable, due October 2005, with an effective yield to maturity</w:t>
      </w:r>
    </w:p>
    <w:p>
      <w:pPr>
        <w:spacing w:after="0" w:line="4" w:lineRule="exact"/>
        <w:rPr>
          <w:sz w:val="20"/>
          <w:szCs w:val="20"/>
          <w:color w:val="auto"/>
        </w:rPr>
      </w:pPr>
    </w:p>
    <w:p>
      <w:pPr>
        <w:ind w:left="85"/>
        <w:spacing w:after="0"/>
        <w:rPr>
          <w:sz w:val="20"/>
          <w:szCs w:val="20"/>
          <w:color w:val="auto"/>
        </w:rPr>
      </w:pPr>
      <w:r>
        <w:rPr>
          <w:rFonts w:ascii="Courier New" w:cs="Courier New" w:eastAsia="Courier New" w:hAnsi="Courier New"/>
          <w:sz w:val="14"/>
          <w:szCs w:val="14"/>
          <w:color w:val="auto"/>
        </w:rPr>
        <w:t>of 10.7%, net of unamortized discount of $38.1 million..............................</w:t>
      </w:r>
    </w:p>
    <w:p>
      <w:pPr>
        <w:spacing w:after="0" w:line="193"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Notes payable in periodic installments through July 2015, weighted average</w:t>
      </w:r>
    </w:p>
    <w:p>
      <w:pPr>
        <w:spacing w:after="0" w:line="4" w:lineRule="exact"/>
        <w:rPr>
          <w:sz w:val="20"/>
          <w:szCs w:val="20"/>
          <w:color w:val="auto"/>
        </w:rPr>
      </w:pPr>
    </w:p>
    <w:p>
      <w:pPr>
        <w:ind w:left="185"/>
        <w:spacing w:after="0"/>
        <w:rPr>
          <w:sz w:val="20"/>
          <w:szCs w:val="20"/>
          <w:color w:val="auto"/>
        </w:rPr>
      </w:pPr>
      <w:r>
        <w:rPr>
          <w:rFonts w:ascii="Courier New" w:cs="Courier New" w:eastAsia="Courier New" w:hAnsi="Courier New"/>
          <w:sz w:val="14"/>
          <w:szCs w:val="14"/>
          <w:color w:val="auto"/>
        </w:rPr>
        <w:t>interest rate of 7.37% and 7.38%, respectively.....................................</w:t>
      </w:r>
    </w:p>
    <w:p>
      <w:pPr>
        <w:spacing w:after="0" w:line="193"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Capitalized lease obligations payable in monthly installments through August 2004,</w:t>
      </w:r>
    </w:p>
    <w:p>
      <w:pPr>
        <w:spacing w:after="0" w:line="4" w:lineRule="exact"/>
        <w:rPr>
          <w:sz w:val="20"/>
          <w:szCs w:val="20"/>
          <w:color w:val="auto"/>
        </w:rPr>
      </w:pPr>
    </w:p>
    <w:p>
      <w:pPr>
        <w:ind w:left="85"/>
        <w:spacing w:after="0"/>
        <w:rPr>
          <w:sz w:val="20"/>
          <w:szCs w:val="20"/>
          <w:color w:val="auto"/>
        </w:rPr>
      </w:pPr>
      <w:r>
        <w:rPr>
          <w:rFonts w:ascii="Courier New" w:cs="Courier New" w:eastAsia="Courier New" w:hAnsi="Courier New"/>
          <w:sz w:val="14"/>
          <w:szCs w:val="14"/>
          <w:color w:val="auto"/>
        </w:rPr>
        <w:t>weighted average interest rate of 7.52% and 7.61%, respectively.....................</w:t>
      </w:r>
    </w:p>
    <w:p>
      <w:pPr>
        <w:spacing w:after="0" w:line="200" w:lineRule="exact"/>
        <w:rPr>
          <w:sz w:val="20"/>
          <w:szCs w:val="20"/>
          <w:color w:val="auto"/>
        </w:rPr>
      </w:pPr>
    </w:p>
    <w:p>
      <w:pPr>
        <w:spacing w:after="0" w:line="357"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Less current portion.................................................................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 w:right="560" w:firstLine="186"/>
        <w:spacing w:after="0" w:line="236" w:lineRule="auto"/>
        <w:rPr>
          <w:sz w:val="20"/>
          <w:szCs w:val="20"/>
          <w:color w:val="auto"/>
        </w:rPr>
      </w:pPr>
      <w:r>
        <w:rPr>
          <w:rFonts w:ascii="Courier New" w:cs="Courier New" w:eastAsia="Courier New" w:hAnsi="Courier New"/>
          <w:sz w:val="16"/>
          <w:szCs w:val="16"/>
          <w:color w:val="auto"/>
        </w:rPr>
        <w:t>The convertible subordinated notes due October 2005 (the "Convertible Notes") with an effective yield-to-maturity of 8.4% have a face value of $740 million, a stated interest rate of 6.5% and are convertible into shares of MTI's common stock at $60 per share. The Convertible Notes were subject to redemption as of October 2000 and are redeemable from that date through October 2002 if the common stock price is at least $78 for a specified trading period. The Convertible Notes have not been registered with the Securities and Exchange Commission, however, the holder has registration rights. (See "Acquisition" note)</w:t>
      </w:r>
    </w:p>
    <w:p>
      <w:pPr>
        <w:spacing w:after="0" w:line="179" w:lineRule="exact"/>
        <w:rPr>
          <w:sz w:val="20"/>
          <w:szCs w:val="20"/>
          <w:color w:val="auto"/>
        </w:rPr>
      </w:pPr>
    </w:p>
    <w:p>
      <w:pPr>
        <w:ind w:left="185"/>
        <w:spacing w:after="0"/>
        <w:rPr>
          <w:sz w:val="20"/>
          <w:szCs w:val="20"/>
          <w:color w:val="auto"/>
        </w:rPr>
      </w:pPr>
      <w:r>
        <w:rPr>
          <w:rFonts w:ascii="Courier New" w:cs="Courier New" w:eastAsia="Courier New" w:hAnsi="Courier New"/>
          <w:sz w:val="16"/>
          <w:szCs w:val="16"/>
          <w:color w:val="auto"/>
        </w:rPr>
        <w:t>The 7% convertible subordinated notes due July 2004 are convertible into</w:t>
      </w:r>
    </w:p>
    <w:p>
      <w:pPr>
        <w:spacing w:after="0" w:line="20" w:lineRule="exact"/>
        <w:rPr>
          <w:sz w:val="20"/>
          <w:szCs w:val="20"/>
          <w:color w:val="auto"/>
        </w:rPr>
      </w:pPr>
      <w:r>
        <w:rPr>
          <w:sz w:val="20"/>
          <w:szCs w:val="20"/>
          <w:color w:val="auto"/>
        </w:rPr>
        <w:br w:type="column"/>
      </w:r>
    </w:p>
    <w:p>
      <w:pPr>
        <w:ind w:left="460"/>
        <w:spacing w:after="0"/>
        <w:tabs>
          <w:tab w:leader="none" w:pos="1640" w:val="left"/>
        </w:tabs>
        <w:rPr>
          <w:sz w:val="20"/>
          <w:szCs w:val="20"/>
          <w:color w:val="auto"/>
        </w:rPr>
      </w:pPr>
      <w:r>
        <w:rPr>
          <w:rFonts w:ascii="Courier New" w:cs="Courier New" w:eastAsia="Courier New" w:hAnsi="Courier New"/>
          <w:sz w:val="16"/>
          <w:szCs w:val="16"/>
          <w:color w:val="auto"/>
        </w:rPr>
        <w:t>9/2/99</w:t>
      </w:r>
      <w:r>
        <w:rPr>
          <w:sz w:val="20"/>
          <w:szCs w:val="20"/>
          <w:color w:val="auto"/>
        </w:rPr>
        <w:tab/>
      </w:r>
      <w:r>
        <w:rPr>
          <w:rFonts w:ascii="Courier New" w:cs="Courier New" w:eastAsia="Courier New" w:hAnsi="Courier New"/>
          <w:sz w:val="16"/>
          <w:szCs w:val="16"/>
          <w:color w:val="auto"/>
        </w:rPr>
        <w:t>9/3/98</w:t>
      </w:r>
    </w:p>
    <w:p>
      <w:pPr>
        <w:spacing w:after="0" w:line="4" w:lineRule="exact"/>
        <w:rPr>
          <w:sz w:val="20"/>
          <w:szCs w:val="20"/>
          <w:color w:val="auto"/>
        </w:rPr>
      </w:pPr>
    </w:p>
    <w:p>
      <w:pPr>
        <w:ind w:left="640"/>
        <w:spacing w:after="0"/>
        <w:tabs>
          <w:tab w:leader="none" w:pos="18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80" w:type="dxa"/>
        <w:tblCellMar>
          <w:top w:w="0" w:type="dxa"/>
          <w:left w:w="0" w:type="dxa"/>
          <w:bottom w:w="0" w:type="dxa"/>
          <w:right w:w="0" w:type="dxa"/>
        </w:tblCellMar>
      </w:tblPr>
      <w:tr>
        <w:trPr>
          <w:trHeight w:val="181"/>
        </w:trPr>
        <w:tc>
          <w:tcPr>
            <w:tcW w:w="14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102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42.2</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34.8</w:t>
            </w:r>
          </w:p>
        </w:tc>
      </w:tr>
      <w:tr>
        <w:trPr>
          <w:trHeight w:val="179"/>
        </w:trPr>
        <w:tc>
          <w:tcPr>
            <w:tcW w:w="140" w:type="dxa"/>
            <w:vAlign w:val="bottom"/>
          </w:tcPr>
          <w:p>
            <w:pPr>
              <w:spacing w:after="0"/>
              <w:rPr>
                <w:sz w:val="15"/>
                <w:szCs w:val="15"/>
                <w:color w:val="auto"/>
              </w:rPr>
            </w:pPr>
          </w:p>
        </w:tc>
        <w:tc>
          <w:tcPr>
            <w:tcW w:w="10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1,172.4</w:t>
            </w:r>
          </w:p>
        </w:tc>
        <w:tc>
          <w:tcPr>
            <w:tcW w:w="240" w:type="dxa"/>
            <w:vAlign w:val="bottom"/>
          </w:tcPr>
          <w:p>
            <w:pPr>
              <w:spacing w:after="0"/>
              <w:rPr>
                <w:sz w:val="15"/>
                <w:szCs w:val="15"/>
                <w:color w:val="auto"/>
              </w:rPr>
            </w:pP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915.5</w:t>
            </w:r>
          </w:p>
        </w:tc>
      </w:tr>
      <w:tr>
        <w:trPr>
          <w:trHeight w:val="179"/>
        </w:trPr>
        <w:tc>
          <w:tcPr>
            <w:tcW w:w="140" w:type="dxa"/>
            <w:vAlign w:val="bottom"/>
          </w:tcPr>
          <w:p>
            <w:pPr>
              <w:spacing w:after="0"/>
              <w:rPr>
                <w:sz w:val="15"/>
                <w:szCs w:val="15"/>
                <w:color w:val="auto"/>
              </w:rPr>
            </w:pPr>
          </w:p>
        </w:tc>
        <w:tc>
          <w:tcPr>
            <w:tcW w:w="10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4,074.4</w:t>
            </w:r>
          </w:p>
        </w:tc>
        <w:tc>
          <w:tcPr>
            <w:tcW w:w="240" w:type="dxa"/>
            <w:vAlign w:val="bottom"/>
          </w:tcPr>
          <w:p>
            <w:pPr>
              <w:spacing w:after="0"/>
              <w:rPr>
                <w:sz w:val="15"/>
                <w:szCs w:val="15"/>
                <w:color w:val="auto"/>
              </w:rPr>
            </w:pP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3,025.7</w:t>
            </w:r>
          </w:p>
        </w:tc>
      </w:tr>
      <w:tr>
        <w:trPr>
          <w:trHeight w:val="179"/>
        </w:trPr>
        <w:tc>
          <w:tcPr>
            <w:tcW w:w="140" w:type="dxa"/>
            <w:vAlign w:val="bottom"/>
          </w:tcPr>
          <w:p>
            <w:pPr>
              <w:spacing w:after="0"/>
              <w:rPr>
                <w:sz w:val="15"/>
                <w:szCs w:val="15"/>
                <w:color w:val="auto"/>
              </w:rPr>
            </w:pPr>
          </w:p>
        </w:tc>
        <w:tc>
          <w:tcPr>
            <w:tcW w:w="10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726.0</w:t>
            </w:r>
          </w:p>
        </w:tc>
        <w:tc>
          <w:tcPr>
            <w:tcW w:w="240" w:type="dxa"/>
            <w:vAlign w:val="bottom"/>
          </w:tcPr>
          <w:p>
            <w:pPr>
              <w:spacing w:after="0"/>
              <w:rPr>
                <w:sz w:val="15"/>
                <w:szCs w:val="15"/>
                <w:color w:val="auto"/>
              </w:rPr>
            </w:pP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704.6</w:t>
            </w:r>
          </w:p>
        </w:tc>
      </w:tr>
      <w:tr>
        <w:trPr>
          <w:trHeight w:val="179"/>
        </w:trPr>
        <w:tc>
          <w:tcPr>
            <w:tcW w:w="116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w w:val="95"/>
              </w:rPr>
              <w:t>----------</w:t>
            </w:r>
          </w:p>
        </w:tc>
        <w:tc>
          <w:tcPr>
            <w:tcW w:w="240" w:type="dxa"/>
            <w:vAlign w:val="bottom"/>
          </w:tcPr>
          <w:p>
            <w:pPr>
              <w:spacing w:after="0"/>
              <w:rPr>
                <w:sz w:val="15"/>
                <w:szCs w:val="15"/>
                <w:color w:val="auto"/>
              </w:rPr>
            </w:pP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3"/>
              </w:rPr>
              <w:t>--------</w:t>
            </w:r>
          </w:p>
        </w:tc>
      </w:tr>
      <w:tr>
        <w:trPr>
          <w:trHeight w:val="179"/>
        </w:trPr>
        <w:tc>
          <w:tcPr>
            <w:tcW w:w="140" w:type="dxa"/>
            <w:vAlign w:val="bottom"/>
          </w:tcPr>
          <w:p>
            <w:pPr>
              <w:spacing w:after="0"/>
              <w:rPr>
                <w:sz w:val="15"/>
                <w:szCs w:val="15"/>
                <w:color w:val="auto"/>
              </w:rPr>
            </w:pPr>
          </w:p>
        </w:tc>
        <w:tc>
          <w:tcPr>
            <w:tcW w:w="10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6,015.0</w:t>
            </w:r>
          </w:p>
        </w:tc>
        <w:tc>
          <w:tcPr>
            <w:tcW w:w="240" w:type="dxa"/>
            <w:vAlign w:val="bottom"/>
          </w:tcPr>
          <w:p>
            <w:pPr>
              <w:spacing w:after="0"/>
              <w:rPr>
                <w:sz w:val="15"/>
                <w:szCs w:val="15"/>
                <w:color w:val="auto"/>
              </w:rPr>
            </w:pP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4,680.6</w:t>
            </w:r>
          </w:p>
        </w:tc>
      </w:tr>
      <w:tr>
        <w:trPr>
          <w:trHeight w:val="179"/>
        </w:trPr>
        <w:tc>
          <w:tcPr>
            <w:tcW w:w="140" w:type="dxa"/>
            <w:vAlign w:val="bottom"/>
          </w:tcPr>
          <w:p>
            <w:pPr>
              <w:spacing w:after="0"/>
              <w:rPr>
                <w:sz w:val="15"/>
                <w:szCs w:val="15"/>
                <w:color w:val="auto"/>
              </w:rPr>
            </w:pPr>
          </w:p>
        </w:tc>
        <w:tc>
          <w:tcPr>
            <w:tcW w:w="1020" w:type="dxa"/>
            <w:vAlign w:val="bottom"/>
          </w:tcPr>
          <w:p>
            <w:pPr>
              <w:jc w:val="right"/>
              <w:ind w:right="42"/>
              <w:spacing w:after="0" w:line="179" w:lineRule="exact"/>
              <w:rPr>
                <w:sz w:val="20"/>
                <w:szCs w:val="20"/>
                <w:color w:val="auto"/>
              </w:rPr>
            </w:pPr>
            <w:r>
              <w:rPr>
                <w:rFonts w:ascii="Courier New" w:cs="Courier New" w:eastAsia="Courier New" w:hAnsi="Courier New"/>
                <w:sz w:val="16"/>
                <w:szCs w:val="16"/>
                <w:color w:val="auto"/>
              </w:rPr>
              <w:t>(2,215.4)</w:t>
            </w:r>
          </w:p>
        </w:tc>
        <w:tc>
          <w:tcPr>
            <w:tcW w:w="240" w:type="dxa"/>
            <w:vAlign w:val="bottom"/>
          </w:tcPr>
          <w:p>
            <w:pPr>
              <w:spacing w:after="0"/>
              <w:rPr>
                <w:sz w:val="15"/>
                <w:szCs w:val="15"/>
                <w:color w:val="auto"/>
              </w:rPr>
            </w:pP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4"/>
              </w:rPr>
              <w:t>(1,645.3)</w:t>
            </w:r>
          </w:p>
        </w:tc>
      </w:tr>
      <w:tr>
        <w:trPr>
          <w:trHeight w:val="179"/>
        </w:trPr>
        <w:tc>
          <w:tcPr>
            <w:tcW w:w="116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w w:val="95"/>
              </w:rPr>
              <w:t>----------</w:t>
            </w:r>
          </w:p>
        </w:tc>
        <w:tc>
          <w:tcPr>
            <w:tcW w:w="10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2"/>
              </w:rPr>
              <w:t>$</w:t>
            </w:r>
          </w:p>
        </w:tc>
        <w:tc>
          <w:tcPr>
            <w:tcW w:w="10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3,799.6</w:t>
            </w:r>
          </w:p>
        </w:tc>
        <w:tc>
          <w:tcPr>
            <w:tcW w:w="10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$ 3,035.3</w:t>
            </w:r>
          </w:p>
        </w:tc>
      </w:tr>
      <w:tr>
        <w:trPr>
          <w:trHeight w:val="179"/>
        </w:trPr>
        <w:tc>
          <w:tcPr>
            <w:tcW w:w="116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w w:val="95"/>
              </w:rPr>
              <w:t>==========</w:t>
            </w:r>
          </w:p>
        </w:tc>
        <w:tc>
          <w:tcPr>
            <w:tcW w:w="10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560" w:type="dxa"/>
        <w:tblCellMar>
          <w:top w:w="0" w:type="dxa"/>
          <w:left w:w="0" w:type="dxa"/>
          <w:bottom w:w="0" w:type="dxa"/>
          <w:right w:w="0" w:type="dxa"/>
        </w:tblCellMar>
      </w:tblPr>
      <w:tr>
        <w:trPr>
          <w:trHeight w:val="181"/>
        </w:trPr>
        <w:tc>
          <w:tcPr>
            <w:tcW w:w="820" w:type="dxa"/>
            <w:vAlign w:val="bottom"/>
          </w:tcPr>
          <w:p>
            <w:pPr>
              <w:jc w:val="right"/>
              <w:ind w:right="182"/>
              <w:spacing w:after="0"/>
              <w:rPr>
                <w:sz w:val="20"/>
                <w:szCs w:val="20"/>
                <w:color w:val="auto"/>
              </w:rPr>
            </w:pPr>
            <w:r>
              <w:rPr>
                <w:rFonts w:ascii="Courier New" w:cs="Courier New" w:eastAsia="Courier New" w:hAnsi="Courier New"/>
                <w:sz w:val="16"/>
                <w:szCs w:val="16"/>
                <w:color w:val="auto"/>
                <w:w w:val="93"/>
              </w:rPr>
              <w:t>$453.1</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$235.6</w:t>
            </w:r>
          </w:p>
        </w:tc>
      </w:tr>
      <w:tr>
        <w:trPr>
          <w:trHeight w:val="179"/>
        </w:trPr>
        <w:tc>
          <w:tcPr>
            <w:tcW w:w="82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95.4</w:t>
            </w: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85.6</w:t>
            </w:r>
          </w:p>
        </w:tc>
      </w:tr>
      <w:tr>
        <w:trPr>
          <w:trHeight w:val="179"/>
        </w:trPr>
        <w:tc>
          <w:tcPr>
            <w:tcW w:w="82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24.0</w:t>
            </w: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46.4</w:t>
            </w:r>
          </w:p>
        </w:tc>
      </w:tr>
      <w:tr>
        <w:trPr>
          <w:trHeight w:val="179"/>
        </w:trPr>
        <w:tc>
          <w:tcPr>
            <w:tcW w:w="82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33.4</w:t>
            </w: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44.5</w:t>
            </w:r>
          </w:p>
        </w:tc>
      </w:tr>
      <w:tr>
        <w:trPr>
          <w:trHeight w:val="179"/>
        </w:trPr>
        <w:tc>
          <w:tcPr>
            <w:tcW w:w="82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33.9</w:t>
            </w: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7.7</w:t>
            </w:r>
          </w:p>
        </w:tc>
      </w:tr>
      <w:tr>
        <w:trPr>
          <w:trHeight w:val="179"/>
        </w:trPr>
        <w:tc>
          <w:tcPr>
            <w:tcW w:w="82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65.6</w:t>
            </w: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40.9</w:t>
            </w:r>
          </w:p>
        </w:tc>
      </w:tr>
      <w:tr>
        <w:trPr>
          <w:trHeight w:val="179"/>
        </w:trPr>
        <w:tc>
          <w:tcPr>
            <w:tcW w:w="82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w w:val="93"/>
              </w:rPr>
              <w:t>------</w:t>
            </w: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82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w w:val="93"/>
              </w:rPr>
              <w:t>$705.4</w:t>
            </w: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$460.7</w:t>
            </w:r>
          </w:p>
        </w:tc>
      </w:tr>
      <w:tr>
        <w:trPr>
          <w:trHeight w:val="179"/>
        </w:trPr>
        <w:tc>
          <w:tcPr>
            <w:tcW w:w="82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w w:val="93"/>
              </w:rPr>
              <w:t>======</w:t>
            </w: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160" w:type="dxa"/>
            <w:vAlign w:val="bottom"/>
          </w:tcPr>
          <w:p>
            <w:pPr>
              <w:jc w:val="right"/>
              <w:ind w:right="342"/>
              <w:spacing w:after="0"/>
              <w:rPr>
                <w:sz w:val="20"/>
                <w:szCs w:val="20"/>
                <w:color w:val="auto"/>
              </w:rPr>
            </w:pPr>
            <w:r>
              <w:rPr>
                <w:rFonts w:ascii="Courier New" w:cs="Courier New" w:eastAsia="Courier New" w:hAnsi="Courier New"/>
                <w:sz w:val="16"/>
                <w:szCs w:val="16"/>
                <w:color w:val="auto"/>
                <w:w w:val="93"/>
              </w:rPr>
              <w:t>$  675.2</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358"/>
        </w:trPr>
        <w:tc>
          <w:tcPr>
            <w:tcW w:w="11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500.0</w:t>
            </w:r>
          </w:p>
        </w:tc>
        <w:tc>
          <w:tcPr>
            <w:tcW w:w="420" w:type="dxa"/>
            <w:vAlign w:val="bottom"/>
          </w:tcPr>
          <w:p>
            <w:pPr>
              <w:spacing w:after="0"/>
              <w:rPr>
                <w:sz w:val="24"/>
                <w:szCs w:val="24"/>
                <w:color w:val="auto"/>
              </w:rPr>
            </w:pPr>
          </w:p>
        </w:tc>
        <w:tc>
          <w:tcPr>
            <w:tcW w:w="7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500.0</w:t>
            </w:r>
          </w:p>
        </w:tc>
      </w:tr>
      <w:tr>
        <w:trPr>
          <w:trHeight w:val="537"/>
        </w:trPr>
        <w:tc>
          <w:tcPr>
            <w:tcW w:w="11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171.9</w:t>
            </w:r>
          </w:p>
        </w:tc>
        <w:tc>
          <w:tcPr>
            <w:tcW w:w="420" w:type="dxa"/>
            <w:vAlign w:val="bottom"/>
          </w:tcPr>
          <w:p>
            <w:pPr>
              <w:spacing w:after="0"/>
              <w:rPr>
                <w:sz w:val="24"/>
                <w:szCs w:val="24"/>
                <w:color w:val="auto"/>
              </w:rPr>
            </w:pPr>
          </w:p>
        </w:tc>
        <w:tc>
          <w:tcPr>
            <w:tcW w:w="7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537"/>
        </w:trPr>
        <w:tc>
          <w:tcPr>
            <w:tcW w:w="11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259.0</w:t>
            </w:r>
          </w:p>
        </w:tc>
        <w:tc>
          <w:tcPr>
            <w:tcW w:w="420" w:type="dxa"/>
            <w:vAlign w:val="bottom"/>
          </w:tcPr>
          <w:p>
            <w:pPr>
              <w:spacing w:after="0"/>
              <w:rPr>
                <w:sz w:val="24"/>
                <w:szCs w:val="24"/>
                <w:color w:val="auto"/>
              </w:rPr>
            </w:pPr>
          </w:p>
        </w:tc>
        <w:tc>
          <w:tcPr>
            <w:tcW w:w="7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315.2</w:t>
            </w:r>
          </w:p>
        </w:tc>
      </w:tr>
      <w:tr>
        <w:trPr>
          <w:trHeight w:val="537"/>
        </w:trPr>
        <w:tc>
          <w:tcPr>
            <w:tcW w:w="11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33.1</w:t>
            </w:r>
          </w:p>
        </w:tc>
        <w:tc>
          <w:tcPr>
            <w:tcW w:w="420" w:type="dxa"/>
            <w:vAlign w:val="bottom"/>
          </w:tcPr>
          <w:p>
            <w:pPr>
              <w:spacing w:after="0"/>
              <w:rPr>
                <w:sz w:val="24"/>
                <w:szCs w:val="24"/>
                <w:color w:val="auto"/>
              </w:rPr>
            </w:pPr>
          </w:p>
        </w:tc>
        <w:tc>
          <w:tcPr>
            <w:tcW w:w="7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42.2</w:t>
            </w:r>
          </w:p>
        </w:tc>
      </w:tr>
      <w:tr>
        <w:trPr>
          <w:trHeight w:val="179"/>
        </w:trPr>
        <w:tc>
          <w:tcPr>
            <w:tcW w:w="11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w w:val="93"/>
              </w:rPr>
              <w:t>--------</w:t>
            </w:r>
          </w:p>
        </w:tc>
        <w:tc>
          <w:tcPr>
            <w:tcW w:w="42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2"/>
              </w:rPr>
              <w:t>-------</w:t>
            </w:r>
          </w:p>
        </w:tc>
      </w:tr>
      <w:tr>
        <w:trPr>
          <w:trHeight w:val="179"/>
        </w:trPr>
        <w:tc>
          <w:tcPr>
            <w:tcW w:w="11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1,639.2</w:t>
            </w:r>
          </w:p>
        </w:tc>
        <w:tc>
          <w:tcPr>
            <w:tcW w:w="42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857.4</w:t>
            </w:r>
          </w:p>
        </w:tc>
      </w:tr>
      <w:tr>
        <w:trPr>
          <w:trHeight w:val="358"/>
        </w:trPr>
        <w:tc>
          <w:tcPr>
            <w:tcW w:w="11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(111.7)</w:t>
            </w:r>
          </w:p>
        </w:tc>
        <w:tc>
          <w:tcPr>
            <w:tcW w:w="4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(98.6)</w:t>
            </w:r>
          </w:p>
        </w:tc>
      </w:tr>
      <w:tr>
        <w:trPr>
          <w:trHeight w:val="179"/>
        </w:trPr>
        <w:tc>
          <w:tcPr>
            <w:tcW w:w="11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w w:val="93"/>
              </w:rPr>
              <w:t>--------</w:t>
            </w:r>
          </w:p>
        </w:tc>
        <w:tc>
          <w:tcPr>
            <w:tcW w:w="42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2"/>
              </w:rPr>
              <w:t>-------</w:t>
            </w:r>
          </w:p>
        </w:tc>
      </w:tr>
      <w:tr>
        <w:trPr>
          <w:trHeight w:val="179"/>
        </w:trPr>
        <w:tc>
          <w:tcPr>
            <w:tcW w:w="11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w w:val="93"/>
              </w:rPr>
              <w:t>$1,527.5</w:t>
            </w:r>
          </w:p>
        </w:tc>
        <w:tc>
          <w:tcPr>
            <w:tcW w:w="42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2"/>
              </w:rPr>
              <w:t>$ 758.8</w:t>
            </w:r>
          </w:p>
        </w:tc>
      </w:tr>
      <w:tr>
        <w:trPr>
          <w:trHeight w:val="179"/>
        </w:trPr>
        <w:tc>
          <w:tcPr>
            <w:tcW w:w="11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w w:val="93"/>
              </w:rPr>
              <w:t>========</w:t>
            </w:r>
          </w:p>
        </w:tc>
        <w:tc>
          <w:tcPr>
            <w:tcW w:w="42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2"/>
              </w:rPr>
              <w:t>=======</w:t>
            </w:r>
          </w:p>
        </w:tc>
      </w:tr>
    </w:tbl>
    <w:p>
      <w:pPr>
        <w:sectPr>
          <w:pgSz w:w="11900" w:h="16838" w:orient="portrait"/>
          <w:cols w:equalWidth="0" w:num="2">
            <w:col w:w="8005" w:space="560"/>
            <w:col w:w="2420"/>
          </w:cols>
          <w:pgMar w:left="235" w:top="1185" w:right="679" w:bottom="0" w:gutter="0" w:footer="0" w:header="0"/>
        </w:sectPr>
      </w:pPr>
    </w:p>
    <w:bookmarkStart w:id="38" w:name="page39"/>
    <w:bookmarkEnd w:id="38"/>
    <w:p>
      <w:pPr>
        <w:ind w:right="2959"/>
        <w:spacing w:after="0" w:line="235" w:lineRule="auto"/>
        <w:rPr>
          <w:sz w:val="20"/>
          <w:szCs w:val="20"/>
          <w:color w:val="auto"/>
        </w:rPr>
      </w:pPr>
      <w:r>
        <w:rPr>
          <w:rFonts w:ascii="Courier New" w:cs="Courier New" w:eastAsia="Courier New" w:hAnsi="Courier New"/>
          <w:sz w:val="16"/>
          <w:szCs w:val="16"/>
          <w:color w:val="auto"/>
        </w:rPr>
        <w:t>shares of MTI's common stock at $67.44 per share. The notes are redeemable through July 2001 if the common stock price is at least $87.67 for a specified trading period.</w:t>
      </w:r>
    </w:p>
    <w:p>
      <w:pPr>
        <w:spacing w:after="0" w:line="177"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37/57</w:t>
      </w:r>
    </w:p>
    <w:p>
      <w:pPr>
        <w:sectPr>
          <w:pgSz w:w="11900" w:h="16838" w:orient="portrait"/>
          <w:cols w:equalWidth="0" w:num="1">
            <w:col w:w="10219"/>
          </w:cols>
          <w:pgMar w:left="240" w:top="142" w:right="1440" w:bottom="1440" w:gutter="0" w:footer="0" w:header="0"/>
        </w:sectPr>
      </w:pPr>
    </w:p>
    <w:bookmarkStart w:id="39" w:name="page40"/>
    <w:bookmarkEnd w:id="39"/>
    <w:p>
      <w:pPr>
        <w:ind w:left="5"/>
        <w:spacing w:after="0"/>
        <w:rPr>
          <w:sz w:val="20"/>
          <w:szCs w:val="20"/>
          <w:color w:val="auto"/>
        </w:rPr>
      </w:pPr>
      <w:r>
        <w:rPr>
          <w:rFonts w:ascii="Courier New" w:cs="Courier New" w:eastAsia="Courier New" w:hAnsi="Courier New"/>
          <w:sz w:val="16"/>
          <w:szCs w:val="16"/>
          <w:color w:val="auto"/>
        </w:rPr>
        <w:t>Supplemental Balance Sheet Information (continued)</w:t>
      </w:r>
    </w:p>
    <w:p>
      <w:pPr>
        <w:ind w:left="5"/>
        <w:spacing w:after="0" w:line="236" w:lineRule="auto"/>
        <w:rPr>
          <w:sz w:val="20"/>
          <w:szCs w:val="20"/>
          <w:color w:val="auto"/>
        </w:rPr>
      </w:pPr>
      <w:r>
        <w:rPr>
          <w:rFonts w:ascii="Courier New" w:cs="Courier New" w:eastAsia="Courier New" w:hAnsi="Courier New"/>
          <w:sz w:val="16"/>
          <w:szCs w:val="16"/>
          <w:color w:val="auto"/>
        </w:rPr>
        <w:t>- --------------------------------------------------</w:t>
      </w:r>
    </w:p>
    <w:p>
      <w:pPr>
        <w:spacing w:after="0" w:line="183" w:lineRule="exact"/>
        <w:rPr>
          <w:sz w:val="20"/>
          <w:szCs w:val="20"/>
          <w:color w:val="auto"/>
        </w:rPr>
      </w:pPr>
    </w:p>
    <w:p>
      <w:pPr>
        <w:ind w:left="5" w:right="2779" w:firstLine="186"/>
        <w:spacing w:after="0" w:line="234" w:lineRule="auto"/>
        <w:rPr>
          <w:sz w:val="20"/>
          <w:szCs w:val="20"/>
          <w:color w:val="auto"/>
        </w:rPr>
      </w:pPr>
      <w:r>
        <w:rPr>
          <w:rFonts w:ascii="Courier New" w:cs="Courier New" w:eastAsia="Courier New" w:hAnsi="Courier New"/>
          <w:sz w:val="16"/>
          <w:szCs w:val="16"/>
          <w:color w:val="auto"/>
        </w:rPr>
        <w:t>The subordinated notes due October 2005 with a yield to maturity of 10.7% have a face value of $210 million and a stated interest rate of 6.5%.</w:t>
      </w:r>
    </w:p>
    <w:p>
      <w:pPr>
        <w:spacing w:after="0" w:line="183" w:lineRule="exact"/>
        <w:rPr>
          <w:sz w:val="20"/>
          <w:szCs w:val="20"/>
          <w:color w:val="auto"/>
        </w:rPr>
      </w:pPr>
    </w:p>
    <w:p>
      <w:pPr>
        <w:ind w:left="5" w:right="2879" w:firstLine="186"/>
        <w:spacing w:after="0" w:line="236" w:lineRule="auto"/>
        <w:rPr>
          <w:sz w:val="20"/>
          <w:szCs w:val="20"/>
          <w:color w:val="auto"/>
        </w:rPr>
      </w:pPr>
      <w:r>
        <w:rPr>
          <w:rFonts w:ascii="Courier New" w:cs="Courier New" w:eastAsia="Courier New" w:hAnsi="Courier New"/>
          <w:sz w:val="16"/>
          <w:szCs w:val="16"/>
          <w:color w:val="auto"/>
        </w:rPr>
        <w:t>MTI has a $400 million secured revolving credit agreement which expires May 2000. The interest rate on borrowed funds is based on various pricing options at the time of borrowing. The agreement contains certain restrictive covenants pertaining to the Company's semiconductor operations, including a maximum debt-to-equity covenant. As of September 2, 1999, MTI had no borrowings outstanding under the agreement.</w:t>
      </w:r>
    </w:p>
    <w:p>
      <w:pPr>
        <w:spacing w:after="0" w:line="183" w:lineRule="exact"/>
        <w:rPr>
          <w:sz w:val="20"/>
          <w:szCs w:val="20"/>
          <w:color w:val="auto"/>
        </w:rPr>
      </w:pPr>
    </w:p>
    <w:p>
      <w:pPr>
        <w:ind w:left="5" w:right="3059" w:firstLine="186"/>
        <w:spacing w:after="0" w:line="235" w:lineRule="auto"/>
        <w:rPr>
          <w:sz w:val="20"/>
          <w:szCs w:val="20"/>
          <w:color w:val="auto"/>
        </w:rPr>
      </w:pPr>
      <w:r>
        <w:rPr>
          <w:rFonts w:ascii="Courier New" w:cs="Courier New" w:eastAsia="Courier New" w:hAnsi="Courier New"/>
          <w:sz w:val="16"/>
          <w:szCs w:val="16"/>
          <w:color w:val="auto"/>
        </w:rPr>
        <w:t>MEI has a $100 million unsecured credit agreement expiring in June 2001. Under the credit agreement, MEI is subject to certain financial and other covenants including certain financial ratios and limitations on the amount of dividends paid by MEI. As of September 2, 1999, MEI had no borrowings outstanding.</w:t>
      </w:r>
    </w:p>
    <w:p>
      <w:pPr>
        <w:spacing w:after="0" w:line="186" w:lineRule="exact"/>
        <w:rPr>
          <w:sz w:val="20"/>
          <w:szCs w:val="20"/>
          <w:color w:val="auto"/>
        </w:rPr>
      </w:pPr>
    </w:p>
    <w:p>
      <w:pPr>
        <w:ind w:left="5" w:right="2959" w:firstLine="186"/>
        <w:spacing w:after="0" w:line="275" w:lineRule="auto"/>
        <w:rPr>
          <w:sz w:val="20"/>
          <w:szCs w:val="20"/>
          <w:color w:val="auto"/>
        </w:rPr>
      </w:pPr>
      <w:r>
        <w:rPr>
          <w:rFonts w:ascii="Courier New" w:cs="Courier New" w:eastAsia="Courier New" w:hAnsi="Courier New"/>
          <w:sz w:val="14"/>
          <w:szCs w:val="14"/>
          <w:color w:val="auto"/>
        </w:rPr>
        <w:t>Certain notes payable are collateralized by plant and equipment with a total cost of approximately $448.5 million and accumulated depreciation of approximately $270.4 million as of September 2, 1999. Equipment under capital leases, and the accumulated depreciation thereon, were approximately $45.7 million and $23.8 million, respectively, as of September 2, 1999, and $45.0 million and $15.4 million, respectively, as of September 3, 1998.</w:t>
      </w:r>
    </w:p>
    <w:p>
      <w:pPr>
        <w:spacing w:after="0" w:line="162" w:lineRule="exact"/>
        <w:rPr>
          <w:sz w:val="20"/>
          <w:szCs w:val="20"/>
          <w:color w:val="auto"/>
        </w:rPr>
      </w:pPr>
    </w:p>
    <w:p>
      <w:pPr>
        <w:ind w:left="5" w:right="2879" w:firstLine="186"/>
        <w:spacing w:after="0" w:line="236" w:lineRule="auto"/>
        <w:rPr>
          <w:sz w:val="20"/>
          <w:szCs w:val="20"/>
          <w:color w:val="auto"/>
        </w:rPr>
      </w:pPr>
      <w:r>
        <w:rPr>
          <w:rFonts w:ascii="Courier New" w:cs="Courier New" w:eastAsia="Courier New" w:hAnsi="Courier New"/>
          <w:sz w:val="16"/>
          <w:szCs w:val="16"/>
          <w:color w:val="auto"/>
        </w:rPr>
        <w:t>The Company leases certain facilities and equipment under operating leases. Total rental expense on all operating leases was $21.8 million, $17.5 million and $8.4 million for 1999, 1998 and 1997, respectively. Minimum future rental commitments under operating leases aggregate $38.3 million as of September 2, 1999, and are payable as follows (in millions): 2000, $11.2; 2001, $8.5; 2002, $6.8; 2003, $5.8; and 2004 thereafter, $6.0.</w:t>
      </w:r>
    </w:p>
    <w:p>
      <w:pPr>
        <w:spacing w:after="0" w:line="177" w:lineRule="exact"/>
        <w:rPr>
          <w:sz w:val="20"/>
          <w:szCs w:val="20"/>
          <w:color w:val="auto"/>
        </w:rPr>
      </w:pPr>
    </w:p>
    <w:p>
      <w:pPr>
        <w:ind w:left="185"/>
        <w:spacing w:after="0"/>
        <w:rPr>
          <w:sz w:val="20"/>
          <w:szCs w:val="20"/>
          <w:color w:val="auto"/>
        </w:rPr>
      </w:pPr>
      <w:r>
        <w:rPr>
          <w:rFonts w:ascii="Courier New" w:cs="Courier New" w:eastAsia="Courier New" w:hAnsi="Courier New"/>
          <w:sz w:val="16"/>
          <w:szCs w:val="16"/>
          <w:color w:val="auto"/>
        </w:rPr>
        <w:t>Maturities of long-tem debt are as follows:</w:t>
      </w:r>
    </w:p>
    <w:p>
      <w:pPr>
        <w:spacing w:after="0" w:line="200" w:lineRule="exact"/>
        <w:rPr>
          <w:sz w:val="20"/>
          <w:szCs w:val="20"/>
          <w:color w:val="auto"/>
        </w:rPr>
      </w:pPr>
    </w:p>
    <w:p>
      <w:pPr>
        <w:spacing w:after="0" w:line="334" w:lineRule="exact"/>
        <w:rPr>
          <w:sz w:val="20"/>
          <w:szCs w:val="20"/>
          <w:color w:val="auto"/>
        </w:rPr>
      </w:pPr>
    </w:p>
    <w:tbl>
      <w:tblPr>
        <w:tblLayout w:type="fixed"/>
        <w:tblInd w:w="285" w:type="dxa"/>
        <w:tblCellMar>
          <w:top w:w="0" w:type="dxa"/>
          <w:left w:w="0" w:type="dxa"/>
          <w:bottom w:w="0" w:type="dxa"/>
          <w:right w:w="0" w:type="dxa"/>
        </w:tblCellMar>
      </w:tblPr>
      <w:tr>
        <w:trPr>
          <w:trHeight w:val="181"/>
        </w:trPr>
        <w:tc>
          <w:tcPr>
            <w:tcW w:w="36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920" w:type="dxa"/>
            <w:vAlign w:val="bottom"/>
          </w:tcPr>
          <w:p>
            <w:pPr>
              <w:jc w:val="right"/>
              <w:ind w:right="382"/>
              <w:spacing w:after="0"/>
              <w:rPr>
                <w:sz w:val="20"/>
                <w:szCs w:val="20"/>
                <w:color w:val="auto"/>
              </w:rPr>
            </w:pPr>
            <w:r>
              <w:rPr>
                <w:rFonts w:ascii="Courier New" w:cs="Courier New" w:eastAsia="Courier New" w:hAnsi="Courier New"/>
                <w:sz w:val="16"/>
                <w:szCs w:val="16"/>
                <w:color w:val="auto"/>
                <w:w w:val="91"/>
              </w:rPr>
              <w:t>Notes</w:t>
            </w:r>
          </w:p>
        </w:tc>
        <w:tc>
          <w:tcPr>
            <w:tcW w:w="1020" w:type="dxa"/>
            <w:vAlign w:val="bottom"/>
          </w:tcPr>
          <w:p>
            <w:pPr>
              <w:ind w:left="180"/>
              <w:spacing w:after="0"/>
              <w:rPr>
                <w:sz w:val="20"/>
                <w:szCs w:val="20"/>
                <w:color w:val="auto"/>
              </w:rPr>
            </w:pPr>
            <w:r>
              <w:rPr>
                <w:rFonts w:ascii="Courier New" w:cs="Courier New" w:eastAsia="Courier New" w:hAnsi="Courier New"/>
                <w:sz w:val="16"/>
                <w:szCs w:val="16"/>
                <w:color w:val="auto"/>
              </w:rPr>
              <w:t>Capital</w:t>
            </w:r>
          </w:p>
        </w:tc>
      </w:tr>
      <w:tr>
        <w:trPr>
          <w:trHeight w:val="179"/>
        </w:trPr>
        <w:tc>
          <w:tcPr>
            <w:tcW w:w="360" w:type="dxa"/>
            <w:vAlign w:val="bottom"/>
          </w:tcPr>
          <w:p>
            <w:pPr>
              <w:spacing w:after="0"/>
              <w:rPr>
                <w:sz w:val="15"/>
                <w:szCs w:val="15"/>
                <w:color w:val="auto"/>
              </w:rPr>
            </w:pPr>
          </w:p>
        </w:tc>
        <w:tc>
          <w:tcPr>
            <w:tcW w:w="5400" w:type="dxa"/>
            <w:vAlign w:val="bottom"/>
            <w:gridSpan w:val="2"/>
          </w:tcPr>
          <w:p>
            <w:pPr>
              <w:jc w:val="right"/>
              <w:ind w:right="302"/>
              <w:spacing w:after="0" w:line="179" w:lineRule="exact"/>
              <w:rPr>
                <w:sz w:val="20"/>
                <w:szCs w:val="20"/>
                <w:color w:val="auto"/>
              </w:rPr>
            </w:pPr>
            <w:r>
              <w:rPr>
                <w:rFonts w:ascii="Courier New" w:cs="Courier New" w:eastAsia="Courier New" w:hAnsi="Courier New"/>
                <w:sz w:val="16"/>
                <w:szCs w:val="16"/>
                <w:color w:val="auto"/>
              </w:rPr>
              <w:t>payable</w:t>
            </w:r>
          </w:p>
        </w:tc>
        <w:tc>
          <w:tcPr>
            <w:tcW w:w="10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leases</w:t>
            </w:r>
          </w:p>
        </w:tc>
      </w:tr>
      <w:tr>
        <w:trPr>
          <w:trHeight w:val="179"/>
        </w:trPr>
        <w:tc>
          <w:tcPr>
            <w:tcW w:w="360" w:type="dxa"/>
            <w:vAlign w:val="bottom"/>
          </w:tcPr>
          <w:p>
            <w:pPr>
              <w:spacing w:after="0"/>
              <w:rPr>
                <w:sz w:val="15"/>
                <w:szCs w:val="15"/>
                <w:color w:val="auto"/>
              </w:rPr>
            </w:pPr>
          </w:p>
        </w:tc>
        <w:tc>
          <w:tcPr>
            <w:tcW w:w="5400" w:type="dxa"/>
            <w:vAlign w:val="bottom"/>
            <w:gridSpan w:val="2"/>
          </w:tcPr>
          <w:p>
            <w:pPr>
              <w:ind w:left="4380"/>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840" w:type="dxa"/>
            <w:vAlign w:val="bottom"/>
            <w:gridSpan w:val="2"/>
          </w:tcPr>
          <w:p>
            <w:pPr>
              <w:spacing w:after="0"/>
              <w:rPr>
                <w:sz w:val="20"/>
                <w:szCs w:val="20"/>
                <w:color w:val="auto"/>
              </w:rPr>
            </w:pPr>
            <w:r>
              <w:rPr>
                <w:rFonts w:ascii="Courier New" w:cs="Courier New" w:eastAsia="Courier New" w:hAnsi="Courier New"/>
                <w:sz w:val="16"/>
                <w:szCs w:val="16"/>
                <w:color w:val="auto"/>
              </w:rPr>
              <w:t>Fiscal year</w:t>
            </w:r>
          </w:p>
        </w:tc>
        <w:tc>
          <w:tcPr>
            <w:tcW w:w="9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9"/>
        </w:trPr>
        <w:tc>
          <w:tcPr>
            <w:tcW w:w="484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360" w:type="dxa"/>
            <w:vAlign w:val="bottom"/>
          </w:tcPr>
          <w:p>
            <w:pPr>
              <w:spacing w:after="0" w:line="179" w:lineRule="exact"/>
              <w:rPr>
                <w:sz w:val="20"/>
                <w:szCs w:val="20"/>
                <w:color w:val="auto"/>
              </w:rPr>
            </w:pPr>
            <w:r>
              <w:rPr>
                <w:rFonts w:ascii="Courier New" w:cs="Courier New" w:eastAsia="Courier New" w:hAnsi="Courier New"/>
                <w:sz w:val="16"/>
                <w:szCs w:val="16"/>
                <w:color w:val="auto"/>
                <w:w w:val="88"/>
              </w:rPr>
              <w:t>2000</w:t>
            </w:r>
          </w:p>
        </w:tc>
        <w:tc>
          <w:tcPr>
            <w:tcW w:w="4480" w:type="dxa"/>
            <w:vAlign w:val="bottom"/>
          </w:tcPr>
          <w:p>
            <w:pPr>
              <w:spacing w:after="0" w:line="179" w:lineRule="exact"/>
              <w:rPr>
                <w:sz w:val="20"/>
                <w:szCs w:val="20"/>
                <w:color w:val="auto"/>
              </w:rPr>
            </w:pPr>
            <w:r>
              <w:rPr>
                <w:rFonts w:ascii="Courier New" w:cs="Courier New" w:eastAsia="Courier New" w:hAnsi="Courier New"/>
                <w:sz w:val="16"/>
                <w:szCs w:val="16"/>
                <w:color w:val="auto"/>
                <w:w w:val="96"/>
              </w:rPr>
              <w:t>.............................................  $</w:t>
            </w: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104.4</w:t>
            </w:r>
          </w:p>
        </w:tc>
        <w:tc>
          <w:tcPr>
            <w:tcW w:w="10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$ 11.8</w:t>
            </w:r>
          </w:p>
        </w:tc>
      </w:tr>
      <w:tr>
        <w:trPr>
          <w:trHeight w:val="179"/>
        </w:trPr>
        <w:tc>
          <w:tcPr>
            <w:tcW w:w="360" w:type="dxa"/>
            <w:vAlign w:val="bottom"/>
          </w:tcPr>
          <w:p>
            <w:pPr>
              <w:spacing w:after="0" w:line="179" w:lineRule="exact"/>
              <w:rPr>
                <w:sz w:val="20"/>
                <w:szCs w:val="20"/>
                <w:color w:val="auto"/>
              </w:rPr>
            </w:pPr>
            <w:r>
              <w:rPr>
                <w:rFonts w:ascii="Courier New" w:cs="Courier New" w:eastAsia="Courier New" w:hAnsi="Courier New"/>
                <w:sz w:val="16"/>
                <w:szCs w:val="16"/>
                <w:color w:val="auto"/>
                <w:w w:val="88"/>
              </w:rPr>
              <w:t>2001</w:t>
            </w:r>
          </w:p>
        </w:tc>
        <w:tc>
          <w:tcPr>
            <w:tcW w:w="4480" w:type="dxa"/>
            <w:vAlign w:val="bottom"/>
          </w:tcPr>
          <w:p>
            <w:pPr>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90.2</w:t>
            </w:r>
          </w:p>
        </w:tc>
        <w:tc>
          <w:tcPr>
            <w:tcW w:w="10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17.5</w:t>
            </w:r>
          </w:p>
        </w:tc>
      </w:tr>
      <w:tr>
        <w:trPr>
          <w:trHeight w:val="179"/>
        </w:trPr>
        <w:tc>
          <w:tcPr>
            <w:tcW w:w="360" w:type="dxa"/>
            <w:vAlign w:val="bottom"/>
          </w:tcPr>
          <w:p>
            <w:pPr>
              <w:spacing w:after="0" w:line="179" w:lineRule="exact"/>
              <w:rPr>
                <w:sz w:val="20"/>
                <w:szCs w:val="20"/>
                <w:color w:val="auto"/>
              </w:rPr>
            </w:pPr>
            <w:r>
              <w:rPr>
                <w:rFonts w:ascii="Courier New" w:cs="Courier New" w:eastAsia="Courier New" w:hAnsi="Courier New"/>
                <w:sz w:val="16"/>
                <w:szCs w:val="16"/>
                <w:color w:val="auto"/>
                <w:w w:val="88"/>
              </w:rPr>
              <w:t>2002</w:t>
            </w:r>
          </w:p>
        </w:tc>
        <w:tc>
          <w:tcPr>
            <w:tcW w:w="4480" w:type="dxa"/>
            <w:vAlign w:val="bottom"/>
          </w:tcPr>
          <w:p>
            <w:pPr>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36.1</w:t>
            </w:r>
          </w:p>
        </w:tc>
        <w:tc>
          <w:tcPr>
            <w:tcW w:w="10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4.9</w:t>
            </w:r>
          </w:p>
        </w:tc>
      </w:tr>
      <w:tr>
        <w:trPr>
          <w:trHeight w:val="179"/>
        </w:trPr>
        <w:tc>
          <w:tcPr>
            <w:tcW w:w="360" w:type="dxa"/>
            <w:vAlign w:val="bottom"/>
          </w:tcPr>
          <w:p>
            <w:pPr>
              <w:spacing w:after="0" w:line="179" w:lineRule="exact"/>
              <w:rPr>
                <w:sz w:val="20"/>
                <w:szCs w:val="20"/>
                <w:color w:val="auto"/>
              </w:rPr>
            </w:pPr>
            <w:r>
              <w:rPr>
                <w:rFonts w:ascii="Courier New" w:cs="Courier New" w:eastAsia="Courier New" w:hAnsi="Courier New"/>
                <w:sz w:val="16"/>
                <w:szCs w:val="16"/>
                <w:color w:val="auto"/>
                <w:w w:val="88"/>
              </w:rPr>
              <w:t>2003</w:t>
            </w:r>
          </w:p>
        </w:tc>
        <w:tc>
          <w:tcPr>
            <w:tcW w:w="4480" w:type="dxa"/>
            <w:vAlign w:val="bottom"/>
          </w:tcPr>
          <w:p>
            <w:pPr>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26.0</w:t>
            </w:r>
          </w:p>
        </w:tc>
        <w:tc>
          <w:tcPr>
            <w:tcW w:w="10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1.2</w:t>
            </w:r>
          </w:p>
        </w:tc>
      </w:tr>
      <w:tr>
        <w:trPr>
          <w:trHeight w:val="179"/>
        </w:trPr>
        <w:tc>
          <w:tcPr>
            <w:tcW w:w="360" w:type="dxa"/>
            <w:vAlign w:val="bottom"/>
          </w:tcPr>
          <w:p>
            <w:pPr>
              <w:spacing w:after="0" w:line="179" w:lineRule="exact"/>
              <w:rPr>
                <w:sz w:val="20"/>
                <w:szCs w:val="20"/>
                <w:color w:val="auto"/>
              </w:rPr>
            </w:pPr>
            <w:r>
              <w:rPr>
                <w:rFonts w:ascii="Courier New" w:cs="Courier New" w:eastAsia="Courier New" w:hAnsi="Courier New"/>
                <w:sz w:val="16"/>
                <w:szCs w:val="16"/>
                <w:color w:val="auto"/>
                <w:w w:val="88"/>
              </w:rPr>
              <w:t>2004</w:t>
            </w:r>
          </w:p>
        </w:tc>
        <w:tc>
          <w:tcPr>
            <w:tcW w:w="4480" w:type="dxa"/>
            <w:vAlign w:val="bottom"/>
          </w:tcPr>
          <w:p>
            <w:pPr>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502.9</w:t>
            </w:r>
          </w:p>
        </w:tc>
        <w:tc>
          <w:tcPr>
            <w:tcW w:w="10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1.2</w:t>
            </w:r>
          </w:p>
        </w:tc>
      </w:tr>
      <w:tr>
        <w:trPr>
          <w:trHeight w:val="179"/>
        </w:trPr>
        <w:tc>
          <w:tcPr>
            <w:tcW w:w="360" w:type="dxa"/>
            <w:vAlign w:val="bottom"/>
          </w:tcPr>
          <w:p>
            <w:pPr>
              <w:spacing w:after="0" w:line="179" w:lineRule="exact"/>
              <w:rPr>
                <w:sz w:val="20"/>
                <w:szCs w:val="20"/>
                <w:color w:val="auto"/>
              </w:rPr>
            </w:pPr>
            <w:r>
              <w:rPr>
                <w:rFonts w:ascii="Courier New" w:cs="Courier New" w:eastAsia="Courier New" w:hAnsi="Courier New"/>
                <w:sz w:val="16"/>
                <w:szCs w:val="16"/>
                <w:color w:val="auto"/>
                <w:w w:val="88"/>
              </w:rPr>
              <w:t>2005</w:t>
            </w:r>
          </w:p>
        </w:tc>
        <w:tc>
          <w:tcPr>
            <w:tcW w:w="448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and thereafter..............................</w:t>
            </w: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951.0</w:t>
            </w:r>
          </w:p>
        </w:tc>
        <w:tc>
          <w:tcPr>
            <w:tcW w:w="10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1.1</w:t>
            </w:r>
          </w:p>
        </w:tc>
      </w:tr>
      <w:tr>
        <w:trPr>
          <w:trHeight w:val="179"/>
        </w:trPr>
        <w:tc>
          <w:tcPr>
            <w:tcW w:w="484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Less discount and interest.......................</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(104.5)</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(4.6)</w:t>
            </w:r>
          </w:p>
        </w:tc>
      </w:tr>
      <w:tr>
        <w:trPr>
          <w:trHeight w:val="179"/>
        </w:trPr>
        <w:tc>
          <w:tcPr>
            <w:tcW w:w="360" w:type="dxa"/>
            <w:vAlign w:val="bottom"/>
          </w:tcPr>
          <w:p>
            <w:pPr>
              <w:spacing w:after="0"/>
              <w:rPr>
                <w:sz w:val="15"/>
                <w:szCs w:val="15"/>
                <w:color w:val="auto"/>
              </w:rPr>
            </w:pPr>
          </w:p>
        </w:tc>
        <w:tc>
          <w:tcPr>
            <w:tcW w:w="540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60" w:type="dxa"/>
            <w:vAlign w:val="bottom"/>
          </w:tcPr>
          <w:p>
            <w:pPr>
              <w:spacing w:after="0"/>
              <w:rPr>
                <w:sz w:val="15"/>
                <w:szCs w:val="15"/>
                <w:color w:val="auto"/>
              </w:rPr>
            </w:pPr>
          </w:p>
        </w:tc>
        <w:tc>
          <w:tcPr>
            <w:tcW w:w="4480" w:type="dxa"/>
            <w:vAlign w:val="bottom"/>
          </w:tcPr>
          <w:p>
            <w:pPr>
              <w:ind w:left="4380"/>
              <w:spacing w:after="0" w:line="179" w:lineRule="exact"/>
              <w:rPr>
                <w:sz w:val="20"/>
                <w:szCs w:val="20"/>
                <w:color w:val="auto"/>
              </w:rPr>
            </w:pPr>
            <w:r>
              <w:rPr>
                <w:rFonts w:ascii="Courier New" w:cs="Courier New" w:eastAsia="Courier New" w:hAnsi="Courier New"/>
                <w:sz w:val="16"/>
                <w:szCs w:val="16"/>
                <w:color w:val="auto"/>
                <w:w w:val="82"/>
              </w:rPr>
              <w:t>$</w:t>
            </w: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2"/>
              </w:rPr>
              <w:t>1,606.1</w:t>
            </w:r>
          </w:p>
        </w:tc>
        <w:tc>
          <w:tcPr>
            <w:tcW w:w="10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$ 33.1</w:t>
            </w:r>
          </w:p>
        </w:tc>
      </w:tr>
      <w:tr>
        <w:trPr>
          <w:trHeight w:val="179"/>
        </w:trPr>
        <w:tc>
          <w:tcPr>
            <w:tcW w:w="360" w:type="dxa"/>
            <w:vAlign w:val="bottom"/>
          </w:tcPr>
          <w:p>
            <w:pPr>
              <w:spacing w:after="0"/>
              <w:rPr>
                <w:sz w:val="15"/>
                <w:szCs w:val="15"/>
                <w:color w:val="auto"/>
              </w:rPr>
            </w:pPr>
          </w:p>
        </w:tc>
        <w:tc>
          <w:tcPr>
            <w:tcW w:w="540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34"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Stock Purchase Plans</w:t>
      </w:r>
    </w:p>
    <w:p>
      <w:pPr>
        <w:spacing w:after="0" w:line="355"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MTI Stock Plans</w:t>
      </w:r>
    </w:p>
    <w:p>
      <w:pPr>
        <w:ind w:left="185" w:hanging="185"/>
        <w:spacing w:after="0" w:line="236" w:lineRule="auto"/>
        <w:tabs>
          <w:tab w:leader="none" w:pos="185"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ind w:left="185"/>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As of September 2, 1999, MTI had an aggregate of 44.8 million shares of MTI's</w:t>
      </w:r>
    </w:p>
    <w:p>
      <w:pPr>
        <w:spacing w:after="0" w:line="20" w:lineRule="exact"/>
        <w:rPr>
          <w:sz w:val="20"/>
          <w:szCs w:val="20"/>
          <w:color w:val="auto"/>
        </w:rPr>
      </w:pPr>
    </w:p>
    <w:p>
      <w:pPr>
        <w:ind w:left="5" w:right="2779"/>
        <w:spacing w:after="0" w:line="236" w:lineRule="auto"/>
        <w:rPr>
          <w:sz w:val="20"/>
          <w:szCs w:val="20"/>
          <w:color w:val="auto"/>
        </w:rPr>
      </w:pPr>
      <w:r>
        <w:rPr>
          <w:rFonts w:ascii="Courier New" w:cs="Courier New" w:eastAsia="Courier New" w:hAnsi="Courier New"/>
          <w:sz w:val="16"/>
          <w:szCs w:val="16"/>
          <w:color w:val="auto"/>
        </w:rPr>
        <w:t>common stock authorized for issuance under its various stock option plans. Options are subject to terms and conditions determined by the Board of Directors. Stock options granted after June 16, 1999, are exercisable in increments of 25% during each year of employment beginning one year from the date of grant. Stock options granted prior to June 16, 1999, are exercisable in increments of 20% during each year of employment beginning one year from the date of grant. All stock options issued prior to January 19, 1998, expire six years from the date of grant and all subsequent options granted expire 10 years from the date of grant.</w:t>
      </w:r>
    </w:p>
    <w:p>
      <w:pPr>
        <w:spacing w:after="0" w:line="179" w:lineRule="exact"/>
        <w:rPr>
          <w:sz w:val="20"/>
          <w:szCs w:val="20"/>
          <w:color w:val="auto"/>
        </w:rPr>
      </w:pPr>
    </w:p>
    <w:p>
      <w:pPr>
        <w:ind w:left="3345"/>
        <w:spacing w:after="0"/>
        <w:rPr>
          <w:sz w:val="20"/>
          <w:szCs w:val="20"/>
          <w:color w:val="auto"/>
        </w:rPr>
      </w:pPr>
      <w:r>
        <w:rPr>
          <w:rFonts w:ascii="Courier New" w:cs="Courier New" w:eastAsia="Courier New" w:hAnsi="Courier New"/>
          <w:sz w:val="16"/>
          <w:szCs w:val="16"/>
          <w:color w:val="auto"/>
        </w:rPr>
        <w:t>38/57</w:t>
      </w:r>
    </w:p>
    <w:p>
      <w:pPr>
        <w:sectPr>
          <w:pgSz w:w="11900" w:h="16838" w:orient="portrait"/>
          <w:cols w:equalWidth="0" w:num="1">
            <w:col w:w="10224"/>
          </w:cols>
          <w:pgMar w:left="235" w:top="648" w:right="1440" w:bottom="1440" w:gutter="0" w:footer="0" w:header="0"/>
        </w:sectPr>
      </w:pPr>
    </w:p>
    <w:bookmarkStart w:id="40" w:name="page41"/>
    <w:bookmarkEnd w:id="40"/>
    <w:p>
      <w:pPr>
        <w:ind w:left="185"/>
        <w:spacing w:after="0"/>
        <w:rPr>
          <w:sz w:val="20"/>
          <w:szCs w:val="20"/>
          <w:color w:val="auto"/>
        </w:rPr>
      </w:pPr>
      <w:r>
        <w:rPr>
          <w:rFonts w:ascii="Courier New" w:cs="Courier New" w:eastAsia="Courier New" w:hAnsi="Courier New"/>
          <w:sz w:val="16"/>
          <w:szCs w:val="16"/>
          <w:color w:val="auto"/>
        </w:rPr>
        <w:t>Option activity under MTI's stock option plans is summarized as follows:</w:t>
      </w:r>
    </w:p>
    <w:p>
      <w:pPr>
        <w:spacing w:after="0" w:line="200" w:lineRule="exact"/>
        <w:rPr>
          <w:sz w:val="20"/>
          <w:szCs w:val="20"/>
          <w:color w:val="auto"/>
        </w:rPr>
      </w:pPr>
    </w:p>
    <w:p>
      <w:pPr>
        <w:spacing w:after="0" w:line="334"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34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500" w:type="dxa"/>
            <w:vAlign w:val="bottom"/>
            <w:gridSpan w:val="2"/>
          </w:tcPr>
          <w:p>
            <w:pPr>
              <w:jc w:val="right"/>
              <w:ind w:right="342"/>
              <w:spacing w:after="0"/>
              <w:rPr>
                <w:sz w:val="20"/>
                <w:szCs w:val="20"/>
                <w:color w:val="auto"/>
              </w:rPr>
            </w:pPr>
            <w:r>
              <w:rPr>
                <w:rFonts w:ascii="Courier New" w:cs="Courier New" w:eastAsia="Courier New" w:hAnsi="Courier New"/>
                <w:sz w:val="16"/>
                <w:szCs w:val="16"/>
                <w:color w:val="auto"/>
              </w:rPr>
              <w:t>Fiscal year ended</w:t>
            </w:r>
          </w:p>
        </w:tc>
        <w:tc>
          <w:tcPr>
            <w:tcW w:w="11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9"/>
        </w:trPr>
        <w:tc>
          <w:tcPr>
            <w:tcW w:w="3440" w:type="dxa"/>
            <w:vAlign w:val="bottom"/>
          </w:tcPr>
          <w:p>
            <w:pPr>
              <w:spacing w:after="0"/>
              <w:rPr>
                <w:sz w:val="15"/>
                <w:szCs w:val="15"/>
                <w:color w:val="auto"/>
              </w:rPr>
            </w:pPr>
          </w:p>
        </w:tc>
        <w:tc>
          <w:tcPr>
            <w:tcW w:w="6880" w:type="dxa"/>
            <w:vAlign w:val="bottom"/>
            <w:gridSpan w:val="6"/>
          </w:tcPr>
          <w:p>
            <w:pPr>
              <w:jc w:val="right"/>
              <w:spacing w:after="0" w:line="179" w:lineRule="exact"/>
              <w:rPr>
                <w:sz w:val="20"/>
                <w:szCs w:val="20"/>
                <w:color w:val="auto"/>
              </w:rPr>
            </w:pPr>
            <w:r>
              <w:rPr>
                <w:rFonts w:ascii="Courier New" w:cs="Courier New" w:eastAsia="Courier New" w:hAnsi="Courier New"/>
                <w:sz w:val="16"/>
                <w:szCs w:val="16"/>
                <w:color w:val="auto"/>
                <w:w w:val="97"/>
              </w:rPr>
              <w:t>-------------------------------------------------------------------------</w:t>
            </w:r>
          </w:p>
        </w:tc>
      </w:tr>
      <w:tr>
        <w:trPr>
          <w:trHeight w:val="179"/>
        </w:trPr>
        <w:tc>
          <w:tcPr>
            <w:tcW w:w="3440" w:type="dxa"/>
            <w:vAlign w:val="bottom"/>
          </w:tcPr>
          <w:p>
            <w:pPr>
              <w:spacing w:after="0"/>
              <w:rPr>
                <w:sz w:val="15"/>
                <w:szCs w:val="15"/>
                <w:color w:val="auto"/>
              </w:rPr>
            </w:pPr>
          </w:p>
        </w:tc>
        <w:tc>
          <w:tcPr>
            <w:tcW w:w="228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September 2, 1999</w:t>
            </w:r>
          </w:p>
        </w:tc>
        <w:tc>
          <w:tcPr>
            <w:tcW w:w="2500" w:type="dxa"/>
            <w:vAlign w:val="bottom"/>
            <w:gridSpan w:val="2"/>
          </w:tcPr>
          <w:p>
            <w:pPr>
              <w:jc w:val="right"/>
              <w:ind w:right="342"/>
              <w:spacing w:after="0" w:line="179" w:lineRule="exact"/>
              <w:rPr>
                <w:sz w:val="20"/>
                <w:szCs w:val="20"/>
                <w:color w:val="auto"/>
              </w:rPr>
            </w:pPr>
            <w:r>
              <w:rPr>
                <w:rFonts w:ascii="Courier New" w:cs="Courier New" w:eastAsia="Courier New" w:hAnsi="Courier New"/>
                <w:sz w:val="16"/>
                <w:szCs w:val="16"/>
                <w:color w:val="auto"/>
              </w:rPr>
              <w:t>September 3, 1998</w:t>
            </w:r>
          </w:p>
        </w:tc>
        <w:tc>
          <w:tcPr>
            <w:tcW w:w="21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August 28, 1997</w:t>
            </w:r>
          </w:p>
        </w:tc>
      </w:tr>
      <w:tr>
        <w:trPr>
          <w:trHeight w:val="179"/>
        </w:trPr>
        <w:tc>
          <w:tcPr>
            <w:tcW w:w="3440" w:type="dxa"/>
            <w:vAlign w:val="bottom"/>
          </w:tcPr>
          <w:p>
            <w:pPr>
              <w:spacing w:after="0"/>
              <w:rPr>
                <w:sz w:val="15"/>
                <w:szCs w:val="15"/>
                <w:color w:val="auto"/>
              </w:rPr>
            </w:pPr>
          </w:p>
        </w:tc>
        <w:tc>
          <w:tcPr>
            <w:tcW w:w="2280" w:type="dxa"/>
            <w:vAlign w:val="bottom"/>
            <w:gridSpan w:val="2"/>
          </w:tcPr>
          <w:p>
            <w:pPr>
              <w:ind w:left="100"/>
              <w:spacing w:after="0" w:line="179" w:lineRule="exact"/>
              <w:rPr>
                <w:sz w:val="20"/>
                <w:szCs w:val="20"/>
                <w:color w:val="auto"/>
              </w:rPr>
            </w:pPr>
            <w:r>
              <w:rPr>
                <w:rFonts w:ascii="Courier New" w:cs="Courier New" w:eastAsia="Courier New" w:hAnsi="Courier New"/>
                <w:sz w:val="16"/>
                <w:szCs w:val="16"/>
                <w:color w:val="auto"/>
                <w:w w:val="97"/>
              </w:rPr>
              <w:t>-----------------------</w:t>
            </w:r>
          </w:p>
        </w:tc>
        <w:tc>
          <w:tcPr>
            <w:tcW w:w="2500" w:type="dxa"/>
            <w:vAlign w:val="bottom"/>
            <w:gridSpan w:val="2"/>
          </w:tcPr>
          <w:p>
            <w:pPr>
              <w:ind w:left="220"/>
              <w:spacing w:after="0" w:line="179" w:lineRule="exact"/>
              <w:rPr>
                <w:sz w:val="20"/>
                <w:szCs w:val="20"/>
                <w:color w:val="auto"/>
              </w:rPr>
            </w:pPr>
            <w:r>
              <w:rPr>
                <w:rFonts w:ascii="Courier New" w:cs="Courier New" w:eastAsia="Courier New" w:hAnsi="Courier New"/>
                <w:sz w:val="16"/>
                <w:szCs w:val="16"/>
                <w:color w:val="auto"/>
              </w:rPr>
              <w:t>-----------------------</w:t>
            </w:r>
          </w:p>
        </w:tc>
        <w:tc>
          <w:tcPr>
            <w:tcW w:w="21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4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3"/>
              </w:rPr>
              <w:t>Weighted</w:t>
            </w:r>
          </w:p>
        </w:tc>
        <w:tc>
          <w:tcPr>
            <w:tcW w:w="1260" w:type="dxa"/>
            <w:vAlign w:val="bottom"/>
          </w:tcPr>
          <w:p>
            <w:pPr>
              <w:spacing w:after="0"/>
              <w:rPr>
                <w:sz w:val="15"/>
                <w:szCs w:val="15"/>
                <w:color w:val="auto"/>
              </w:rPr>
            </w:pPr>
          </w:p>
        </w:tc>
        <w:tc>
          <w:tcPr>
            <w:tcW w:w="12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Weighted</w:t>
            </w:r>
          </w:p>
        </w:tc>
        <w:tc>
          <w:tcPr>
            <w:tcW w:w="1180" w:type="dxa"/>
            <w:vAlign w:val="bottom"/>
          </w:tcPr>
          <w:p>
            <w:pPr>
              <w:spacing w:after="0"/>
              <w:rPr>
                <w:sz w:val="15"/>
                <w:szCs w:val="15"/>
                <w:color w:val="auto"/>
              </w:rPr>
            </w:pPr>
          </w:p>
        </w:tc>
        <w:tc>
          <w:tcPr>
            <w:tcW w:w="9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Weighted</w:t>
            </w:r>
          </w:p>
        </w:tc>
      </w:tr>
      <w:tr>
        <w:trPr>
          <w:trHeight w:val="179"/>
        </w:trPr>
        <w:tc>
          <w:tcPr>
            <w:tcW w:w="34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average</w:t>
            </w:r>
          </w:p>
        </w:tc>
        <w:tc>
          <w:tcPr>
            <w:tcW w:w="1260" w:type="dxa"/>
            <w:vAlign w:val="bottom"/>
          </w:tcPr>
          <w:p>
            <w:pPr>
              <w:spacing w:after="0"/>
              <w:rPr>
                <w:sz w:val="15"/>
                <w:szCs w:val="15"/>
                <w:color w:val="auto"/>
              </w:rPr>
            </w:pPr>
          </w:p>
        </w:tc>
        <w:tc>
          <w:tcPr>
            <w:tcW w:w="12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average</w:t>
            </w:r>
          </w:p>
        </w:tc>
        <w:tc>
          <w:tcPr>
            <w:tcW w:w="1180" w:type="dxa"/>
            <w:vAlign w:val="bottom"/>
          </w:tcPr>
          <w:p>
            <w:pPr>
              <w:spacing w:after="0"/>
              <w:rPr>
                <w:sz w:val="15"/>
                <w:szCs w:val="15"/>
                <w:color w:val="auto"/>
              </w:rPr>
            </w:pPr>
          </w:p>
        </w:tc>
        <w:tc>
          <w:tcPr>
            <w:tcW w:w="9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average</w:t>
            </w:r>
          </w:p>
        </w:tc>
      </w:tr>
      <w:tr>
        <w:trPr>
          <w:trHeight w:val="179"/>
        </w:trPr>
        <w:tc>
          <w:tcPr>
            <w:tcW w:w="3440" w:type="dxa"/>
            <w:vAlign w:val="bottom"/>
          </w:tcPr>
          <w:p>
            <w:pPr>
              <w:spacing w:after="0"/>
              <w:rPr>
                <w:sz w:val="15"/>
                <w:szCs w:val="15"/>
                <w:color w:val="auto"/>
              </w:rPr>
            </w:pPr>
          </w:p>
        </w:tc>
        <w:tc>
          <w:tcPr>
            <w:tcW w:w="130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Number</w:t>
            </w: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3"/>
              </w:rPr>
              <w:t>exercise</w:t>
            </w:r>
          </w:p>
        </w:tc>
        <w:tc>
          <w:tcPr>
            <w:tcW w:w="12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Number</w:t>
            </w:r>
          </w:p>
        </w:tc>
        <w:tc>
          <w:tcPr>
            <w:tcW w:w="12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exercise</w:t>
            </w:r>
          </w:p>
        </w:tc>
        <w:tc>
          <w:tcPr>
            <w:tcW w:w="118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Number</w:t>
            </w:r>
          </w:p>
        </w:tc>
        <w:tc>
          <w:tcPr>
            <w:tcW w:w="9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exercise</w:t>
            </w:r>
          </w:p>
        </w:tc>
      </w:tr>
      <w:tr>
        <w:trPr>
          <w:trHeight w:val="179"/>
        </w:trPr>
        <w:tc>
          <w:tcPr>
            <w:tcW w:w="3440" w:type="dxa"/>
            <w:vAlign w:val="bottom"/>
          </w:tcPr>
          <w:p>
            <w:pPr>
              <w:spacing w:after="0"/>
              <w:rPr>
                <w:sz w:val="15"/>
                <w:szCs w:val="15"/>
                <w:color w:val="auto"/>
              </w:rPr>
            </w:pPr>
          </w:p>
        </w:tc>
        <w:tc>
          <w:tcPr>
            <w:tcW w:w="130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of shares</w:t>
            </w:r>
          </w:p>
        </w:tc>
        <w:tc>
          <w:tcPr>
            <w:tcW w:w="9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price</w:t>
            </w:r>
          </w:p>
        </w:tc>
        <w:tc>
          <w:tcPr>
            <w:tcW w:w="126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rPr>
              <w:t>of shares</w:t>
            </w:r>
          </w:p>
        </w:tc>
        <w:tc>
          <w:tcPr>
            <w:tcW w:w="124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price</w:t>
            </w:r>
          </w:p>
        </w:tc>
        <w:tc>
          <w:tcPr>
            <w:tcW w:w="11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of shares</w:t>
            </w:r>
          </w:p>
        </w:tc>
        <w:tc>
          <w:tcPr>
            <w:tcW w:w="9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price</w:t>
            </w:r>
          </w:p>
        </w:tc>
      </w:tr>
      <w:tr>
        <w:trPr>
          <w:trHeight w:val="179"/>
        </w:trPr>
        <w:tc>
          <w:tcPr>
            <w:tcW w:w="3440" w:type="dxa"/>
            <w:vAlign w:val="bottom"/>
          </w:tcPr>
          <w:p>
            <w:pPr>
              <w:spacing w:after="0"/>
              <w:rPr>
                <w:sz w:val="15"/>
                <w:szCs w:val="15"/>
                <w:color w:val="auto"/>
              </w:rPr>
            </w:pPr>
          </w:p>
        </w:tc>
        <w:tc>
          <w:tcPr>
            <w:tcW w:w="6880" w:type="dxa"/>
            <w:vAlign w:val="bottom"/>
            <w:gridSpan w:val="6"/>
          </w:tcPr>
          <w:p>
            <w:pPr>
              <w:jc w:val="right"/>
              <w:spacing w:after="0" w:line="179" w:lineRule="exact"/>
              <w:rPr>
                <w:sz w:val="20"/>
                <w:szCs w:val="20"/>
                <w:color w:val="auto"/>
              </w:rPr>
            </w:pPr>
            <w:r>
              <w:rPr>
                <w:rFonts w:ascii="Courier New" w:cs="Courier New" w:eastAsia="Courier New" w:hAnsi="Courier New"/>
                <w:sz w:val="16"/>
                <w:szCs w:val="16"/>
                <w:color w:val="auto"/>
                <w:w w:val="97"/>
              </w:rPr>
              <w:t>-------------------------------------------------------------------------</w:t>
            </w:r>
          </w:p>
        </w:tc>
      </w:tr>
      <w:tr>
        <w:trPr>
          <w:trHeight w:val="358"/>
        </w:trPr>
        <w:tc>
          <w:tcPr>
            <w:tcW w:w="3440" w:type="dxa"/>
            <w:vAlign w:val="bottom"/>
          </w:tcPr>
          <w:p>
            <w:pPr>
              <w:spacing w:after="0"/>
              <w:rPr>
                <w:sz w:val="20"/>
                <w:szCs w:val="20"/>
                <w:color w:val="auto"/>
              </w:rPr>
            </w:pPr>
            <w:r>
              <w:rPr>
                <w:rFonts w:ascii="Courier New" w:cs="Courier New" w:eastAsia="Courier New" w:hAnsi="Courier New"/>
                <w:sz w:val="16"/>
                <w:szCs w:val="16"/>
                <w:color w:val="auto"/>
                <w:w w:val="98"/>
              </w:rPr>
              <w:t>Outstanding at beginning of year....</w:t>
            </w:r>
          </w:p>
        </w:tc>
        <w:tc>
          <w:tcPr>
            <w:tcW w:w="13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22.1</w:t>
            </w: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$29.59</w:t>
            </w:r>
          </w:p>
        </w:tc>
        <w:tc>
          <w:tcPr>
            <w:tcW w:w="126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21.7</w:t>
            </w:r>
          </w:p>
        </w:tc>
        <w:tc>
          <w:tcPr>
            <w:tcW w:w="124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$28.85</w:t>
            </w:r>
          </w:p>
        </w:tc>
        <w:tc>
          <w:tcPr>
            <w:tcW w:w="11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14.5</w:t>
            </w:r>
          </w:p>
        </w:tc>
        <w:tc>
          <w:tcPr>
            <w:tcW w:w="9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$29.38</w:t>
            </w:r>
          </w:p>
        </w:tc>
      </w:tr>
      <w:tr>
        <w:trPr>
          <w:trHeight w:val="179"/>
        </w:trPr>
        <w:tc>
          <w:tcPr>
            <w:tcW w:w="3440" w:type="dxa"/>
            <w:vAlign w:val="bottom"/>
          </w:tcPr>
          <w:p>
            <w:pPr>
              <w:spacing w:after="0" w:line="179" w:lineRule="exact"/>
              <w:rPr>
                <w:sz w:val="20"/>
                <w:szCs w:val="20"/>
                <w:color w:val="auto"/>
              </w:rPr>
            </w:pPr>
            <w:r>
              <w:rPr>
                <w:rFonts w:ascii="Courier New" w:cs="Courier New" w:eastAsia="Courier New" w:hAnsi="Courier New"/>
                <w:sz w:val="16"/>
                <w:szCs w:val="16"/>
                <w:color w:val="auto"/>
              </w:rPr>
              <w:t>Options granted in conjunction with</w:t>
            </w:r>
          </w:p>
        </w:tc>
        <w:tc>
          <w:tcPr>
            <w:tcW w:w="1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9"/>
        </w:trPr>
        <w:tc>
          <w:tcPr>
            <w:tcW w:w="34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99"/>
              </w:rPr>
              <w:t>mergers and acquisitions...........</w:t>
            </w:r>
          </w:p>
        </w:tc>
        <w:tc>
          <w:tcPr>
            <w:tcW w:w="130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0.6</w:t>
            </w:r>
          </w:p>
        </w:tc>
        <w:tc>
          <w:tcPr>
            <w:tcW w:w="9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3.93</w:t>
            </w:r>
          </w:p>
        </w:tc>
        <w:tc>
          <w:tcPr>
            <w:tcW w:w="126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0.3</w:t>
            </w:r>
          </w:p>
        </w:tc>
        <w:tc>
          <w:tcPr>
            <w:tcW w:w="124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1.74</w:t>
            </w:r>
          </w:p>
        </w:tc>
        <w:tc>
          <w:tcPr>
            <w:tcW w:w="118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44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Granted.............................</w:t>
            </w:r>
          </w:p>
        </w:tc>
        <w:tc>
          <w:tcPr>
            <w:tcW w:w="130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9.0</w:t>
            </w:r>
          </w:p>
        </w:tc>
        <w:tc>
          <w:tcPr>
            <w:tcW w:w="9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31.10</w:t>
            </w:r>
          </w:p>
        </w:tc>
        <w:tc>
          <w:tcPr>
            <w:tcW w:w="126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2.0</w:t>
            </w:r>
          </w:p>
        </w:tc>
        <w:tc>
          <w:tcPr>
            <w:tcW w:w="124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30.37</w:t>
            </w:r>
          </w:p>
        </w:tc>
        <w:tc>
          <w:tcPr>
            <w:tcW w:w="118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14.3</w:t>
            </w:r>
          </w:p>
        </w:tc>
        <w:tc>
          <w:tcPr>
            <w:tcW w:w="9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36.57</w:t>
            </w:r>
          </w:p>
        </w:tc>
      </w:tr>
      <w:tr>
        <w:trPr>
          <w:trHeight w:val="179"/>
        </w:trPr>
        <w:tc>
          <w:tcPr>
            <w:tcW w:w="344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Terminated or cancelled.............</w:t>
            </w:r>
          </w:p>
        </w:tc>
        <w:tc>
          <w:tcPr>
            <w:tcW w:w="13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(1.1)</w:t>
            </w:r>
          </w:p>
        </w:tc>
        <w:tc>
          <w:tcPr>
            <w:tcW w:w="9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32.10</w:t>
            </w:r>
          </w:p>
        </w:tc>
        <w:tc>
          <w:tcPr>
            <w:tcW w:w="12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(0.6)</w:t>
            </w:r>
          </w:p>
        </w:tc>
        <w:tc>
          <w:tcPr>
            <w:tcW w:w="124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32.58</w:t>
            </w:r>
          </w:p>
        </w:tc>
        <w:tc>
          <w:tcPr>
            <w:tcW w:w="11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(4.9)</w:t>
            </w:r>
          </w:p>
        </w:tc>
        <w:tc>
          <w:tcPr>
            <w:tcW w:w="9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49.28</w:t>
            </w:r>
          </w:p>
        </w:tc>
      </w:tr>
      <w:tr>
        <w:trPr>
          <w:trHeight w:val="179"/>
        </w:trPr>
        <w:tc>
          <w:tcPr>
            <w:tcW w:w="344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Exercised...........................</w:t>
            </w:r>
          </w:p>
        </w:tc>
        <w:tc>
          <w:tcPr>
            <w:tcW w:w="13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(5.9)</w:t>
            </w:r>
          </w:p>
        </w:tc>
        <w:tc>
          <w:tcPr>
            <w:tcW w:w="9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18.99</w:t>
            </w:r>
          </w:p>
        </w:tc>
        <w:tc>
          <w:tcPr>
            <w:tcW w:w="12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(1.3)</w:t>
            </w:r>
          </w:p>
        </w:tc>
        <w:tc>
          <w:tcPr>
            <w:tcW w:w="124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9.96</w:t>
            </w:r>
          </w:p>
        </w:tc>
        <w:tc>
          <w:tcPr>
            <w:tcW w:w="11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(2.2)</w:t>
            </w:r>
          </w:p>
        </w:tc>
        <w:tc>
          <w:tcPr>
            <w:tcW w:w="9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11.94</w:t>
            </w:r>
          </w:p>
        </w:tc>
      </w:tr>
      <w:tr>
        <w:trPr>
          <w:trHeight w:val="179"/>
        </w:trPr>
        <w:tc>
          <w:tcPr>
            <w:tcW w:w="3440" w:type="dxa"/>
            <w:vAlign w:val="bottom"/>
          </w:tcPr>
          <w:p>
            <w:pPr>
              <w:spacing w:after="0"/>
              <w:rPr>
                <w:sz w:val="15"/>
                <w:szCs w:val="15"/>
                <w:color w:val="auto"/>
              </w:rPr>
            </w:pPr>
          </w:p>
        </w:tc>
        <w:tc>
          <w:tcPr>
            <w:tcW w:w="130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spacing w:after="0"/>
              <w:rPr>
                <w:sz w:val="15"/>
                <w:szCs w:val="15"/>
                <w:color w:val="auto"/>
              </w:rPr>
            </w:pPr>
          </w:p>
        </w:tc>
        <w:tc>
          <w:tcPr>
            <w:tcW w:w="126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tcPr>
          <w:p>
            <w:pPr>
              <w:spacing w:after="0"/>
              <w:rPr>
                <w:sz w:val="15"/>
                <w:szCs w:val="15"/>
                <w:color w:val="auto"/>
              </w:rPr>
            </w:pPr>
          </w:p>
        </w:tc>
        <w:tc>
          <w:tcPr>
            <w:tcW w:w="118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spacing w:after="0"/>
              <w:rPr>
                <w:sz w:val="15"/>
                <w:szCs w:val="15"/>
                <w:color w:val="auto"/>
              </w:rPr>
            </w:pPr>
          </w:p>
        </w:tc>
      </w:tr>
      <w:tr>
        <w:trPr>
          <w:trHeight w:val="179"/>
        </w:trPr>
        <w:tc>
          <w:tcPr>
            <w:tcW w:w="344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Outstanding at end of year..........</w:t>
            </w:r>
          </w:p>
        </w:tc>
        <w:tc>
          <w:tcPr>
            <w:tcW w:w="130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24.7</w:t>
            </w:r>
          </w:p>
        </w:tc>
        <w:tc>
          <w:tcPr>
            <w:tcW w:w="9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32.00</w:t>
            </w:r>
          </w:p>
        </w:tc>
        <w:tc>
          <w:tcPr>
            <w:tcW w:w="126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22.1</w:t>
            </w:r>
          </w:p>
        </w:tc>
        <w:tc>
          <w:tcPr>
            <w:tcW w:w="124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29.59</w:t>
            </w:r>
          </w:p>
        </w:tc>
        <w:tc>
          <w:tcPr>
            <w:tcW w:w="118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21.7</w:t>
            </w:r>
          </w:p>
        </w:tc>
        <w:tc>
          <w:tcPr>
            <w:tcW w:w="9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28.85</w:t>
            </w:r>
          </w:p>
        </w:tc>
      </w:tr>
      <w:tr>
        <w:trPr>
          <w:trHeight w:val="179"/>
        </w:trPr>
        <w:tc>
          <w:tcPr>
            <w:tcW w:w="3440" w:type="dxa"/>
            <w:vAlign w:val="bottom"/>
          </w:tcPr>
          <w:p>
            <w:pPr>
              <w:spacing w:after="0"/>
              <w:rPr>
                <w:sz w:val="15"/>
                <w:szCs w:val="15"/>
                <w:color w:val="auto"/>
              </w:rPr>
            </w:pPr>
          </w:p>
        </w:tc>
        <w:tc>
          <w:tcPr>
            <w:tcW w:w="130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spacing w:after="0"/>
              <w:rPr>
                <w:sz w:val="15"/>
                <w:szCs w:val="15"/>
                <w:color w:val="auto"/>
              </w:rPr>
            </w:pPr>
          </w:p>
        </w:tc>
        <w:tc>
          <w:tcPr>
            <w:tcW w:w="126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tcPr>
          <w:p>
            <w:pPr>
              <w:spacing w:after="0"/>
              <w:rPr>
                <w:sz w:val="15"/>
                <w:szCs w:val="15"/>
                <w:color w:val="auto"/>
              </w:rPr>
            </w:pPr>
          </w:p>
        </w:tc>
        <w:tc>
          <w:tcPr>
            <w:tcW w:w="118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spacing w:after="0"/>
              <w:rPr>
                <w:sz w:val="15"/>
                <w:szCs w:val="15"/>
                <w:color w:val="auto"/>
              </w:rPr>
            </w:pPr>
          </w:p>
        </w:tc>
      </w:tr>
      <w:tr>
        <w:trPr>
          <w:trHeight w:val="179"/>
        </w:trPr>
        <w:tc>
          <w:tcPr>
            <w:tcW w:w="344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Exercisable at end of year..........</w:t>
            </w:r>
          </w:p>
        </w:tc>
        <w:tc>
          <w:tcPr>
            <w:tcW w:w="130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7.4</w:t>
            </w:r>
          </w:p>
        </w:tc>
        <w:tc>
          <w:tcPr>
            <w:tcW w:w="9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30.00</w:t>
            </w:r>
          </w:p>
        </w:tc>
        <w:tc>
          <w:tcPr>
            <w:tcW w:w="126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8.9</w:t>
            </w:r>
          </w:p>
        </w:tc>
        <w:tc>
          <w:tcPr>
            <w:tcW w:w="124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22.80</w:t>
            </w:r>
          </w:p>
        </w:tc>
        <w:tc>
          <w:tcPr>
            <w:tcW w:w="118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5.3</w:t>
            </w:r>
          </w:p>
        </w:tc>
        <w:tc>
          <w:tcPr>
            <w:tcW w:w="9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17.63</w:t>
            </w:r>
          </w:p>
        </w:tc>
      </w:tr>
      <w:tr>
        <w:trPr>
          <w:trHeight w:val="179"/>
        </w:trPr>
        <w:tc>
          <w:tcPr>
            <w:tcW w:w="344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Shares available for future grants..</w:t>
            </w:r>
          </w:p>
        </w:tc>
        <w:tc>
          <w:tcPr>
            <w:tcW w:w="130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19.1</w:t>
            </w:r>
          </w:p>
        </w:tc>
        <w:tc>
          <w:tcPr>
            <w:tcW w:w="9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26.4</w:t>
            </w:r>
          </w:p>
        </w:tc>
        <w:tc>
          <w:tcPr>
            <w:tcW w:w="124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2.9</w:t>
            </w:r>
          </w:p>
        </w:tc>
        <w:tc>
          <w:tcPr>
            <w:tcW w:w="9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362" w:lineRule="exact"/>
        <w:rPr>
          <w:sz w:val="20"/>
          <w:szCs w:val="20"/>
          <w:color w:val="auto"/>
        </w:rPr>
      </w:pPr>
    </w:p>
    <w:p>
      <w:pPr>
        <w:ind w:left="5" w:right="3080" w:firstLine="186"/>
        <w:spacing w:after="0" w:line="283" w:lineRule="auto"/>
        <w:rPr>
          <w:sz w:val="20"/>
          <w:szCs w:val="20"/>
          <w:color w:val="auto"/>
        </w:rPr>
      </w:pPr>
      <w:r>
        <w:rPr>
          <w:rFonts w:ascii="Courier New" w:cs="Courier New" w:eastAsia="Courier New" w:hAnsi="Courier New"/>
          <w:sz w:val="14"/>
          <w:szCs w:val="14"/>
          <w:color w:val="auto"/>
        </w:rPr>
        <w:t>Options outstanding as of September 2, 1999, were at per share prices ranging from $0.55 to $69.75. Options exercised were at per share prices ranging from $0.55 to $45.78 in 1999, $1.50 to $31.65 in 1998 and $1.72 to $37.87 in 1997.</w:t>
      </w:r>
    </w:p>
    <w:p>
      <w:pPr>
        <w:spacing w:after="0" w:line="148" w:lineRule="exact"/>
        <w:rPr>
          <w:sz w:val="20"/>
          <w:szCs w:val="20"/>
          <w:color w:val="auto"/>
        </w:rPr>
      </w:pPr>
    </w:p>
    <w:p>
      <w:pPr>
        <w:ind w:left="185"/>
        <w:spacing w:after="0"/>
        <w:rPr>
          <w:sz w:val="20"/>
          <w:szCs w:val="20"/>
          <w:color w:val="auto"/>
        </w:rPr>
      </w:pPr>
      <w:r>
        <w:rPr>
          <w:rFonts w:ascii="Courier New" w:cs="Courier New" w:eastAsia="Courier New" w:hAnsi="Courier New"/>
          <w:sz w:val="16"/>
          <w:szCs w:val="16"/>
          <w:color w:val="auto"/>
        </w:rPr>
        <w:t>The following table summarizes information about MTI options outstanding as of</w:t>
      </w:r>
    </w:p>
    <w:p>
      <w:pPr>
        <w:ind w:left="5"/>
        <w:spacing w:after="0" w:line="236" w:lineRule="auto"/>
        <w:rPr>
          <w:sz w:val="20"/>
          <w:szCs w:val="20"/>
          <w:color w:val="auto"/>
        </w:rPr>
      </w:pPr>
      <w:r>
        <w:rPr>
          <w:rFonts w:ascii="Courier New" w:cs="Courier New" w:eastAsia="Courier New" w:hAnsi="Courier New"/>
          <w:sz w:val="16"/>
          <w:szCs w:val="16"/>
          <w:color w:val="auto"/>
        </w:rPr>
        <w:t>September 2, 1999:</w:t>
      </w:r>
    </w:p>
    <w:p>
      <w:pPr>
        <w:spacing w:after="0" w:line="200" w:lineRule="exact"/>
        <w:rPr>
          <w:sz w:val="20"/>
          <w:szCs w:val="20"/>
          <w:color w:val="auto"/>
        </w:rPr>
      </w:pPr>
    </w:p>
    <w:p>
      <w:pPr>
        <w:spacing w:after="0" w:line="335" w:lineRule="exact"/>
        <w:rPr>
          <w:sz w:val="20"/>
          <w:szCs w:val="20"/>
          <w:color w:val="auto"/>
        </w:rPr>
      </w:pPr>
    </w:p>
    <w:p>
      <w:pPr>
        <w:ind w:left="4085"/>
        <w:spacing w:after="0"/>
        <w:tabs>
          <w:tab w:leader="none" w:pos="7984" w:val="left"/>
        </w:tabs>
        <w:rPr>
          <w:sz w:val="20"/>
          <w:szCs w:val="20"/>
          <w:color w:val="auto"/>
        </w:rPr>
      </w:pPr>
      <w:r>
        <w:rPr>
          <w:rFonts w:ascii="Courier New" w:cs="Courier New" w:eastAsia="Courier New" w:hAnsi="Courier New"/>
          <w:sz w:val="16"/>
          <w:szCs w:val="16"/>
          <w:color w:val="auto"/>
        </w:rPr>
        <w:t>MTI Outstanding options</w:t>
      </w:r>
      <w:r>
        <w:rPr>
          <w:sz w:val="20"/>
          <w:szCs w:val="20"/>
          <w:color w:val="auto"/>
        </w:rPr>
        <w:tab/>
      </w:r>
      <w:r>
        <w:rPr>
          <w:rFonts w:ascii="Courier New" w:cs="Courier New" w:eastAsia="Courier New" w:hAnsi="Courier New"/>
          <w:sz w:val="14"/>
          <w:szCs w:val="14"/>
          <w:color w:val="auto"/>
        </w:rPr>
        <w:t>MTI Exercisable options</w:t>
      </w:r>
    </w:p>
    <w:p>
      <w:pPr>
        <w:spacing w:after="0" w:line="4" w:lineRule="exact"/>
        <w:rPr>
          <w:sz w:val="20"/>
          <w:szCs w:val="20"/>
          <w:color w:val="auto"/>
        </w:rPr>
      </w:pPr>
    </w:p>
    <w:p>
      <w:pPr>
        <w:ind w:left="185" w:hanging="185"/>
        <w:spacing w:after="0"/>
        <w:tabs>
          <w:tab w:leader="none" w:pos="185"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4465" w:right="5220"/>
        <w:spacing w:after="0" w:line="27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Weighted average</w:t>
      </w:r>
    </w:p>
    <w:tbl>
      <w:tblPr>
        <w:tblLayout w:type="fixed"/>
        <w:tblInd w:w="5" w:type="dxa"/>
        <w:tblCellMar>
          <w:top w:w="0" w:type="dxa"/>
          <w:left w:w="0" w:type="dxa"/>
          <w:bottom w:w="0" w:type="dxa"/>
          <w:right w:w="0" w:type="dxa"/>
        </w:tblCellMar>
      </w:tblPr>
      <w:tr>
        <w:trPr>
          <w:trHeight w:val="176"/>
        </w:trPr>
        <w:tc>
          <w:tcPr>
            <w:tcW w:w="25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720" w:type="dxa"/>
            <w:vAlign w:val="bottom"/>
          </w:tcPr>
          <w:p>
            <w:pPr>
              <w:jc w:val="right"/>
              <w:ind w:right="442"/>
              <w:spacing w:after="0" w:line="176" w:lineRule="exact"/>
              <w:rPr>
                <w:sz w:val="20"/>
                <w:szCs w:val="20"/>
                <w:color w:val="auto"/>
              </w:rPr>
            </w:pPr>
            <w:r>
              <w:rPr>
                <w:rFonts w:ascii="Courier New" w:cs="Courier New" w:eastAsia="Courier New" w:hAnsi="Courier New"/>
                <w:sz w:val="16"/>
                <w:szCs w:val="16"/>
                <w:color w:val="auto"/>
              </w:rPr>
              <w:t>remaining</w:t>
            </w:r>
          </w:p>
        </w:tc>
        <w:tc>
          <w:tcPr>
            <w:tcW w:w="1680" w:type="dxa"/>
            <w:vAlign w:val="bottom"/>
          </w:tcPr>
          <w:p>
            <w:pPr>
              <w:ind w:left="420"/>
              <w:spacing w:after="0" w:line="176" w:lineRule="exact"/>
              <w:rPr>
                <w:sz w:val="20"/>
                <w:szCs w:val="20"/>
                <w:color w:val="auto"/>
              </w:rPr>
            </w:pPr>
            <w:r>
              <w:rPr>
                <w:rFonts w:ascii="Courier New" w:cs="Courier New" w:eastAsia="Courier New" w:hAnsi="Courier New"/>
                <w:sz w:val="16"/>
                <w:szCs w:val="16"/>
                <w:color w:val="auto"/>
              </w:rPr>
              <w:t>Weighted</w:t>
            </w:r>
          </w:p>
        </w:tc>
        <w:tc>
          <w:tcPr>
            <w:tcW w:w="1720" w:type="dxa"/>
            <w:vAlign w:val="bottom"/>
          </w:tcPr>
          <w:p>
            <w:pPr>
              <w:spacing w:after="0"/>
              <w:rPr>
                <w:sz w:val="15"/>
                <w:szCs w:val="15"/>
                <w:color w:val="auto"/>
              </w:rPr>
            </w:pPr>
          </w:p>
        </w:tc>
        <w:tc>
          <w:tcPr>
            <w:tcW w:w="1100" w:type="dxa"/>
            <w:vAlign w:val="bottom"/>
          </w:tcPr>
          <w:p>
            <w:pPr>
              <w:ind w:left="360"/>
              <w:spacing w:after="0" w:line="176" w:lineRule="exact"/>
              <w:rPr>
                <w:sz w:val="20"/>
                <w:szCs w:val="20"/>
                <w:color w:val="auto"/>
              </w:rPr>
            </w:pPr>
            <w:r>
              <w:rPr>
                <w:rFonts w:ascii="Courier New" w:cs="Courier New" w:eastAsia="Courier New" w:hAnsi="Courier New"/>
                <w:sz w:val="16"/>
                <w:szCs w:val="16"/>
                <w:color w:val="auto"/>
                <w:w w:val="93"/>
              </w:rPr>
              <w:t>Weighted</w:t>
            </w:r>
          </w:p>
        </w:tc>
      </w:tr>
      <w:tr>
        <w:trPr>
          <w:trHeight w:val="179"/>
        </w:trPr>
        <w:tc>
          <w:tcPr>
            <w:tcW w:w="25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7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contractual</w:t>
            </w:r>
          </w:p>
        </w:tc>
        <w:tc>
          <w:tcPr>
            <w:tcW w:w="1680" w:type="dxa"/>
            <w:vAlign w:val="bottom"/>
          </w:tcPr>
          <w:p>
            <w:pPr>
              <w:ind w:left="420"/>
              <w:spacing w:after="0" w:line="179" w:lineRule="exact"/>
              <w:rPr>
                <w:sz w:val="20"/>
                <w:szCs w:val="20"/>
                <w:color w:val="auto"/>
              </w:rPr>
            </w:pPr>
            <w:r>
              <w:rPr>
                <w:rFonts w:ascii="Courier New" w:cs="Courier New" w:eastAsia="Courier New" w:hAnsi="Courier New"/>
                <w:sz w:val="16"/>
                <w:szCs w:val="16"/>
                <w:color w:val="auto"/>
              </w:rPr>
              <w:t>average</w:t>
            </w:r>
          </w:p>
        </w:tc>
        <w:tc>
          <w:tcPr>
            <w:tcW w:w="1720" w:type="dxa"/>
            <w:vAlign w:val="bottom"/>
          </w:tcPr>
          <w:p>
            <w:pPr>
              <w:spacing w:after="0"/>
              <w:rPr>
                <w:sz w:val="15"/>
                <w:szCs w:val="15"/>
                <w:color w:val="auto"/>
              </w:rPr>
            </w:pPr>
          </w:p>
        </w:tc>
        <w:tc>
          <w:tcPr>
            <w:tcW w:w="110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average</w:t>
            </w:r>
          </w:p>
        </w:tc>
      </w:tr>
      <w:tr>
        <w:trPr>
          <w:trHeight w:val="179"/>
        </w:trPr>
        <w:tc>
          <w:tcPr>
            <w:tcW w:w="2560" w:type="dxa"/>
            <w:vAlign w:val="bottom"/>
          </w:tcPr>
          <w:p>
            <w:pPr>
              <w:spacing w:after="0"/>
              <w:rPr>
                <w:sz w:val="15"/>
                <w:szCs w:val="15"/>
                <w:color w:val="auto"/>
              </w:rPr>
            </w:pPr>
          </w:p>
        </w:tc>
        <w:tc>
          <w:tcPr>
            <w:tcW w:w="1440" w:type="dxa"/>
            <w:vAlign w:val="bottom"/>
          </w:tcPr>
          <w:p>
            <w:pPr>
              <w:ind w:left="500"/>
              <w:spacing w:after="0" w:line="179" w:lineRule="exact"/>
              <w:rPr>
                <w:sz w:val="20"/>
                <w:szCs w:val="20"/>
                <w:color w:val="auto"/>
              </w:rPr>
            </w:pPr>
            <w:r>
              <w:rPr>
                <w:rFonts w:ascii="Courier New" w:cs="Courier New" w:eastAsia="Courier New" w:hAnsi="Courier New"/>
                <w:sz w:val="16"/>
                <w:szCs w:val="16"/>
                <w:color w:val="auto"/>
              </w:rPr>
              <w:t>Number</w:t>
            </w:r>
          </w:p>
        </w:tc>
        <w:tc>
          <w:tcPr>
            <w:tcW w:w="172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life (in</w:t>
            </w:r>
          </w:p>
        </w:tc>
        <w:tc>
          <w:tcPr>
            <w:tcW w:w="1680" w:type="dxa"/>
            <w:vAlign w:val="bottom"/>
          </w:tcPr>
          <w:p>
            <w:pPr>
              <w:ind w:left="420"/>
              <w:spacing w:after="0" w:line="179" w:lineRule="exact"/>
              <w:rPr>
                <w:sz w:val="20"/>
                <w:szCs w:val="20"/>
                <w:color w:val="auto"/>
              </w:rPr>
            </w:pPr>
            <w:r>
              <w:rPr>
                <w:rFonts w:ascii="Courier New" w:cs="Courier New" w:eastAsia="Courier New" w:hAnsi="Courier New"/>
                <w:sz w:val="16"/>
                <w:szCs w:val="16"/>
                <w:color w:val="auto"/>
              </w:rPr>
              <w:t>exercise</w:t>
            </w:r>
          </w:p>
        </w:tc>
        <w:tc>
          <w:tcPr>
            <w:tcW w:w="1720" w:type="dxa"/>
            <w:vAlign w:val="bottom"/>
          </w:tcPr>
          <w:p>
            <w:pPr>
              <w:ind w:left="680"/>
              <w:spacing w:after="0" w:line="179" w:lineRule="exact"/>
              <w:rPr>
                <w:sz w:val="20"/>
                <w:szCs w:val="20"/>
                <w:color w:val="auto"/>
              </w:rPr>
            </w:pPr>
            <w:r>
              <w:rPr>
                <w:rFonts w:ascii="Courier New" w:cs="Courier New" w:eastAsia="Courier New" w:hAnsi="Courier New"/>
                <w:sz w:val="16"/>
                <w:szCs w:val="16"/>
                <w:color w:val="auto"/>
              </w:rPr>
              <w:t>Number</w:t>
            </w:r>
          </w:p>
        </w:tc>
        <w:tc>
          <w:tcPr>
            <w:tcW w:w="110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w w:val="93"/>
              </w:rPr>
              <w:t>exercise</w:t>
            </w:r>
          </w:p>
        </w:tc>
      </w:tr>
      <w:tr>
        <w:trPr>
          <w:trHeight w:val="179"/>
        </w:trPr>
        <w:tc>
          <w:tcPr>
            <w:tcW w:w="2560" w:type="dxa"/>
            <w:vAlign w:val="bottom"/>
          </w:tcPr>
          <w:p>
            <w:pPr>
              <w:spacing w:after="0" w:line="179" w:lineRule="exact"/>
              <w:rPr>
                <w:sz w:val="20"/>
                <w:szCs w:val="20"/>
                <w:color w:val="auto"/>
              </w:rPr>
            </w:pPr>
            <w:r>
              <w:rPr>
                <w:rFonts w:ascii="Courier New" w:cs="Courier New" w:eastAsia="Courier New" w:hAnsi="Courier New"/>
                <w:sz w:val="16"/>
                <w:szCs w:val="16"/>
                <w:color w:val="auto"/>
              </w:rPr>
              <w:t>Range of exercise prices</w:t>
            </w:r>
          </w:p>
        </w:tc>
        <w:tc>
          <w:tcPr>
            <w:tcW w:w="144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of shares</w:t>
            </w:r>
          </w:p>
        </w:tc>
        <w:tc>
          <w:tcPr>
            <w:tcW w:w="1720" w:type="dxa"/>
            <w:vAlign w:val="bottom"/>
          </w:tcPr>
          <w:p>
            <w:pPr>
              <w:jc w:val="right"/>
              <w:ind w:right="522"/>
              <w:spacing w:after="0" w:line="179" w:lineRule="exact"/>
              <w:rPr>
                <w:sz w:val="20"/>
                <w:szCs w:val="20"/>
                <w:color w:val="auto"/>
              </w:rPr>
            </w:pPr>
            <w:r>
              <w:rPr>
                <w:rFonts w:ascii="Courier New" w:cs="Courier New" w:eastAsia="Courier New" w:hAnsi="Courier New"/>
                <w:sz w:val="16"/>
                <w:szCs w:val="16"/>
                <w:color w:val="auto"/>
              </w:rPr>
              <w:t>years)</w:t>
            </w:r>
          </w:p>
        </w:tc>
        <w:tc>
          <w:tcPr>
            <w:tcW w:w="1680" w:type="dxa"/>
            <w:vAlign w:val="bottom"/>
          </w:tcPr>
          <w:p>
            <w:pPr>
              <w:ind w:left="500"/>
              <w:spacing w:after="0" w:line="179" w:lineRule="exact"/>
              <w:rPr>
                <w:sz w:val="20"/>
                <w:szCs w:val="20"/>
                <w:color w:val="auto"/>
              </w:rPr>
            </w:pPr>
            <w:r>
              <w:rPr>
                <w:rFonts w:ascii="Courier New" w:cs="Courier New" w:eastAsia="Courier New" w:hAnsi="Courier New"/>
                <w:sz w:val="16"/>
                <w:szCs w:val="16"/>
                <w:color w:val="auto"/>
              </w:rPr>
              <w:t>price</w:t>
            </w:r>
          </w:p>
        </w:tc>
        <w:tc>
          <w:tcPr>
            <w:tcW w:w="1720" w:type="dxa"/>
            <w:vAlign w:val="bottom"/>
          </w:tcPr>
          <w:p>
            <w:pPr>
              <w:ind w:left="500"/>
              <w:spacing w:after="0" w:line="179" w:lineRule="exact"/>
              <w:rPr>
                <w:sz w:val="20"/>
                <w:szCs w:val="20"/>
                <w:color w:val="auto"/>
              </w:rPr>
            </w:pPr>
            <w:r>
              <w:rPr>
                <w:rFonts w:ascii="Courier New" w:cs="Courier New" w:eastAsia="Courier New" w:hAnsi="Courier New"/>
                <w:sz w:val="16"/>
                <w:szCs w:val="16"/>
                <w:color w:val="auto"/>
              </w:rPr>
              <w:t>of shares</w:t>
            </w:r>
          </w:p>
        </w:tc>
        <w:tc>
          <w:tcPr>
            <w:tcW w:w="110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price</w:t>
            </w:r>
          </w:p>
        </w:tc>
      </w:tr>
    </w:tbl>
    <w:p>
      <w:pPr>
        <w:spacing w:after="0" w:line="4"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 --------------------------------------------------------------------------------------------------------------</w:t>
      </w:r>
    </w:p>
    <w:p>
      <w:pPr>
        <w:spacing w:after="0" w:line="193"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560" w:type="dxa"/>
            <w:vAlign w:val="bottom"/>
          </w:tcPr>
          <w:p>
            <w:pPr>
              <w:spacing w:after="0"/>
              <w:rPr>
                <w:sz w:val="20"/>
                <w:szCs w:val="20"/>
                <w:color w:val="auto"/>
              </w:rPr>
            </w:pPr>
            <w:r>
              <w:rPr>
                <w:rFonts w:ascii="Courier New" w:cs="Courier New" w:eastAsia="Courier New" w:hAnsi="Courier New"/>
                <w:sz w:val="16"/>
                <w:szCs w:val="16"/>
                <w:color w:val="auto"/>
              </w:rPr>
              <w:t>$0.55</w:t>
            </w:r>
          </w:p>
        </w:tc>
        <w:tc>
          <w:tcPr>
            <w:tcW w:w="1720" w:type="dxa"/>
            <w:vAlign w:val="bottom"/>
          </w:tcPr>
          <w:p>
            <w:pPr>
              <w:spacing w:after="0"/>
              <w:rPr>
                <w:sz w:val="20"/>
                <w:szCs w:val="20"/>
                <w:color w:val="auto"/>
              </w:rPr>
            </w:pPr>
            <w:r>
              <w:rPr>
                <w:rFonts w:ascii="Courier New" w:cs="Courier New" w:eastAsia="Courier New" w:hAnsi="Courier New"/>
                <w:sz w:val="16"/>
                <w:szCs w:val="16"/>
                <w:color w:val="auto"/>
              </w:rPr>
              <w:t>- $9.60</w:t>
            </w:r>
          </w:p>
        </w:tc>
        <w:tc>
          <w:tcPr>
            <w:tcW w:w="1800" w:type="dxa"/>
            <w:vAlign w:val="bottom"/>
          </w:tcPr>
          <w:p>
            <w:pPr>
              <w:jc w:val="right"/>
              <w:ind w:right="462"/>
              <w:spacing w:after="0"/>
              <w:rPr>
                <w:sz w:val="20"/>
                <w:szCs w:val="20"/>
                <w:color w:val="auto"/>
              </w:rPr>
            </w:pPr>
            <w:r>
              <w:rPr>
                <w:rFonts w:ascii="Courier New" w:cs="Courier New" w:eastAsia="Courier New" w:hAnsi="Courier New"/>
                <w:sz w:val="16"/>
                <w:szCs w:val="16"/>
                <w:color w:val="auto"/>
              </w:rPr>
              <w:t>0.7</w:t>
            </w:r>
          </w:p>
        </w:tc>
        <w:tc>
          <w:tcPr>
            <w:tcW w:w="1460" w:type="dxa"/>
            <w:vAlign w:val="bottom"/>
          </w:tcPr>
          <w:p>
            <w:pPr>
              <w:jc w:val="right"/>
              <w:ind w:right="542"/>
              <w:spacing w:after="0"/>
              <w:rPr>
                <w:sz w:val="20"/>
                <w:szCs w:val="20"/>
                <w:color w:val="auto"/>
              </w:rPr>
            </w:pPr>
            <w:r>
              <w:rPr>
                <w:rFonts w:ascii="Courier New" w:cs="Courier New" w:eastAsia="Courier New" w:hAnsi="Courier New"/>
                <w:sz w:val="16"/>
                <w:szCs w:val="16"/>
                <w:color w:val="auto"/>
              </w:rPr>
              <w:t>5.0</w:t>
            </w:r>
          </w:p>
        </w:tc>
        <w:tc>
          <w:tcPr>
            <w:tcW w:w="1900" w:type="dxa"/>
            <w:vAlign w:val="bottom"/>
          </w:tcPr>
          <w:p>
            <w:pPr>
              <w:jc w:val="right"/>
              <w:ind w:right="662"/>
              <w:spacing w:after="0"/>
              <w:rPr>
                <w:sz w:val="20"/>
                <w:szCs w:val="20"/>
                <w:color w:val="auto"/>
              </w:rPr>
            </w:pPr>
            <w:r>
              <w:rPr>
                <w:rFonts w:ascii="Courier New" w:cs="Courier New" w:eastAsia="Courier New" w:hAnsi="Courier New"/>
                <w:sz w:val="16"/>
                <w:szCs w:val="16"/>
                <w:color w:val="auto"/>
              </w:rPr>
              <w:t>$ 3.53</w:t>
            </w:r>
          </w:p>
        </w:tc>
        <w:tc>
          <w:tcPr>
            <w:tcW w:w="158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0.5</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$ 3.87</w:t>
            </w:r>
          </w:p>
        </w:tc>
      </w:tr>
      <w:tr>
        <w:trPr>
          <w:trHeight w:val="179"/>
        </w:trPr>
        <w:tc>
          <w:tcPr>
            <w:tcW w:w="560" w:type="dxa"/>
            <w:vAlign w:val="bottom"/>
          </w:tcPr>
          <w:p>
            <w:pPr>
              <w:spacing w:after="0" w:line="179" w:lineRule="exact"/>
              <w:rPr>
                <w:sz w:val="20"/>
                <w:szCs w:val="20"/>
                <w:color w:val="auto"/>
              </w:rPr>
            </w:pPr>
            <w:r>
              <w:rPr>
                <w:rFonts w:ascii="Courier New" w:cs="Courier New" w:eastAsia="Courier New" w:hAnsi="Courier New"/>
                <w:sz w:val="16"/>
                <w:szCs w:val="16"/>
                <w:color w:val="auto"/>
              </w:rPr>
              <w:t>$9.63</w:t>
            </w:r>
          </w:p>
        </w:tc>
        <w:tc>
          <w:tcPr>
            <w:tcW w:w="1720" w:type="dxa"/>
            <w:vAlign w:val="bottom"/>
          </w:tcPr>
          <w:p>
            <w:pPr>
              <w:spacing w:after="0" w:line="179" w:lineRule="exact"/>
              <w:rPr>
                <w:sz w:val="20"/>
                <w:szCs w:val="20"/>
                <w:color w:val="auto"/>
              </w:rPr>
            </w:pPr>
            <w:r>
              <w:rPr>
                <w:rFonts w:ascii="Courier New" w:cs="Courier New" w:eastAsia="Courier New" w:hAnsi="Courier New"/>
                <w:sz w:val="16"/>
                <w:szCs w:val="16"/>
                <w:color w:val="auto"/>
              </w:rPr>
              <w:t>- $19.98</w:t>
            </w:r>
          </w:p>
        </w:tc>
        <w:tc>
          <w:tcPr>
            <w:tcW w:w="1800" w:type="dxa"/>
            <w:vAlign w:val="bottom"/>
          </w:tcPr>
          <w:p>
            <w:pPr>
              <w:jc w:val="right"/>
              <w:ind w:right="462"/>
              <w:spacing w:after="0" w:line="179" w:lineRule="exact"/>
              <w:rPr>
                <w:sz w:val="20"/>
                <w:szCs w:val="20"/>
                <w:color w:val="auto"/>
              </w:rPr>
            </w:pPr>
            <w:r>
              <w:rPr>
                <w:rFonts w:ascii="Courier New" w:cs="Courier New" w:eastAsia="Courier New" w:hAnsi="Courier New"/>
                <w:sz w:val="16"/>
                <w:szCs w:val="16"/>
                <w:color w:val="auto"/>
              </w:rPr>
              <w:t>1.3</w:t>
            </w:r>
          </w:p>
        </w:tc>
        <w:tc>
          <w:tcPr>
            <w:tcW w:w="1460" w:type="dxa"/>
            <w:vAlign w:val="bottom"/>
          </w:tcPr>
          <w:p>
            <w:pPr>
              <w:jc w:val="right"/>
              <w:ind w:right="542"/>
              <w:spacing w:after="0" w:line="179" w:lineRule="exact"/>
              <w:rPr>
                <w:sz w:val="20"/>
                <w:szCs w:val="20"/>
                <w:color w:val="auto"/>
              </w:rPr>
            </w:pPr>
            <w:r>
              <w:rPr>
                <w:rFonts w:ascii="Courier New" w:cs="Courier New" w:eastAsia="Courier New" w:hAnsi="Courier New"/>
                <w:sz w:val="16"/>
                <w:szCs w:val="16"/>
                <w:color w:val="auto"/>
              </w:rPr>
              <w:t>2.8</w:t>
            </w:r>
          </w:p>
        </w:tc>
        <w:tc>
          <w:tcPr>
            <w:tcW w:w="190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rPr>
              <w:t>16.05</w:t>
            </w:r>
          </w:p>
        </w:tc>
        <w:tc>
          <w:tcPr>
            <w:tcW w:w="15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0.8</w:t>
            </w: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15.90</w:t>
            </w:r>
          </w:p>
        </w:tc>
      </w:tr>
      <w:tr>
        <w:trPr>
          <w:trHeight w:val="179"/>
        </w:trPr>
        <w:tc>
          <w:tcPr>
            <w:tcW w:w="560" w:type="dxa"/>
            <w:vAlign w:val="bottom"/>
          </w:tcPr>
          <w:p>
            <w:pPr>
              <w:spacing w:after="0" w:line="179" w:lineRule="exact"/>
              <w:rPr>
                <w:sz w:val="20"/>
                <w:szCs w:val="20"/>
                <w:color w:val="auto"/>
              </w:rPr>
            </w:pPr>
            <w:r>
              <w:rPr>
                <w:rFonts w:ascii="Courier New" w:cs="Courier New" w:eastAsia="Courier New" w:hAnsi="Courier New"/>
                <w:sz w:val="16"/>
                <w:szCs w:val="16"/>
                <w:color w:val="auto"/>
                <w:w w:val="93"/>
              </w:rPr>
              <w:t>$20.03</w:t>
            </w:r>
          </w:p>
        </w:tc>
        <w:tc>
          <w:tcPr>
            <w:tcW w:w="1720" w:type="dxa"/>
            <w:vAlign w:val="bottom"/>
          </w:tcPr>
          <w:p>
            <w:pPr>
              <w:jc w:val="right"/>
              <w:ind w:right="802"/>
              <w:spacing w:after="0" w:line="179" w:lineRule="exact"/>
              <w:rPr>
                <w:sz w:val="20"/>
                <w:szCs w:val="20"/>
                <w:color w:val="auto"/>
              </w:rPr>
            </w:pPr>
            <w:r>
              <w:rPr>
                <w:rFonts w:ascii="Courier New" w:cs="Courier New" w:eastAsia="Courier New" w:hAnsi="Courier New"/>
                <w:sz w:val="16"/>
                <w:szCs w:val="16"/>
                <w:color w:val="auto"/>
              </w:rPr>
              <w:t>- $29.94</w:t>
            </w:r>
          </w:p>
        </w:tc>
        <w:tc>
          <w:tcPr>
            <w:tcW w:w="1800" w:type="dxa"/>
            <w:vAlign w:val="bottom"/>
          </w:tcPr>
          <w:p>
            <w:pPr>
              <w:jc w:val="right"/>
              <w:ind w:right="462"/>
              <w:spacing w:after="0" w:line="179" w:lineRule="exact"/>
              <w:rPr>
                <w:sz w:val="20"/>
                <w:szCs w:val="20"/>
                <w:color w:val="auto"/>
              </w:rPr>
            </w:pPr>
            <w:r>
              <w:rPr>
                <w:rFonts w:ascii="Courier New" w:cs="Courier New" w:eastAsia="Courier New" w:hAnsi="Courier New"/>
                <w:sz w:val="16"/>
                <w:szCs w:val="16"/>
                <w:color w:val="auto"/>
              </w:rPr>
              <w:t>12.3</w:t>
            </w:r>
          </w:p>
        </w:tc>
        <w:tc>
          <w:tcPr>
            <w:tcW w:w="1460" w:type="dxa"/>
            <w:vAlign w:val="bottom"/>
          </w:tcPr>
          <w:p>
            <w:pPr>
              <w:jc w:val="right"/>
              <w:ind w:right="542"/>
              <w:spacing w:after="0" w:line="179" w:lineRule="exact"/>
              <w:rPr>
                <w:sz w:val="20"/>
                <w:szCs w:val="20"/>
                <w:color w:val="auto"/>
              </w:rPr>
            </w:pPr>
            <w:r>
              <w:rPr>
                <w:rFonts w:ascii="Courier New" w:cs="Courier New" w:eastAsia="Courier New" w:hAnsi="Courier New"/>
                <w:sz w:val="16"/>
                <w:szCs w:val="16"/>
                <w:color w:val="auto"/>
              </w:rPr>
              <w:t>6.7</w:t>
            </w:r>
          </w:p>
        </w:tc>
        <w:tc>
          <w:tcPr>
            <w:tcW w:w="190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rPr>
              <w:t>27.40</w:t>
            </w:r>
          </w:p>
        </w:tc>
        <w:tc>
          <w:tcPr>
            <w:tcW w:w="15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2.4</w:t>
            </w: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25.82</w:t>
            </w:r>
          </w:p>
        </w:tc>
      </w:tr>
      <w:tr>
        <w:trPr>
          <w:trHeight w:val="179"/>
        </w:trPr>
        <w:tc>
          <w:tcPr>
            <w:tcW w:w="560" w:type="dxa"/>
            <w:vAlign w:val="bottom"/>
          </w:tcPr>
          <w:p>
            <w:pPr>
              <w:spacing w:after="0" w:line="179" w:lineRule="exact"/>
              <w:rPr>
                <w:sz w:val="20"/>
                <w:szCs w:val="20"/>
                <w:color w:val="auto"/>
              </w:rPr>
            </w:pPr>
            <w:r>
              <w:rPr>
                <w:rFonts w:ascii="Courier New" w:cs="Courier New" w:eastAsia="Courier New" w:hAnsi="Courier New"/>
                <w:sz w:val="16"/>
                <w:szCs w:val="16"/>
                <w:color w:val="auto"/>
                <w:w w:val="93"/>
              </w:rPr>
              <w:t>$30.25</w:t>
            </w:r>
          </w:p>
        </w:tc>
        <w:tc>
          <w:tcPr>
            <w:tcW w:w="1720" w:type="dxa"/>
            <w:vAlign w:val="bottom"/>
          </w:tcPr>
          <w:p>
            <w:pPr>
              <w:jc w:val="right"/>
              <w:ind w:right="802"/>
              <w:spacing w:after="0" w:line="179" w:lineRule="exact"/>
              <w:rPr>
                <w:sz w:val="20"/>
                <w:szCs w:val="20"/>
                <w:color w:val="auto"/>
              </w:rPr>
            </w:pPr>
            <w:r>
              <w:rPr>
                <w:rFonts w:ascii="Courier New" w:cs="Courier New" w:eastAsia="Courier New" w:hAnsi="Courier New"/>
                <w:sz w:val="16"/>
                <w:szCs w:val="16"/>
                <w:color w:val="auto"/>
              </w:rPr>
              <w:t>- $69.75</w:t>
            </w:r>
          </w:p>
        </w:tc>
        <w:tc>
          <w:tcPr>
            <w:tcW w:w="1800" w:type="dxa"/>
            <w:vAlign w:val="bottom"/>
          </w:tcPr>
          <w:p>
            <w:pPr>
              <w:jc w:val="right"/>
              <w:ind w:right="462"/>
              <w:spacing w:after="0" w:line="179" w:lineRule="exact"/>
              <w:rPr>
                <w:sz w:val="20"/>
                <w:szCs w:val="20"/>
                <w:color w:val="auto"/>
              </w:rPr>
            </w:pPr>
            <w:r>
              <w:rPr>
                <w:rFonts w:ascii="Courier New" w:cs="Courier New" w:eastAsia="Courier New" w:hAnsi="Courier New"/>
                <w:sz w:val="16"/>
                <w:szCs w:val="16"/>
                <w:color w:val="auto"/>
              </w:rPr>
              <w:t>10.4</w:t>
            </w:r>
          </w:p>
        </w:tc>
        <w:tc>
          <w:tcPr>
            <w:tcW w:w="1460" w:type="dxa"/>
            <w:vAlign w:val="bottom"/>
          </w:tcPr>
          <w:p>
            <w:pPr>
              <w:jc w:val="right"/>
              <w:ind w:right="542"/>
              <w:spacing w:after="0" w:line="179" w:lineRule="exact"/>
              <w:rPr>
                <w:sz w:val="20"/>
                <w:szCs w:val="20"/>
                <w:color w:val="auto"/>
              </w:rPr>
            </w:pPr>
            <w:r>
              <w:rPr>
                <w:rFonts w:ascii="Courier New" w:cs="Courier New" w:eastAsia="Courier New" w:hAnsi="Courier New"/>
                <w:sz w:val="16"/>
                <w:szCs w:val="16"/>
                <w:color w:val="auto"/>
              </w:rPr>
              <w:t>4.4</w:t>
            </w:r>
          </w:p>
        </w:tc>
        <w:tc>
          <w:tcPr>
            <w:tcW w:w="190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rPr>
              <w:t>41.40</w:t>
            </w:r>
          </w:p>
        </w:tc>
        <w:tc>
          <w:tcPr>
            <w:tcW w:w="15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3.7</w:t>
            </w: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39.37</w:t>
            </w:r>
          </w:p>
        </w:tc>
      </w:tr>
      <w:tr>
        <w:trPr>
          <w:trHeight w:val="179"/>
        </w:trPr>
        <w:tc>
          <w:tcPr>
            <w:tcW w:w="5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800" w:type="dxa"/>
            <w:vAlign w:val="bottom"/>
          </w:tcPr>
          <w:p>
            <w:pPr>
              <w:jc w:val="right"/>
              <w:ind w:right="462"/>
              <w:spacing w:after="0" w:line="179" w:lineRule="exact"/>
              <w:rPr>
                <w:sz w:val="20"/>
                <w:szCs w:val="20"/>
                <w:color w:val="auto"/>
              </w:rPr>
            </w:pPr>
            <w:r>
              <w:rPr>
                <w:rFonts w:ascii="Courier New" w:cs="Courier New" w:eastAsia="Courier New" w:hAnsi="Courier New"/>
                <w:sz w:val="16"/>
                <w:szCs w:val="16"/>
                <w:color w:val="auto"/>
              </w:rPr>
              <w:t>----</w:t>
            </w:r>
          </w:p>
        </w:tc>
        <w:tc>
          <w:tcPr>
            <w:tcW w:w="14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5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spacing w:after="0"/>
              <w:rPr>
                <w:sz w:val="15"/>
                <w:szCs w:val="15"/>
                <w:color w:val="auto"/>
              </w:rPr>
            </w:pPr>
          </w:p>
        </w:tc>
      </w:tr>
      <w:tr>
        <w:trPr>
          <w:trHeight w:val="179"/>
        </w:trPr>
        <w:tc>
          <w:tcPr>
            <w:tcW w:w="5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800" w:type="dxa"/>
            <w:vAlign w:val="bottom"/>
          </w:tcPr>
          <w:p>
            <w:pPr>
              <w:jc w:val="right"/>
              <w:ind w:right="462"/>
              <w:spacing w:after="0" w:line="179" w:lineRule="exact"/>
              <w:rPr>
                <w:sz w:val="20"/>
                <w:szCs w:val="20"/>
                <w:color w:val="auto"/>
              </w:rPr>
            </w:pPr>
            <w:r>
              <w:rPr>
                <w:rFonts w:ascii="Courier New" w:cs="Courier New" w:eastAsia="Courier New" w:hAnsi="Courier New"/>
                <w:sz w:val="16"/>
                <w:szCs w:val="16"/>
                <w:color w:val="auto"/>
              </w:rPr>
              <w:t>24.7</w:t>
            </w:r>
          </w:p>
        </w:tc>
        <w:tc>
          <w:tcPr>
            <w:tcW w:w="14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5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7.4</w:t>
            </w:r>
          </w:p>
        </w:tc>
        <w:tc>
          <w:tcPr>
            <w:tcW w:w="1120" w:type="dxa"/>
            <w:vAlign w:val="bottom"/>
          </w:tcPr>
          <w:p>
            <w:pPr>
              <w:spacing w:after="0"/>
              <w:rPr>
                <w:sz w:val="15"/>
                <w:szCs w:val="15"/>
                <w:color w:val="auto"/>
              </w:rPr>
            </w:pPr>
          </w:p>
        </w:tc>
      </w:tr>
      <w:tr>
        <w:trPr>
          <w:trHeight w:val="179"/>
        </w:trPr>
        <w:tc>
          <w:tcPr>
            <w:tcW w:w="5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800" w:type="dxa"/>
            <w:vAlign w:val="bottom"/>
          </w:tcPr>
          <w:p>
            <w:pPr>
              <w:jc w:val="right"/>
              <w:ind w:right="462"/>
              <w:spacing w:after="0" w:line="179" w:lineRule="exact"/>
              <w:rPr>
                <w:sz w:val="20"/>
                <w:szCs w:val="20"/>
                <w:color w:val="auto"/>
              </w:rPr>
            </w:pPr>
            <w:r>
              <w:rPr>
                <w:rFonts w:ascii="Courier New" w:cs="Courier New" w:eastAsia="Courier New" w:hAnsi="Courier New"/>
                <w:sz w:val="16"/>
                <w:szCs w:val="16"/>
                <w:color w:val="auto"/>
              </w:rPr>
              <w:t>====</w:t>
            </w:r>
          </w:p>
        </w:tc>
        <w:tc>
          <w:tcPr>
            <w:tcW w:w="14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5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spacing w:after="0"/>
              <w:rPr>
                <w:sz w:val="15"/>
                <w:szCs w:val="15"/>
                <w:color w:val="auto"/>
              </w:rPr>
            </w:pPr>
          </w:p>
        </w:tc>
      </w:tr>
    </w:tbl>
    <w:p>
      <w:pPr>
        <w:spacing w:after="0" w:line="362" w:lineRule="exact"/>
        <w:rPr>
          <w:sz w:val="20"/>
          <w:szCs w:val="20"/>
          <w:color w:val="auto"/>
        </w:rPr>
      </w:pPr>
    </w:p>
    <w:p>
      <w:pPr>
        <w:ind w:left="5" w:right="2980" w:firstLine="186"/>
        <w:spacing w:after="0" w:line="235" w:lineRule="auto"/>
        <w:rPr>
          <w:sz w:val="20"/>
          <w:szCs w:val="20"/>
          <w:color w:val="auto"/>
        </w:rPr>
      </w:pPr>
      <w:r>
        <w:rPr>
          <w:rFonts w:ascii="Courier New" w:cs="Courier New" w:eastAsia="Courier New" w:hAnsi="Courier New"/>
          <w:sz w:val="16"/>
          <w:szCs w:val="16"/>
          <w:color w:val="auto"/>
        </w:rPr>
        <w:t>As of September 2, 1999, an aggregate of 320,645 shares were authorized for issuance under MTI's stock plans. Shares are issued under these plans either as compensation to non-employee members of MTI's Board of Directors or to employees upon the achievement of certain milestones. As of September 2, 1999, a total of 15,934 shares had been issued under the stock plans.</w:t>
      </w:r>
    </w:p>
    <w:p>
      <w:pPr>
        <w:spacing w:after="0" w:line="186" w:lineRule="exact"/>
        <w:rPr>
          <w:sz w:val="20"/>
          <w:szCs w:val="20"/>
          <w:color w:val="auto"/>
        </w:rPr>
      </w:pPr>
    </w:p>
    <w:p>
      <w:pPr>
        <w:ind w:left="5" w:right="3080" w:firstLine="186"/>
        <w:spacing w:after="0" w:line="236" w:lineRule="auto"/>
        <w:rPr>
          <w:sz w:val="20"/>
          <w:szCs w:val="20"/>
          <w:color w:val="auto"/>
        </w:rPr>
      </w:pPr>
      <w:r>
        <w:rPr>
          <w:rFonts w:ascii="Courier New" w:cs="Courier New" w:eastAsia="Courier New" w:hAnsi="Courier New"/>
          <w:sz w:val="16"/>
          <w:szCs w:val="16"/>
          <w:color w:val="auto"/>
        </w:rPr>
        <w:t>MTI's 1989 Employee Stock Purchase Plan ("ESPP") allows eligible employees to purchase shares of the Company's common stock through payroll deductions. The shares can be purchased for 85% of the lower of the beginning or ending stock closing price of each offering period and are restricted from resale for a period of one year from the date of purchase. Purchases are limited to 20% of an employee's eligible compensation. A total of 9.3 million shares of MTI common stock are reserved for issuance under the ESPP, of which 6.8 million shares have been issued as of September 2, 1999.</w:t>
      </w:r>
    </w:p>
    <w:p>
      <w:pPr>
        <w:spacing w:after="0" w:line="178"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MEI Stock Plans</w:t>
      </w:r>
    </w:p>
    <w:p>
      <w:pPr>
        <w:ind w:left="185" w:hanging="185"/>
        <w:spacing w:after="0" w:line="236" w:lineRule="auto"/>
        <w:tabs>
          <w:tab w:leader="none" w:pos="185"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8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MEI's 1995 Stock Option Plan provides for the granting of incentive and</w:t>
      </w:r>
    </w:p>
    <w:p>
      <w:pPr>
        <w:spacing w:after="0" w:line="4" w:lineRule="exact"/>
        <w:rPr>
          <w:sz w:val="20"/>
          <w:szCs w:val="20"/>
          <w:color w:val="auto"/>
        </w:rPr>
      </w:pPr>
    </w:p>
    <w:p>
      <w:pPr>
        <w:ind w:left="5" w:right="2980"/>
        <w:spacing w:after="0" w:line="236" w:lineRule="auto"/>
        <w:rPr>
          <w:sz w:val="20"/>
          <w:szCs w:val="20"/>
          <w:color w:val="auto"/>
        </w:rPr>
      </w:pPr>
      <w:r>
        <w:rPr>
          <w:rFonts w:ascii="Courier New" w:cs="Courier New" w:eastAsia="Courier New" w:hAnsi="Courier New"/>
          <w:sz w:val="16"/>
          <w:szCs w:val="16"/>
          <w:color w:val="auto"/>
        </w:rPr>
        <w:t>nonstatutory stock options. As of September 2, 1999, there were 10 million shares of common stock reserved for issuance under the option plan. Exercise prices of the incentive and nonstatutory stock options are 100% of the fair market value of MEI's common stock on the date of grant. Prior to April 28, 1999, exercise prices of the incentive and non-statutory stock options were generally issued at 100% and 85%, respectively, of the fair market value of MEI's common stock on the date of grant. Stock options granted to employees and executive officers after April 28, 1999, typically have a term of 10 years and vest 25% percent each year for four years from the date of grant. Stock options granted to employees and executive officers prior to April 28, 1999, typically have a term of six years and vest 20% each year for five years from the date of grant.</w:t>
      </w:r>
    </w:p>
    <w:p>
      <w:pPr>
        <w:spacing w:after="0" w:line="181" w:lineRule="exact"/>
        <w:rPr>
          <w:sz w:val="20"/>
          <w:szCs w:val="20"/>
          <w:color w:val="auto"/>
        </w:rPr>
      </w:pPr>
    </w:p>
    <w:p>
      <w:pPr>
        <w:ind w:left="3445"/>
        <w:spacing w:after="0"/>
        <w:rPr>
          <w:sz w:val="20"/>
          <w:szCs w:val="20"/>
          <w:color w:val="auto"/>
        </w:rPr>
      </w:pPr>
      <w:r>
        <w:rPr>
          <w:rFonts w:ascii="Courier New" w:cs="Courier New" w:eastAsia="Courier New" w:hAnsi="Courier New"/>
          <w:sz w:val="16"/>
          <w:szCs w:val="16"/>
          <w:color w:val="auto"/>
        </w:rPr>
        <w:t>39/57</w:t>
      </w:r>
    </w:p>
    <w:p>
      <w:pPr>
        <w:sectPr>
          <w:pgSz w:w="11900" w:h="16838" w:orient="portrait"/>
          <w:cols w:equalWidth="0" w:num="1">
            <w:col w:w="10425"/>
          </w:cols>
          <w:pgMar w:left="235" w:top="648" w:right="1239" w:bottom="59" w:gutter="0" w:footer="0" w:header="0"/>
        </w:sectPr>
      </w:pPr>
    </w:p>
    <w:bookmarkStart w:id="41" w:name="page42"/>
    <w:bookmarkEnd w:id="41"/>
    <w:p>
      <w:pPr>
        <w:ind w:left="5" w:right="3900" w:firstLine="186"/>
        <w:spacing w:after="0" w:line="236" w:lineRule="auto"/>
        <w:rPr>
          <w:sz w:val="20"/>
          <w:szCs w:val="20"/>
          <w:color w:val="auto"/>
        </w:rPr>
      </w:pPr>
      <w:r>
        <w:rPr>
          <w:rFonts w:ascii="Courier New" w:cs="Courier New" w:eastAsia="Courier New" w:hAnsi="Courier New"/>
          <w:sz w:val="16"/>
          <w:szCs w:val="16"/>
          <w:color w:val="auto"/>
        </w:rPr>
        <w:t>On March 19, 1998, the MEI Board of Directors approved an option repricing program pursuant to which essentially all MEI employees could exchange outstanding options under the option plan for new options having an exercise price equal to the average closing price of MEI's common stock for the five business days preceding April 3, 1998, and having generally the same terms and conditions, including vesting and expiration terms, as the options exchanged. The exercise price of the options reissued under MEI's option re-pricing program is $13.06 per share.</w:t>
      </w:r>
    </w:p>
    <w:p>
      <w:pPr>
        <w:spacing w:after="0" w:line="178" w:lineRule="exact"/>
        <w:rPr>
          <w:sz w:val="20"/>
          <w:szCs w:val="20"/>
          <w:color w:val="auto"/>
        </w:rPr>
      </w:pPr>
    </w:p>
    <w:p>
      <w:pPr>
        <w:ind w:left="185"/>
        <w:spacing w:after="0"/>
        <w:rPr>
          <w:sz w:val="20"/>
          <w:szCs w:val="20"/>
          <w:color w:val="auto"/>
        </w:rPr>
      </w:pPr>
      <w:r>
        <w:rPr>
          <w:rFonts w:ascii="Courier New" w:cs="Courier New" w:eastAsia="Courier New" w:hAnsi="Courier New"/>
          <w:sz w:val="16"/>
          <w:szCs w:val="16"/>
          <w:color w:val="auto"/>
        </w:rPr>
        <w:t>Option activity under MEI's 1995 Stock Option Plan is summarized as follows:</w:t>
      </w:r>
    </w:p>
    <w:p>
      <w:pPr>
        <w:spacing w:after="0" w:line="200" w:lineRule="exact"/>
        <w:rPr>
          <w:sz w:val="20"/>
          <w:szCs w:val="20"/>
          <w:color w:val="auto"/>
        </w:rPr>
      </w:pPr>
    </w:p>
    <w:p>
      <w:pPr>
        <w:spacing w:after="0" w:line="334"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34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7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Fiscal year ended</w:t>
            </w:r>
          </w:p>
        </w:tc>
        <w:tc>
          <w:tcPr>
            <w:tcW w:w="12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3400" w:type="dxa"/>
            <w:vAlign w:val="bottom"/>
          </w:tcPr>
          <w:p>
            <w:pPr>
              <w:spacing w:after="0"/>
              <w:rPr>
                <w:sz w:val="15"/>
                <w:szCs w:val="15"/>
                <w:color w:val="auto"/>
              </w:rPr>
            </w:pPr>
          </w:p>
        </w:tc>
        <w:tc>
          <w:tcPr>
            <w:tcW w:w="7940" w:type="dxa"/>
            <w:vAlign w:val="bottom"/>
            <w:gridSpan w:val="6"/>
          </w:tcPr>
          <w:p>
            <w:pPr>
              <w:jc w:val="center"/>
              <w:spacing w:after="0" w:line="179" w:lineRule="exact"/>
              <w:rPr>
                <w:sz w:val="20"/>
                <w:szCs w:val="20"/>
                <w:color w:val="auto"/>
              </w:rPr>
            </w:pPr>
            <w:r>
              <w:rPr>
                <w:rFonts w:ascii="Courier New" w:cs="Courier New" w:eastAsia="Courier New" w:hAnsi="Courier New"/>
                <w:sz w:val="16"/>
                <w:szCs w:val="16"/>
                <w:color w:val="auto"/>
                <w:w w:val="96"/>
              </w:rPr>
              <w:t>-------------------------------------------------------------------------------------</w:t>
            </w:r>
          </w:p>
        </w:tc>
      </w:tr>
      <w:tr>
        <w:trPr>
          <w:trHeight w:val="179"/>
        </w:trPr>
        <w:tc>
          <w:tcPr>
            <w:tcW w:w="3400" w:type="dxa"/>
            <w:vAlign w:val="bottom"/>
          </w:tcPr>
          <w:p>
            <w:pPr>
              <w:spacing w:after="0"/>
              <w:rPr>
                <w:sz w:val="15"/>
                <w:szCs w:val="15"/>
                <w:color w:val="auto"/>
              </w:rPr>
            </w:pPr>
          </w:p>
        </w:tc>
        <w:tc>
          <w:tcPr>
            <w:tcW w:w="2640" w:type="dxa"/>
            <w:vAlign w:val="bottom"/>
            <w:gridSpan w:val="2"/>
          </w:tcPr>
          <w:p>
            <w:pPr>
              <w:jc w:val="right"/>
              <w:ind w:right="482"/>
              <w:spacing w:after="0" w:line="179" w:lineRule="exact"/>
              <w:rPr>
                <w:sz w:val="20"/>
                <w:szCs w:val="20"/>
                <w:color w:val="auto"/>
              </w:rPr>
            </w:pPr>
            <w:r>
              <w:rPr>
                <w:rFonts w:ascii="Courier New" w:cs="Courier New" w:eastAsia="Courier New" w:hAnsi="Courier New"/>
                <w:sz w:val="16"/>
                <w:szCs w:val="16"/>
                <w:color w:val="auto"/>
              </w:rPr>
              <w:t>September 2, 1999</w:t>
            </w:r>
          </w:p>
        </w:tc>
        <w:tc>
          <w:tcPr>
            <w:tcW w:w="2980" w:type="dxa"/>
            <w:vAlign w:val="bottom"/>
            <w:gridSpan w:val="2"/>
          </w:tcPr>
          <w:p>
            <w:pPr>
              <w:jc w:val="right"/>
              <w:ind w:right="762"/>
              <w:spacing w:after="0" w:line="179" w:lineRule="exact"/>
              <w:rPr>
                <w:sz w:val="20"/>
                <w:szCs w:val="20"/>
                <w:color w:val="auto"/>
              </w:rPr>
            </w:pPr>
            <w:r>
              <w:rPr>
                <w:rFonts w:ascii="Courier New" w:cs="Courier New" w:eastAsia="Courier New" w:hAnsi="Courier New"/>
                <w:sz w:val="16"/>
                <w:szCs w:val="16"/>
                <w:color w:val="auto"/>
              </w:rPr>
              <w:t>September 3, 1998</w:t>
            </w:r>
          </w:p>
        </w:tc>
        <w:tc>
          <w:tcPr>
            <w:tcW w:w="2320" w:type="dxa"/>
            <w:vAlign w:val="bottom"/>
            <w:gridSpan w:val="2"/>
          </w:tcPr>
          <w:p>
            <w:pPr>
              <w:jc w:val="right"/>
              <w:ind w:right="382"/>
              <w:spacing w:after="0" w:line="179" w:lineRule="exact"/>
              <w:rPr>
                <w:sz w:val="20"/>
                <w:szCs w:val="20"/>
                <w:color w:val="auto"/>
              </w:rPr>
            </w:pPr>
            <w:r>
              <w:rPr>
                <w:rFonts w:ascii="Courier New" w:cs="Courier New" w:eastAsia="Courier New" w:hAnsi="Courier New"/>
                <w:sz w:val="16"/>
                <w:szCs w:val="16"/>
                <w:color w:val="auto"/>
              </w:rPr>
              <w:t>August 28, 1997</w:t>
            </w:r>
          </w:p>
        </w:tc>
      </w:tr>
      <w:tr>
        <w:trPr>
          <w:trHeight w:val="179"/>
        </w:trPr>
        <w:tc>
          <w:tcPr>
            <w:tcW w:w="3400" w:type="dxa"/>
            <w:vAlign w:val="bottom"/>
          </w:tcPr>
          <w:p>
            <w:pPr>
              <w:spacing w:after="0"/>
              <w:rPr>
                <w:sz w:val="15"/>
                <w:szCs w:val="15"/>
                <w:color w:val="auto"/>
              </w:rPr>
            </w:pPr>
          </w:p>
        </w:tc>
        <w:tc>
          <w:tcPr>
            <w:tcW w:w="2640" w:type="dxa"/>
            <w:vAlign w:val="bottom"/>
            <w:gridSpan w:val="2"/>
          </w:tcPr>
          <w:p>
            <w:pPr>
              <w:jc w:val="right"/>
              <w:ind w:right="482"/>
              <w:spacing w:after="0" w:line="179" w:lineRule="exact"/>
              <w:rPr>
                <w:sz w:val="20"/>
                <w:szCs w:val="20"/>
                <w:color w:val="auto"/>
              </w:rPr>
            </w:pPr>
            <w:r>
              <w:rPr>
                <w:rFonts w:ascii="Courier New" w:cs="Courier New" w:eastAsia="Courier New" w:hAnsi="Courier New"/>
                <w:sz w:val="16"/>
                <w:szCs w:val="16"/>
                <w:color w:val="auto"/>
              </w:rPr>
              <w:t>-----------------</w:t>
            </w:r>
          </w:p>
        </w:tc>
        <w:tc>
          <w:tcPr>
            <w:tcW w:w="2980" w:type="dxa"/>
            <w:vAlign w:val="bottom"/>
            <w:gridSpan w:val="2"/>
          </w:tcPr>
          <w:p>
            <w:pPr>
              <w:jc w:val="center"/>
              <w:ind w:right="202"/>
              <w:spacing w:after="0" w:line="179" w:lineRule="exact"/>
              <w:rPr>
                <w:sz w:val="20"/>
                <w:szCs w:val="20"/>
                <w:color w:val="auto"/>
              </w:rPr>
            </w:pPr>
            <w:r>
              <w:rPr>
                <w:rFonts w:ascii="Courier New" w:cs="Courier New" w:eastAsia="Courier New" w:hAnsi="Courier New"/>
                <w:sz w:val="16"/>
                <w:szCs w:val="16"/>
                <w:color w:val="auto"/>
                <w:w w:val="96"/>
              </w:rPr>
              <w:t>-----------------</w:t>
            </w:r>
          </w:p>
        </w:tc>
        <w:tc>
          <w:tcPr>
            <w:tcW w:w="2320" w:type="dxa"/>
            <w:vAlign w:val="bottom"/>
            <w:gridSpan w:val="2"/>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4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3"/>
              </w:rPr>
              <w:t>Weighted</w:t>
            </w:r>
          </w:p>
        </w:tc>
        <w:tc>
          <w:tcPr>
            <w:tcW w:w="1220" w:type="dxa"/>
            <w:vAlign w:val="bottom"/>
          </w:tcPr>
          <w:p>
            <w:pPr>
              <w:spacing w:after="0"/>
              <w:rPr>
                <w:sz w:val="15"/>
                <w:szCs w:val="15"/>
                <w:color w:val="auto"/>
              </w:rPr>
            </w:pPr>
          </w:p>
        </w:tc>
        <w:tc>
          <w:tcPr>
            <w:tcW w:w="1760" w:type="dxa"/>
            <w:vAlign w:val="bottom"/>
          </w:tcPr>
          <w:p>
            <w:pPr>
              <w:ind w:left="540"/>
              <w:spacing w:after="0" w:line="179" w:lineRule="exact"/>
              <w:rPr>
                <w:sz w:val="20"/>
                <w:szCs w:val="20"/>
                <w:color w:val="auto"/>
              </w:rPr>
            </w:pPr>
            <w:r>
              <w:rPr>
                <w:rFonts w:ascii="Courier New" w:cs="Courier New" w:eastAsia="Courier New" w:hAnsi="Courier New"/>
                <w:sz w:val="16"/>
                <w:szCs w:val="16"/>
                <w:color w:val="auto"/>
              </w:rPr>
              <w:t>Weighted</w:t>
            </w:r>
          </w:p>
        </w:tc>
        <w:tc>
          <w:tcPr>
            <w:tcW w:w="1200" w:type="dxa"/>
            <w:vAlign w:val="bottom"/>
          </w:tcPr>
          <w:p>
            <w:pPr>
              <w:spacing w:after="0"/>
              <w:rPr>
                <w:sz w:val="15"/>
                <w:szCs w:val="15"/>
                <w:color w:val="auto"/>
              </w:rPr>
            </w:pPr>
          </w:p>
        </w:tc>
        <w:tc>
          <w:tcPr>
            <w:tcW w:w="11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Weighted</w:t>
            </w:r>
          </w:p>
        </w:tc>
      </w:tr>
      <w:tr>
        <w:trPr>
          <w:trHeight w:val="179"/>
        </w:trPr>
        <w:tc>
          <w:tcPr>
            <w:tcW w:w="34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average</w:t>
            </w:r>
          </w:p>
        </w:tc>
        <w:tc>
          <w:tcPr>
            <w:tcW w:w="1220" w:type="dxa"/>
            <w:vAlign w:val="bottom"/>
          </w:tcPr>
          <w:p>
            <w:pPr>
              <w:spacing w:after="0"/>
              <w:rPr>
                <w:sz w:val="15"/>
                <w:szCs w:val="15"/>
                <w:color w:val="auto"/>
              </w:rPr>
            </w:pPr>
          </w:p>
        </w:tc>
        <w:tc>
          <w:tcPr>
            <w:tcW w:w="1760" w:type="dxa"/>
            <w:vAlign w:val="bottom"/>
          </w:tcPr>
          <w:p>
            <w:pPr>
              <w:ind w:left="540"/>
              <w:spacing w:after="0" w:line="179" w:lineRule="exact"/>
              <w:rPr>
                <w:sz w:val="20"/>
                <w:szCs w:val="20"/>
                <w:color w:val="auto"/>
              </w:rPr>
            </w:pPr>
            <w:r>
              <w:rPr>
                <w:rFonts w:ascii="Courier New" w:cs="Courier New" w:eastAsia="Courier New" w:hAnsi="Courier New"/>
                <w:sz w:val="16"/>
                <w:szCs w:val="16"/>
                <w:color w:val="auto"/>
              </w:rPr>
              <w:t>average</w:t>
            </w:r>
          </w:p>
        </w:tc>
        <w:tc>
          <w:tcPr>
            <w:tcW w:w="1200" w:type="dxa"/>
            <w:vAlign w:val="bottom"/>
          </w:tcPr>
          <w:p>
            <w:pPr>
              <w:spacing w:after="0"/>
              <w:rPr>
                <w:sz w:val="15"/>
                <w:szCs w:val="15"/>
                <w:color w:val="auto"/>
              </w:rPr>
            </w:pPr>
          </w:p>
        </w:tc>
        <w:tc>
          <w:tcPr>
            <w:tcW w:w="11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average</w:t>
            </w:r>
          </w:p>
        </w:tc>
      </w:tr>
      <w:tr>
        <w:trPr>
          <w:trHeight w:val="179"/>
        </w:trPr>
        <w:tc>
          <w:tcPr>
            <w:tcW w:w="3400" w:type="dxa"/>
            <w:vAlign w:val="bottom"/>
          </w:tcPr>
          <w:p>
            <w:pPr>
              <w:spacing w:after="0"/>
              <w:rPr>
                <w:sz w:val="15"/>
                <w:szCs w:val="15"/>
                <w:color w:val="auto"/>
              </w:rPr>
            </w:pPr>
          </w:p>
        </w:tc>
        <w:tc>
          <w:tcPr>
            <w:tcW w:w="162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Number</w:t>
            </w: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3"/>
              </w:rPr>
              <w:t>exercise</w:t>
            </w:r>
          </w:p>
        </w:tc>
        <w:tc>
          <w:tcPr>
            <w:tcW w:w="12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Number</w:t>
            </w:r>
          </w:p>
        </w:tc>
        <w:tc>
          <w:tcPr>
            <w:tcW w:w="1760" w:type="dxa"/>
            <w:vAlign w:val="bottom"/>
          </w:tcPr>
          <w:p>
            <w:pPr>
              <w:ind w:left="540"/>
              <w:spacing w:after="0" w:line="179" w:lineRule="exact"/>
              <w:rPr>
                <w:sz w:val="20"/>
                <w:szCs w:val="20"/>
                <w:color w:val="auto"/>
              </w:rPr>
            </w:pPr>
            <w:r>
              <w:rPr>
                <w:rFonts w:ascii="Courier New" w:cs="Courier New" w:eastAsia="Courier New" w:hAnsi="Courier New"/>
                <w:sz w:val="16"/>
                <w:szCs w:val="16"/>
                <w:color w:val="auto"/>
              </w:rPr>
              <w:t>exercise</w:t>
            </w:r>
          </w:p>
        </w:tc>
        <w:tc>
          <w:tcPr>
            <w:tcW w:w="12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Number</w:t>
            </w:r>
          </w:p>
        </w:tc>
        <w:tc>
          <w:tcPr>
            <w:tcW w:w="11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exercise</w:t>
            </w:r>
          </w:p>
        </w:tc>
      </w:tr>
      <w:tr>
        <w:trPr>
          <w:trHeight w:val="179"/>
        </w:trPr>
        <w:tc>
          <w:tcPr>
            <w:tcW w:w="3400" w:type="dxa"/>
            <w:vAlign w:val="bottom"/>
          </w:tcPr>
          <w:p>
            <w:pPr>
              <w:spacing w:after="0"/>
              <w:rPr>
                <w:sz w:val="15"/>
                <w:szCs w:val="15"/>
                <w:color w:val="auto"/>
              </w:rPr>
            </w:pPr>
          </w:p>
        </w:tc>
        <w:tc>
          <w:tcPr>
            <w:tcW w:w="16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of shares</w:t>
            </w:r>
          </w:p>
        </w:tc>
        <w:tc>
          <w:tcPr>
            <w:tcW w:w="10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price</w:t>
            </w: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of shares</w:t>
            </w:r>
          </w:p>
        </w:tc>
        <w:tc>
          <w:tcPr>
            <w:tcW w:w="176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price</w:t>
            </w:r>
          </w:p>
        </w:tc>
        <w:tc>
          <w:tcPr>
            <w:tcW w:w="12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of shares</w:t>
            </w: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price</w:t>
            </w:r>
          </w:p>
        </w:tc>
      </w:tr>
      <w:tr>
        <w:trPr>
          <w:trHeight w:val="179"/>
        </w:trPr>
        <w:tc>
          <w:tcPr>
            <w:tcW w:w="3400" w:type="dxa"/>
            <w:vAlign w:val="bottom"/>
          </w:tcPr>
          <w:p>
            <w:pPr>
              <w:spacing w:after="0"/>
              <w:rPr>
                <w:sz w:val="15"/>
                <w:szCs w:val="15"/>
                <w:color w:val="auto"/>
              </w:rPr>
            </w:pPr>
          </w:p>
        </w:tc>
        <w:tc>
          <w:tcPr>
            <w:tcW w:w="7940" w:type="dxa"/>
            <w:vAlign w:val="bottom"/>
            <w:gridSpan w:val="6"/>
          </w:tcPr>
          <w:p>
            <w:pPr>
              <w:jc w:val="center"/>
              <w:spacing w:after="0" w:line="179" w:lineRule="exact"/>
              <w:rPr>
                <w:sz w:val="20"/>
                <w:szCs w:val="20"/>
                <w:color w:val="auto"/>
              </w:rPr>
            </w:pPr>
            <w:r>
              <w:rPr>
                <w:rFonts w:ascii="Courier New" w:cs="Courier New" w:eastAsia="Courier New" w:hAnsi="Courier New"/>
                <w:sz w:val="16"/>
                <w:szCs w:val="16"/>
                <w:color w:val="auto"/>
                <w:w w:val="96"/>
              </w:rPr>
              <w:t>-------------------------------------------------------------------------------------</w:t>
            </w:r>
          </w:p>
        </w:tc>
      </w:tr>
      <w:tr>
        <w:trPr>
          <w:trHeight w:val="358"/>
        </w:trPr>
        <w:tc>
          <w:tcPr>
            <w:tcW w:w="3400" w:type="dxa"/>
            <w:vAlign w:val="bottom"/>
          </w:tcPr>
          <w:p>
            <w:pPr>
              <w:spacing w:after="0"/>
              <w:rPr>
                <w:sz w:val="20"/>
                <w:szCs w:val="20"/>
                <w:color w:val="auto"/>
              </w:rPr>
            </w:pPr>
            <w:r>
              <w:rPr>
                <w:rFonts w:ascii="Courier New" w:cs="Courier New" w:eastAsia="Courier New" w:hAnsi="Courier New"/>
                <w:sz w:val="16"/>
                <w:szCs w:val="16"/>
                <w:color w:val="auto"/>
                <w:w w:val="97"/>
              </w:rPr>
              <w:t>Outstanding at beginning of year....</w:t>
            </w:r>
          </w:p>
        </w:tc>
        <w:tc>
          <w:tcPr>
            <w:tcW w:w="1620" w:type="dxa"/>
            <w:vAlign w:val="bottom"/>
          </w:tcPr>
          <w:p>
            <w:pPr>
              <w:jc w:val="right"/>
              <w:ind w:right="662"/>
              <w:spacing w:after="0"/>
              <w:rPr>
                <w:sz w:val="20"/>
                <w:szCs w:val="20"/>
                <w:color w:val="auto"/>
              </w:rPr>
            </w:pPr>
            <w:r>
              <w:rPr>
                <w:rFonts w:ascii="Courier New" w:cs="Courier New" w:eastAsia="Courier New" w:hAnsi="Courier New"/>
                <w:sz w:val="16"/>
                <w:szCs w:val="16"/>
                <w:color w:val="auto"/>
              </w:rPr>
              <w:t>5.3</w:t>
            </w:r>
          </w:p>
        </w:tc>
        <w:tc>
          <w:tcPr>
            <w:tcW w:w="10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$12.56</w:t>
            </w: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3.6</w:t>
            </w:r>
          </w:p>
        </w:tc>
        <w:tc>
          <w:tcPr>
            <w:tcW w:w="176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$16.98</w:t>
            </w:r>
          </w:p>
        </w:tc>
        <w:tc>
          <w:tcPr>
            <w:tcW w:w="12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1.9</w:t>
            </w:r>
          </w:p>
        </w:tc>
        <w:tc>
          <w:tcPr>
            <w:tcW w:w="11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$13.70</w:t>
            </w:r>
          </w:p>
        </w:tc>
      </w:tr>
      <w:tr>
        <w:trPr>
          <w:trHeight w:val="179"/>
        </w:trPr>
        <w:tc>
          <w:tcPr>
            <w:tcW w:w="340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Granted.............................</w:t>
            </w:r>
          </w:p>
        </w:tc>
        <w:tc>
          <w:tcPr>
            <w:tcW w:w="162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rPr>
              <w:t>3.7</w:t>
            </w:r>
          </w:p>
        </w:tc>
        <w:tc>
          <w:tcPr>
            <w:tcW w:w="10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12.77</w:t>
            </w:r>
          </w:p>
        </w:tc>
        <w:tc>
          <w:tcPr>
            <w:tcW w:w="12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5.8</w:t>
            </w:r>
          </w:p>
        </w:tc>
        <w:tc>
          <w:tcPr>
            <w:tcW w:w="176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13.20</w:t>
            </w:r>
          </w:p>
        </w:tc>
        <w:tc>
          <w:tcPr>
            <w:tcW w:w="12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1.9</w:t>
            </w: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19.90</w:t>
            </w:r>
          </w:p>
        </w:tc>
      </w:tr>
      <w:tr>
        <w:trPr>
          <w:trHeight w:val="179"/>
        </w:trPr>
        <w:tc>
          <w:tcPr>
            <w:tcW w:w="340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Terminated or cancelled.............</w:t>
            </w:r>
          </w:p>
        </w:tc>
        <w:tc>
          <w:tcPr>
            <w:tcW w:w="162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(1.4)</w:t>
            </w:r>
          </w:p>
        </w:tc>
        <w:tc>
          <w:tcPr>
            <w:tcW w:w="10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13.21</w:t>
            </w:r>
          </w:p>
        </w:tc>
        <w:tc>
          <w:tcPr>
            <w:tcW w:w="12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(4.0)</w:t>
            </w:r>
          </w:p>
        </w:tc>
        <w:tc>
          <w:tcPr>
            <w:tcW w:w="176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17.40</w:t>
            </w:r>
          </w:p>
        </w:tc>
        <w:tc>
          <w:tcPr>
            <w:tcW w:w="12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(0.2)</w:t>
            </w: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16.52</w:t>
            </w:r>
          </w:p>
        </w:tc>
      </w:tr>
      <w:tr>
        <w:trPr>
          <w:trHeight w:val="179"/>
        </w:trPr>
        <w:tc>
          <w:tcPr>
            <w:tcW w:w="340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Exercised...........................</w:t>
            </w:r>
          </w:p>
        </w:tc>
        <w:tc>
          <w:tcPr>
            <w:tcW w:w="162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(0.2)</w:t>
            </w:r>
          </w:p>
        </w:tc>
        <w:tc>
          <w:tcPr>
            <w:tcW w:w="10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12.28</w:t>
            </w:r>
          </w:p>
        </w:tc>
        <w:tc>
          <w:tcPr>
            <w:tcW w:w="12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(0.1)</w:t>
            </w:r>
          </w:p>
        </w:tc>
        <w:tc>
          <w:tcPr>
            <w:tcW w:w="176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11.37</w:t>
            </w:r>
          </w:p>
        </w:tc>
        <w:tc>
          <w:tcPr>
            <w:tcW w:w="12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9.49</w:t>
            </w:r>
          </w:p>
        </w:tc>
      </w:tr>
      <w:tr>
        <w:trPr>
          <w:trHeight w:val="179"/>
        </w:trPr>
        <w:tc>
          <w:tcPr>
            <w:tcW w:w="3400" w:type="dxa"/>
            <w:vAlign w:val="bottom"/>
          </w:tcPr>
          <w:p>
            <w:pPr>
              <w:spacing w:after="0"/>
              <w:rPr>
                <w:sz w:val="15"/>
                <w:szCs w:val="15"/>
                <w:color w:val="auto"/>
              </w:rPr>
            </w:pPr>
          </w:p>
        </w:tc>
        <w:tc>
          <w:tcPr>
            <w:tcW w:w="162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spacing w:after="0"/>
              <w:rPr>
                <w:sz w:val="15"/>
                <w:szCs w:val="15"/>
                <w:color w:val="auto"/>
              </w:rPr>
            </w:pPr>
          </w:p>
        </w:tc>
        <w:tc>
          <w:tcPr>
            <w:tcW w:w="12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760" w:type="dxa"/>
            <w:vAlign w:val="bottom"/>
          </w:tcPr>
          <w:p>
            <w:pPr>
              <w:spacing w:after="0"/>
              <w:rPr>
                <w:sz w:val="15"/>
                <w:szCs w:val="15"/>
                <w:color w:val="auto"/>
              </w:rPr>
            </w:pPr>
          </w:p>
        </w:tc>
        <w:tc>
          <w:tcPr>
            <w:tcW w:w="12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spacing w:after="0"/>
              <w:rPr>
                <w:sz w:val="15"/>
                <w:szCs w:val="15"/>
                <w:color w:val="auto"/>
              </w:rPr>
            </w:pPr>
          </w:p>
        </w:tc>
      </w:tr>
      <w:tr>
        <w:trPr>
          <w:trHeight w:val="179"/>
        </w:trPr>
        <w:tc>
          <w:tcPr>
            <w:tcW w:w="340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Outstanding at end of year..........</w:t>
            </w:r>
          </w:p>
        </w:tc>
        <w:tc>
          <w:tcPr>
            <w:tcW w:w="162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rPr>
              <w:t>7.4</w:t>
            </w:r>
          </w:p>
        </w:tc>
        <w:tc>
          <w:tcPr>
            <w:tcW w:w="10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12.56</w:t>
            </w:r>
          </w:p>
        </w:tc>
        <w:tc>
          <w:tcPr>
            <w:tcW w:w="12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5.3</w:t>
            </w:r>
          </w:p>
        </w:tc>
        <w:tc>
          <w:tcPr>
            <w:tcW w:w="176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12.56</w:t>
            </w:r>
          </w:p>
        </w:tc>
        <w:tc>
          <w:tcPr>
            <w:tcW w:w="12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3.6</w:t>
            </w: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16.98</w:t>
            </w:r>
          </w:p>
        </w:tc>
      </w:tr>
      <w:tr>
        <w:trPr>
          <w:trHeight w:val="179"/>
        </w:trPr>
        <w:tc>
          <w:tcPr>
            <w:tcW w:w="3400" w:type="dxa"/>
            <w:vAlign w:val="bottom"/>
          </w:tcPr>
          <w:p>
            <w:pPr>
              <w:spacing w:after="0"/>
              <w:rPr>
                <w:sz w:val="15"/>
                <w:szCs w:val="15"/>
                <w:color w:val="auto"/>
              </w:rPr>
            </w:pPr>
          </w:p>
        </w:tc>
        <w:tc>
          <w:tcPr>
            <w:tcW w:w="162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spacing w:after="0"/>
              <w:rPr>
                <w:sz w:val="15"/>
                <w:szCs w:val="15"/>
                <w:color w:val="auto"/>
              </w:rPr>
            </w:pPr>
          </w:p>
        </w:tc>
        <w:tc>
          <w:tcPr>
            <w:tcW w:w="12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760" w:type="dxa"/>
            <w:vAlign w:val="bottom"/>
          </w:tcPr>
          <w:p>
            <w:pPr>
              <w:spacing w:after="0"/>
              <w:rPr>
                <w:sz w:val="15"/>
                <w:szCs w:val="15"/>
                <w:color w:val="auto"/>
              </w:rPr>
            </w:pPr>
          </w:p>
        </w:tc>
        <w:tc>
          <w:tcPr>
            <w:tcW w:w="12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spacing w:after="0"/>
              <w:rPr>
                <w:sz w:val="15"/>
                <w:szCs w:val="15"/>
                <w:color w:val="auto"/>
              </w:rPr>
            </w:pPr>
          </w:p>
        </w:tc>
      </w:tr>
      <w:tr>
        <w:trPr>
          <w:trHeight w:val="179"/>
        </w:trPr>
        <w:tc>
          <w:tcPr>
            <w:tcW w:w="340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Exercisable at end of year..........</w:t>
            </w:r>
          </w:p>
        </w:tc>
        <w:tc>
          <w:tcPr>
            <w:tcW w:w="162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rPr>
              <w:t>1.4</w:t>
            </w:r>
          </w:p>
        </w:tc>
        <w:tc>
          <w:tcPr>
            <w:tcW w:w="10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12.86</w:t>
            </w:r>
          </w:p>
        </w:tc>
        <w:tc>
          <w:tcPr>
            <w:tcW w:w="12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0.7</w:t>
            </w:r>
          </w:p>
        </w:tc>
        <w:tc>
          <w:tcPr>
            <w:tcW w:w="176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13.24</w:t>
            </w:r>
          </w:p>
        </w:tc>
        <w:tc>
          <w:tcPr>
            <w:tcW w:w="12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0.5</w:t>
            </w: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14.45</w:t>
            </w:r>
          </w:p>
        </w:tc>
      </w:tr>
      <w:tr>
        <w:trPr>
          <w:trHeight w:val="179"/>
        </w:trPr>
        <w:tc>
          <w:tcPr>
            <w:tcW w:w="340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Shares available for future grants..</w:t>
            </w:r>
          </w:p>
        </w:tc>
        <w:tc>
          <w:tcPr>
            <w:tcW w:w="162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rPr>
              <w:t>2.4</w:t>
            </w:r>
          </w:p>
        </w:tc>
        <w:tc>
          <w:tcPr>
            <w:tcW w:w="10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4.8</w:t>
            </w:r>
          </w:p>
        </w:tc>
        <w:tc>
          <w:tcPr>
            <w:tcW w:w="176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1.4</w:t>
            </w: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362" w:lineRule="exact"/>
        <w:rPr>
          <w:sz w:val="20"/>
          <w:szCs w:val="20"/>
          <w:color w:val="auto"/>
        </w:rPr>
      </w:pPr>
    </w:p>
    <w:p>
      <w:pPr>
        <w:ind w:left="5" w:right="3900" w:firstLine="186"/>
        <w:spacing w:after="0" w:line="234" w:lineRule="auto"/>
        <w:rPr>
          <w:sz w:val="20"/>
          <w:szCs w:val="20"/>
          <w:color w:val="auto"/>
        </w:rPr>
      </w:pPr>
      <w:r>
        <w:rPr>
          <w:rFonts w:ascii="Courier New" w:cs="Courier New" w:eastAsia="Courier New" w:hAnsi="Courier New"/>
          <w:sz w:val="16"/>
          <w:szCs w:val="16"/>
          <w:color w:val="auto"/>
        </w:rPr>
        <w:t>The following table summarizes information about MEI options outstanding under the MEI 1995 Stock Option Plan as of September 2, 1999:</w:t>
      </w:r>
    </w:p>
    <w:p>
      <w:pPr>
        <w:spacing w:after="0" w:line="200" w:lineRule="exact"/>
        <w:rPr>
          <w:sz w:val="20"/>
          <w:szCs w:val="20"/>
          <w:color w:val="auto"/>
        </w:rPr>
      </w:pPr>
    </w:p>
    <w:p>
      <w:pPr>
        <w:spacing w:after="0" w:line="335" w:lineRule="exact"/>
        <w:rPr>
          <w:sz w:val="20"/>
          <w:szCs w:val="20"/>
          <w:color w:val="auto"/>
        </w:rPr>
      </w:pPr>
    </w:p>
    <w:p>
      <w:pPr>
        <w:ind w:left="3445"/>
        <w:spacing w:after="0"/>
        <w:tabs>
          <w:tab w:leader="none" w:pos="6864" w:val="left"/>
        </w:tabs>
        <w:rPr>
          <w:sz w:val="20"/>
          <w:szCs w:val="20"/>
          <w:color w:val="auto"/>
        </w:rPr>
      </w:pPr>
      <w:r>
        <w:rPr>
          <w:rFonts w:ascii="Courier New" w:cs="Courier New" w:eastAsia="Courier New" w:hAnsi="Courier New"/>
          <w:sz w:val="16"/>
          <w:szCs w:val="16"/>
          <w:color w:val="auto"/>
        </w:rPr>
        <w:t>MEI Outstanding options</w:t>
      </w:r>
      <w:r>
        <w:rPr>
          <w:sz w:val="20"/>
          <w:szCs w:val="20"/>
          <w:color w:val="auto"/>
        </w:rPr>
        <w:tab/>
      </w:r>
      <w:r>
        <w:rPr>
          <w:rFonts w:ascii="Courier New" w:cs="Courier New" w:eastAsia="Courier New" w:hAnsi="Courier New"/>
          <w:sz w:val="14"/>
          <w:szCs w:val="14"/>
          <w:color w:val="auto"/>
        </w:rPr>
        <w:t>MEI Exercisable options</w:t>
      </w:r>
    </w:p>
    <w:p>
      <w:pPr>
        <w:ind w:left="185" w:hanging="185"/>
        <w:spacing w:after="0" w:line="236" w:lineRule="auto"/>
        <w:tabs>
          <w:tab w:leader="none" w:pos="185"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8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Weighted</w:t>
      </w:r>
    </w:p>
    <w:tbl>
      <w:tblPr>
        <w:tblLayout w:type="fixed"/>
        <w:tblInd w:w="5" w:type="dxa"/>
        <w:tblCellMar>
          <w:top w:w="0" w:type="dxa"/>
          <w:left w:w="0" w:type="dxa"/>
          <w:bottom w:w="0" w:type="dxa"/>
          <w:right w:w="0" w:type="dxa"/>
        </w:tblCellMar>
      </w:tblPr>
      <w:tr>
        <w:trPr>
          <w:trHeight w:val="180"/>
        </w:trPr>
        <w:tc>
          <w:tcPr>
            <w:tcW w:w="26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4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8"/>
              </w:rPr>
              <w:t>average</w:t>
            </w:r>
          </w:p>
        </w:tc>
        <w:tc>
          <w:tcPr>
            <w:tcW w:w="1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Weighted</w:t>
            </w:r>
          </w:p>
        </w:tc>
      </w:tr>
      <w:tr>
        <w:trPr>
          <w:trHeight w:val="179"/>
        </w:trPr>
        <w:tc>
          <w:tcPr>
            <w:tcW w:w="2600" w:type="dxa"/>
            <w:vAlign w:val="bottom"/>
          </w:tcPr>
          <w:p>
            <w:pPr>
              <w:spacing w:after="0"/>
              <w:rPr>
                <w:sz w:val="15"/>
                <w:szCs w:val="15"/>
                <w:color w:val="auto"/>
              </w:rPr>
            </w:pPr>
          </w:p>
        </w:tc>
        <w:tc>
          <w:tcPr>
            <w:tcW w:w="1060" w:type="dxa"/>
            <w:vAlign w:val="bottom"/>
          </w:tcPr>
          <w:p>
            <w:pPr>
              <w:jc w:val="center"/>
              <w:ind w:left="182"/>
              <w:spacing w:after="0" w:line="179" w:lineRule="exact"/>
              <w:rPr>
                <w:sz w:val="20"/>
                <w:szCs w:val="20"/>
                <w:color w:val="auto"/>
              </w:rPr>
            </w:pPr>
            <w:r>
              <w:rPr>
                <w:rFonts w:ascii="Courier New" w:cs="Courier New" w:eastAsia="Courier New" w:hAnsi="Courier New"/>
                <w:sz w:val="16"/>
                <w:szCs w:val="16"/>
                <w:color w:val="auto"/>
                <w:w w:val="97"/>
              </w:rPr>
              <w:t>Number</w:t>
            </w:r>
          </w:p>
        </w:tc>
        <w:tc>
          <w:tcPr>
            <w:tcW w:w="164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7"/>
              </w:rPr>
              <w:t>remaining</w:t>
            </w:r>
          </w:p>
        </w:tc>
        <w:tc>
          <w:tcPr>
            <w:tcW w:w="12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Weighted</w:t>
            </w:r>
          </w:p>
        </w:tc>
        <w:tc>
          <w:tcPr>
            <w:tcW w:w="1400" w:type="dxa"/>
            <w:vAlign w:val="bottom"/>
          </w:tcPr>
          <w:p>
            <w:pPr>
              <w:spacing w:after="0"/>
              <w:rPr>
                <w:sz w:val="15"/>
                <w:szCs w:val="15"/>
                <w:color w:val="auto"/>
              </w:rPr>
            </w:pPr>
          </w:p>
        </w:tc>
        <w:tc>
          <w:tcPr>
            <w:tcW w:w="10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average</w:t>
            </w:r>
          </w:p>
        </w:tc>
      </w:tr>
      <w:tr>
        <w:trPr>
          <w:trHeight w:val="179"/>
        </w:trPr>
        <w:tc>
          <w:tcPr>
            <w:tcW w:w="2600" w:type="dxa"/>
            <w:vAlign w:val="bottom"/>
          </w:tcPr>
          <w:p>
            <w:pPr>
              <w:spacing w:after="0"/>
              <w:rPr>
                <w:sz w:val="15"/>
                <w:szCs w:val="15"/>
                <w:color w:val="auto"/>
              </w:rPr>
            </w:pPr>
          </w:p>
        </w:tc>
        <w:tc>
          <w:tcPr>
            <w:tcW w:w="1060" w:type="dxa"/>
            <w:vAlign w:val="bottom"/>
          </w:tcPr>
          <w:p>
            <w:pPr>
              <w:jc w:val="center"/>
              <w:ind w:left="162"/>
              <w:spacing w:after="0" w:line="179" w:lineRule="exact"/>
              <w:rPr>
                <w:sz w:val="20"/>
                <w:szCs w:val="20"/>
                <w:color w:val="auto"/>
              </w:rPr>
            </w:pPr>
            <w:r>
              <w:rPr>
                <w:rFonts w:ascii="Courier New" w:cs="Courier New" w:eastAsia="Courier New" w:hAnsi="Courier New"/>
                <w:sz w:val="16"/>
                <w:szCs w:val="16"/>
                <w:color w:val="auto"/>
                <w:w w:val="93"/>
              </w:rPr>
              <w:t>of</w:t>
            </w:r>
          </w:p>
        </w:tc>
        <w:tc>
          <w:tcPr>
            <w:tcW w:w="164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6"/>
              </w:rPr>
              <w:t>contractual</w:t>
            </w:r>
          </w:p>
        </w:tc>
        <w:tc>
          <w:tcPr>
            <w:tcW w:w="12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average</w:t>
            </w:r>
          </w:p>
        </w:tc>
        <w:tc>
          <w:tcPr>
            <w:tcW w:w="140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Number</w:t>
            </w:r>
          </w:p>
        </w:tc>
        <w:tc>
          <w:tcPr>
            <w:tcW w:w="10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w w:val="93"/>
              </w:rPr>
              <w:t>exercise</w:t>
            </w:r>
          </w:p>
        </w:tc>
      </w:tr>
      <w:tr>
        <w:trPr>
          <w:trHeight w:val="179"/>
        </w:trPr>
        <w:tc>
          <w:tcPr>
            <w:tcW w:w="2600" w:type="dxa"/>
            <w:vAlign w:val="bottom"/>
          </w:tcPr>
          <w:p>
            <w:pPr>
              <w:spacing w:after="0" w:line="179" w:lineRule="exact"/>
              <w:rPr>
                <w:sz w:val="20"/>
                <w:szCs w:val="20"/>
                <w:color w:val="auto"/>
              </w:rPr>
            </w:pPr>
            <w:r>
              <w:rPr>
                <w:rFonts w:ascii="Courier New" w:cs="Courier New" w:eastAsia="Courier New" w:hAnsi="Courier New"/>
                <w:sz w:val="16"/>
                <w:szCs w:val="16"/>
                <w:color w:val="auto"/>
              </w:rPr>
              <w:t>Range of exercise prices</w:t>
            </w:r>
          </w:p>
        </w:tc>
        <w:tc>
          <w:tcPr>
            <w:tcW w:w="1060" w:type="dxa"/>
            <w:vAlign w:val="bottom"/>
          </w:tcPr>
          <w:p>
            <w:pPr>
              <w:jc w:val="center"/>
              <w:ind w:left="182"/>
              <w:spacing w:after="0" w:line="179" w:lineRule="exact"/>
              <w:rPr>
                <w:sz w:val="20"/>
                <w:szCs w:val="20"/>
                <w:color w:val="auto"/>
              </w:rPr>
            </w:pPr>
            <w:r>
              <w:rPr>
                <w:rFonts w:ascii="Courier New" w:cs="Courier New" w:eastAsia="Courier New" w:hAnsi="Courier New"/>
                <w:sz w:val="16"/>
                <w:szCs w:val="16"/>
                <w:color w:val="auto"/>
                <w:w w:val="97"/>
              </w:rPr>
              <w:t>shares</w:t>
            </w:r>
          </w:p>
        </w:tc>
        <w:tc>
          <w:tcPr>
            <w:tcW w:w="164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7"/>
              </w:rPr>
              <w:t>life (in years)</w:t>
            </w:r>
          </w:p>
        </w:tc>
        <w:tc>
          <w:tcPr>
            <w:tcW w:w="12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price</w:t>
            </w:r>
          </w:p>
        </w:tc>
        <w:tc>
          <w:tcPr>
            <w:tcW w:w="1400" w:type="dxa"/>
            <w:vAlign w:val="bottom"/>
          </w:tcPr>
          <w:p>
            <w:pPr>
              <w:ind w:left="380"/>
              <w:spacing w:after="0" w:line="179" w:lineRule="exact"/>
              <w:rPr>
                <w:sz w:val="20"/>
                <w:szCs w:val="20"/>
                <w:color w:val="auto"/>
              </w:rPr>
            </w:pPr>
            <w:r>
              <w:rPr>
                <w:rFonts w:ascii="Courier New" w:cs="Courier New" w:eastAsia="Courier New" w:hAnsi="Courier New"/>
                <w:sz w:val="16"/>
                <w:szCs w:val="16"/>
                <w:color w:val="auto"/>
              </w:rPr>
              <w:t>of shares</w:t>
            </w:r>
          </w:p>
        </w:tc>
        <w:tc>
          <w:tcPr>
            <w:tcW w:w="1020" w:type="dxa"/>
            <w:vAlign w:val="bottom"/>
          </w:tcPr>
          <w:p>
            <w:pPr>
              <w:ind w:left="380"/>
              <w:spacing w:after="0" w:line="179" w:lineRule="exact"/>
              <w:rPr>
                <w:sz w:val="20"/>
                <w:szCs w:val="20"/>
                <w:color w:val="auto"/>
              </w:rPr>
            </w:pPr>
            <w:r>
              <w:rPr>
                <w:rFonts w:ascii="Courier New" w:cs="Courier New" w:eastAsia="Courier New" w:hAnsi="Courier New"/>
                <w:sz w:val="16"/>
                <w:szCs w:val="16"/>
                <w:color w:val="auto"/>
              </w:rPr>
              <w:t>price</w:t>
            </w:r>
          </w:p>
        </w:tc>
      </w:tr>
    </w:tbl>
    <w:p>
      <w:pPr>
        <w:ind w:left="5"/>
        <w:spacing w:after="0" w:line="236" w:lineRule="auto"/>
        <w:rPr>
          <w:sz w:val="20"/>
          <w:szCs w:val="20"/>
          <w:color w:val="auto"/>
        </w:rPr>
      </w:pPr>
      <w:r>
        <w:rPr>
          <w:rFonts w:ascii="Courier New" w:cs="Courier New" w:eastAsia="Courier New" w:hAnsi="Courier New"/>
          <w:sz w:val="16"/>
          <w:szCs w:val="16"/>
          <w:color w:val="auto"/>
        </w:rPr>
        <w:t>- ---------------------------------------------------------------------------------------------------</w:t>
      </w:r>
    </w:p>
    <w:p>
      <w:pPr>
        <w:spacing w:after="0" w:line="177"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2280" w:type="dxa"/>
            <w:vAlign w:val="bottom"/>
            <w:gridSpan w:val="2"/>
          </w:tcPr>
          <w:p>
            <w:pPr>
              <w:spacing w:after="0"/>
              <w:rPr>
                <w:sz w:val="20"/>
                <w:szCs w:val="20"/>
                <w:color w:val="auto"/>
              </w:rPr>
            </w:pPr>
            <w:r>
              <w:rPr>
                <w:rFonts w:ascii="Courier New" w:cs="Courier New" w:eastAsia="Courier New" w:hAnsi="Courier New"/>
                <w:sz w:val="16"/>
                <w:szCs w:val="16"/>
                <w:color w:val="auto"/>
              </w:rPr>
              <w:t>below $10.00</w:t>
            </w:r>
          </w:p>
        </w:tc>
        <w:tc>
          <w:tcPr>
            <w:tcW w:w="16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1.0</w:t>
            </w:r>
          </w:p>
        </w:tc>
        <w:tc>
          <w:tcPr>
            <w:tcW w:w="12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5.96</w:t>
            </w:r>
          </w:p>
        </w:tc>
        <w:tc>
          <w:tcPr>
            <w:tcW w:w="148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$ 9.42</w:t>
            </w:r>
          </w:p>
        </w:tc>
        <w:tc>
          <w:tcPr>
            <w:tcW w:w="120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0.2</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$ 9.11</w:t>
            </w:r>
          </w:p>
        </w:tc>
      </w:tr>
      <w:tr>
        <w:trPr>
          <w:trHeight w:val="179"/>
        </w:trPr>
        <w:tc>
          <w:tcPr>
            <w:tcW w:w="600" w:type="dxa"/>
            <w:vAlign w:val="bottom"/>
          </w:tcPr>
          <w:p>
            <w:pPr>
              <w:spacing w:after="0" w:line="179" w:lineRule="exact"/>
              <w:rPr>
                <w:sz w:val="20"/>
                <w:szCs w:val="20"/>
                <w:color w:val="auto"/>
              </w:rPr>
            </w:pPr>
            <w:r>
              <w:rPr>
                <w:rFonts w:ascii="Courier New" w:cs="Courier New" w:eastAsia="Courier New" w:hAnsi="Courier New"/>
                <w:sz w:val="16"/>
                <w:szCs w:val="16"/>
                <w:color w:val="auto"/>
              </w:rPr>
              <w:t>$10.01</w:t>
            </w:r>
          </w:p>
        </w:tc>
        <w:tc>
          <w:tcPr>
            <w:tcW w:w="1680" w:type="dxa"/>
            <w:vAlign w:val="bottom"/>
          </w:tcPr>
          <w:p>
            <w:pPr>
              <w:jc w:val="right"/>
              <w:ind w:right="802"/>
              <w:spacing w:after="0" w:line="179" w:lineRule="exact"/>
              <w:rPr>
                <w:sz w:val="20"/>
                <w:szCs w:val="20"/>
                <w:color w:val="auto"/>
              </w:rPr>
            </w:pPr>
            <w:r>
              <w:rPr>
                <w:rFonts w:ascii="Courier New" w:cs="Courier New" w:eastAsia="Courier New" w:hAnsi="Courier New"/>
                <w:sz w:val="16"/>
                <w:szCs w:val="16"/>
                <w:color w:val="auto"/>
              </w:rPr>
              <w:t>- $15.00</w:t>
            </w:r>
          </w:p>
        </w:tc>
        <w:tc>
          <w:tcPr>
            <w:tcW w:w="16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5.5</w:t>
            </w:r>
          </w:p>
        </w:tc>
        <w:tc>
          <w:tcPr>
            <w:tcW w:w="12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5.80</w:t>
            </w:r>
          </w:p>
        </w:tc>
        <w:tc>
          <w:tcPr>
            <w:tcW w:w="14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12.35</w:t>
            </w:r>
          </w:p>
        </w:tc>
        <w:tc>
          <w:tcPr>
            <w:tcW w:w="12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1.0</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12.47</w:t>
            </w:r>
          </w:p>
        </w:tc>
      </w:tr>
      <w:tr>
        <w:trPr>
          <w:trHeight w:val="179"/>
        </w:trPr>
        <w:tc>
          <w:tcPr>
            <w:tcW w:w="600" w:type="dxa"/>
            <w:vAlign w:val="bottom"/>
          </w:tcPr>
          <w:p>
            <w:pPr>
              <w:spacing w:after="0" w:line="179" w:lineRule="exact"/>
              <w:rPr>
                <w:sz w:val="20"/>
                <w:szCs w:val="20"/>
                <w:color w:val="auto"/>
              </w:rPr>
            </w:pPr>
            <w:r>
              <w:rPr>
                <w:rFonts w:ascii="Courier New" w:cs="Courier New" w:eastAsia="Courier New" w:hAnsi="Courier New"/>
                <w:sz w:val="16"/>
                <w:szCs w:val="16"/>
                <w:color w:val="auto"/>
              </w:rPr>
              <w:t>$15.01</w:t>
            </w:r>
          </w:p>
        </w:tc>
        <w:tc>
          <w:tcPr>
            <w:tcW w:w="1680" w:type="dxa"/>
            <w:vAlign w:val="bottom"/>
          </w:tcPr>
          <w:p>
            <w:pPr>
              <w:jc w:val="right"/>
              <w:ind w:right="802"/>
              <w:spacing w:after="0" w:line="179" w:lineRule="exact"/>
              <w:rPr>
                <w:sz w:val="20"/>
                <w:szCs w:val="20"/>
                <w:color w:val="auto"/>
              </w:rPr>
            </w:pPr>
            <w:r>
              <w:rPr>
                <w:rFonts w:ascii="Courier New" w:cs="Courier New" w:eastAsia="Courier New" w:hAnsi="Courier New"/>
                <w:sz w:val="16"/>
                <w:szCs w:val="16"/>
                <w:color w:val="auto"/>
              </w:rPr>
              <w:t>- $20.00</w:t>
            </w:r>
          </w:p>
        </w:tc>
        <w:tc>
          <w:tcPr>
            <w:tcW w:w="16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0.7</w:t>
            </w:r>
          </w:p>
        </w:tc>
        <w:tc>
          <w:tcPr>
            <w:tcW w:w="12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5.04</w:t>
            </w:r>
          </w:p>
        </w:tc>
        <w:tc>
          <w:tcPr>
            <w:tcW w:w="14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17.25</w:t>
            </w:r>
          </w:p>
        </w:tc>
        <w:tc>
          <w:tcPr>
            <w:tcW w:w="12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0.2</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17.60</w:t>
            </w:r>
          </w:p>
        </w:tc>
      </w:tr>
      <w:tr>
        <w:trPr>
          <w:trHeight w:val="179"/>
        </w:trPr>
        <w:tc>
          <w:tcPr>
            <w:tcW w:w="228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above $20.00</w:t>
            </w:r>
          </w:p>
        </w:tc>
        <w:tc>
          <w:tcPr>
            <w:tcW w:w="16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0.2</w:t>
            </w:r>
          </w:p>
        </w:tc>
        <w:tc>
          <w:tcPr>
            <w:tcW w:w="12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5.43</w:t>
            </w:r>
          </w:p>
        </w:tc>
        <w:tc>
          <w:tcPr>
            <w:tcW w:w="14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21.99</w:t>
            </w:r>
          </w:p>
        </w:tc>
        <w:tc>
          <w:tcPr>
            <w:tcW w:w="12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22.42</w:t>
            </w:r>
          </w:p>
        </w:tc>
      </w:tr>
      <w:tr>
        <w:trPr>
          <w:trHeight w:val="179"/>
        </w:trPr>
        <w:tc>
          <w:tcPr>
            <w:tcW w:w="6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6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spacing w:after="0"/>
              <w:rPr>
                <w:sz w:val="15"/>
                <w:szCs w:val="15"/>
                <w:color w:val="auto"/>
              </w:rPr>
            </w:pPr>
          </w:p>
        </w:tc>
      </w:tr>
      <w:tr>
        <w:trPr>
          <w:trHeight w:val="179"/>
        </w:trPr>
        <w:tc>
          <w:tcPr>
            <w:tcW w:w="6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6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7.4</w:t>
            </w:r>
          </w:p>
        </w:tc>
        <w:tc>
          <w:tcPr>
            <w:tcW w:w="12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1.4</w:t>
            </w:r>
          </w:p>
        </w:tc>
        <w:tc>
          <w:tcPr>
            <w:tcW w:w="940" w:type="dxa"/>
            <w:vAlign w:val="bottom"/>
          </w:tcPr>
          <w:p>
            <w:pPr>
              <w:spacing w:after="0"/>
              <w:rPr>
                <w:sz w:val="15"/>
                <w:szCs w:val="15"/>
                <w:color w:val="auto"/>
              </w:rPr>
            </w:pPr>
          </w:p>
        </w:tc>
      </w:tr>
      <w:tr>
        <w:trPr>
          <w:trHeight w:val="179"/>
        </w:trPr>
        <w:tc>
          <w:tcPr>
            <w:tcW w:w="6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6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spacing w:after="0"/>
              <w:rPr>
                <w:sz w:val="15"/>
                <w:szCs w:val="15"/>
                <w:color w:val="auto"/>
              </w:rPr>
            </w:pPr>
          </w:p>
        </w:tc>
      </w:tr>
    </w:tbl>
    <w:p>
      <w:pPr>
        <w:spacing w:after="0" w:line="362" w:lineRule="exact"/>
        <w:rPr>
          <w:sz w:val="20"/>
          <w:szCs w:val="20"/>
          <w:color w:val="auto"/>
        </w:rPr>
      </w:pPr>
    </w:p>
    <w:p>
      <w:pPr>
        <w:ind w:left="5" w:right="3900" w:firstLine="186"/>
        <w:spacing w:after="0" w:line="235" w:lineRule="auto"/>
        <w:rPr>
          <w:sz w:val="20"/>
          <w:szCs w:val="20"/>
          <w:color w:val="auto"/>
        </w:rPr>
      </w:pPr>
      <w:r>
        <w:rPr>
          <w:rFonts w:ascii="Courier New" w:cs="Courier New" w:eastAsia="Courier New" w:hAnsi="Courier New"/>
          <w:sz w:val="16"/>
          <w:szCs w:val="16"/>
          <w:color w:val="auto"/>
        </w:rPr>
        <w:t>MEI's 1995 Employee Stock Purchase Plan ("MEI ESPP") allows eligible employees to purchase shares of MEI's common stock pursuant to the same terms as MTI's ESPP. A total of 2.5 million shares of MEI common stock are reserved for issuance under the MEI ESPP, of which approximately 692,000 shares had been issued as of September 2, 1999.</w:t>
      </w:r>
    </w:p>
    <w:p>
      <w:pPr>
        <w:spacing w:after="0" w:line="180"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Pro forma Disclosure</w:t>
      </w:r>
    </w:p>
    <w:p>
      <w:pPr>
        <w:ind w:left="5"/>
        <w:spacing w:after="0" w:line="236" w:lineRule="auto"/>
        <w:rPr>
          <w:sz w:val="20"/>
          <w:szCs w:val="20"/>
          <w:color w:val="auto"/>
        </w:rPr>
      </w:pPr>
      <w:r>
        <w:rPr>
          <w:rFonts w:ascii="Courier New" w:cs="Courier New" w:eastAsia="Courier New" w:hAnsi="Courier New"/>
          <w:sz w:val="16"/>
          <w:szCs w:val="16"/>
          <w:color w:val="auto"/>
        </w:rPr>
        <w:t>- --------------------</w:t>
      </w:r>
    </w:p>
    <w:p>
      <w:pPr>
        <w:spacing w:after="0" w:line="183" w:lineRule="exact"/>
        <w:rPr>
          <w:sz w:val="20"/>
          <w:szCs w:val="20"/>
          <w:color w:val="auto"/>
        </w:rPr>
      </w:pPr>
    </w:p>
    <w:p>
      <w:pPr>
        <w:ind w:left="5" w:right="3900" w:firstLine="186"/>
        <w:spacing w:after="0" w:line="236" w:lineRule="auto"/>
        <w:rPr>
          <w:sz w:val="20"/>
          <w:szCs w:val="20"/>
          <w:color w:val="auto"/>
        </w:rPr>
      </w:pPr>
      <w:r>
        <w:rPr>
          <w:rFonts w:ascii="Courier New" w:cs="Courier New" w:eastAsia="Courier New" w:hAnsi="Courier New"/>
          <w:sz w:val="16"/>
          <w:szCs w:val="16"/>
          <w:color w:val="auto"/>
        </w:rPr>
        <w:t>The Company has adopted the disclosure-only provisions of Statement of Financial Accounting Standards No. 123, "Accounting for Stock Based Compensation," issued in October 1995. Accordingly, compensation cost has been recorded based on the intrinsic value of the option only. The Company recognized $8.3 million, $3.4 million and $8.4 million of compensation cost in 1999, 1998 and 1997, respectively, for stock-based employee compensation awards. If the Company had elected to recognize compensation cost based on the fair value of the options granted at grant date as prescribed by SFAS</w:t>
      </w:r>
    </w:p>
    <w:p>
      <w:pPr>
        <w:spacing w:after="0" w:line="178" w:lineRule="exact"/>
        <w:rPr>
          <w:sz w:val="20"/>
          <w:szCs w:val="20"/>
          <w:color w:val="auto"/>
        </w:rPr>
      </w:pPr>
    </w:p>
    <w:p>
      <w:pPr>
        <w:ind w:left="3445"/>
        <w:spacing w:after="0"/>
        <w:rPr>
          <w:sz w:val="20"/>
          <w:szCs w:val="20"/>
          <w:color w:val="auto"/>
        </w:rPr>
      </w:pPr>
      <w:r>
        <w:rPr>
          <w:rFonts w:ascii="Courier New" w:cs="Courier New" w:eastAsia="Courier New" w:hAnsi="Courier New"/>
          <w:sz w:val="16"/>
          <w:szCs w:val="16"/>
          <w:color w:val="auto"/>
        </w:rPr>
        <w:t>40/57</w:t>
      </w:r>
    </w:p>
    <w:p>
      <w:pPr>
        <w:sectPr>
          <w:pgSz w:w="11900" w:h="16838" w:orient="portrait"/>
          <w:cols w:equalWidth="0" w:num="1">
            <w:col w:w="11345"/>
          </w:cols>
          <w:pgMar w:left="235" w:top="654" w:right="319" w:bottom="1440" w:gutter="0" w:footer="0" w:header="0"/>
        </w:sectPr>
      </w:pPr>
    </w:p>
    <w:bookmarkStart w:id="42" w:name="page43"/>
    <w:bookmarkEnd w:id="42"/>
    <w:p>
      <w:pPr>
        <w:ind w:right="3820"/>
        <w:spacing w:after="0" w:line="234" w:lineRule="auto"/>
        <w:rPr>
          <w:sz w:val="20"/>
          <w:szCs w:val="20"/>
          <w:color w:val="auto"/>
        </w:rPr>
      </w:pPr>
      <w:r>
        <w:rPr>
          <w:rFonts w:ascii="Courier New" w:cs="Courier New" w:eastAsia="Courier New" w:hAnsi="Courier New"/>
          <w:sz w:val="16"/>
          <w:szCs w:val="16"/>
          <w:color w:val="auto"/>
        </w:rPr>
        <w:t>No. 123, net income (loss) and earnings (loss) per share would have been changed to the pro forma amounts indicated in the table below:</w:t>
      </w:r>
    </w:p>
    <w:p>
      <w:pPr>
        <w:spacing w:after="0" w:line="200" w:lineRule="exact"/>
        <w:rPr>
          <w:sz w:val="20"/>
          <w:szCs w:val="20"/>
          <w:color w:val="auto"/>
        </w:rPr>
      </w:pPr>
    </w:p>
    <w:p>
      <w:pPr>
        <w:spacing w:after="0" w:line="335" w:lineRule="exact"/>
        <w:rPr>
          <w:sz w:val="20"/>
          <w:szCs w:val="20"/>
          <w:color w:val="auto"/>
        </w:rPr>
      </w:pPr>
    </w:p>
    <w:p>
      <w:pPr>
        <w:spacing w:after="0"/>
        <w:tabs>
          <w:tab w:leader="none" w:pos="4620" w:val="left"/>
          <w:tab w:leader="none" w:pos="7240" w:val="left"/>
          <w:tab w:leader="none" w:pos="9840" w:val="left"/>
        </w:tabs>
        <w:rPr>
          <w:sz w:val="20"/>
          <w:szCs w:val="20"/>
          <w:color w:val="auto"/>
        </w:rPr>
      </w:pPr>
      <w:r>
        <w:rPr>
          <w:rFonts w:ascii="Courier New" w:cs="Courier New" w:eastAsia="Courier New" w:hAnsi="Courier New"/>
          <w:sz w:val="16"/>
          <w:szCs w:val="16"/>
          <w:color w:val="auto"/>
        </w:rPr>
        <w:t>(Dollars in millions</w:t>
      </w:r>
      <w:r>
        <w:rPr>
          <w:sz w:val="20"/>
          <w:szCs w:val="20"/>
          <w:color w:val="auto"/>
        </w:rPr>
        <w:tab/>
      </w:r>
      <w:r>
        <w:rPr>
          <w:rFonts w:ascii="Courier New" w:cs="Courier New" w:eastAsia="Courier New" w:hAnsi="Courier New"/>
          <w:sz w:val="16"/>
          <w:szCs w:val="16"/>
          <w:color w:val="auto"/>
        </w:rPr>
        <w:t>1999</w:t>
      </w:r>
      <w:r>
        <w:rPr>
          <w:sz w:val="20"/>
          <w:szCs w:val="20"/>
          <w:color w:val="auto"/>
        </w:rPr>
        <w:tab/>
      </w:r>
      <w:r>
        <w:rPr>
          <w:rFonts w:ascii="Courier New" w:cs="Courier New" w:eastAsia="Courier New" w:hAnsi="Courier New"/>
          <w:sz w:val="16"/>
          <w:szCs w:val="16"/>
          <w:color w:val="auto"/>
        </w:rPr>
        <w:t>1998</w:t>
      </w:r>
      <w:r>
        <w:rPr>
          <w:sz w:val="20"/>
          <w:szCs w:val="20"/>
          <w:color w:val="auto"/>
        </w:rPr>
        <w:tab/>
      </w:r>
      <w:r>
        <w:rPr>
          <w:rFonts w:ascii="Courier New" w:cs="Courier New" w:eastAsia="Courier New" w:hAnsi="Courier New"/>
          <w:sz w:val="14"/>
          <w:szCs w:val="14"/>
          <w:color w:val="auto"/>
        </w:rPr>
        <w:t>1997</w:t>
      </w:r>
    </w:p>
    <w:p>
      <w:pPr>
        <w:spacing w:after="0"/>
        <w:tabs>
          <w:tab w:leader="none" w:pos="3600" w:val="left"/>
          <w:tab w:leader="none" w:pos="5000" w:val="left"/>
          <w:tab w:leader="none" w:pos="6200" w:val="left"/>
          <w:tab w:leader="none" w:pos="7600" w:val="left"/>
          <w:tab w:leader="none" w:pos="8820" w:val="left"/>
          <w:tab w:leader="none" w:pos="10200" w:val="left"/>
        </w:tabs>
        <w:rPr>
          <w:sz w:val="20"/>
          <w:szCs w:val="20"/>
          <w:color w:val="auto"/>
        </w:rPr>
      </w:pPr>
      <w:r>
        <w:rPr>
          <w:rFonts w:ascii="Courier New" w:cs="Courier New" w:eastAsia="Courier New" w:hAnsi="Courier New"/>
          <w:sz w:val="16"/>
          <w:szCs w:val="16"/>
          <w:color w:val="auto"/>
        </w:rPr>
        <w:t>except per share amounts)</w:t>
      </w:r>
      <w:r>
        <w:rPr>
          <w:sz w:val="20"/>
          <w:szCs w:val="20"/>
          <w:color w:val="auto"/>
        </w:rPr>
        <w:tab/>
      </w:r>
      <w:r>
        <w:rPr>
          <w:rFonts w:ascii="Courier New" w:cs="Courier New" w:eastAsia="Courier New" w:hAnsi="Courier New"/>
          <w:sz w:val="16"/>
          <w:szCs w:val="16"/>
          <w:color w:val="auto"/>
        </w:rPr>
        <w:t>As reported</w:t>
      </w:r>
      <w:r>
        <w:rPr>
          <w:sz w:val="20"/>
          <w:szCs w:val="20"/>
          <w:color w:val="auto"/>
        </w:rPr>
        <w:tab/>
      </w:r>
      <w:r>
        <w:rPr>
          <w:rFonts w:ascii="Courier New" w:cs="Courier New" w:eastAsia="Courier New" w:hAnsi="Courier New"/>
          <w:sz w:val="16"/>
          <w:szCs w:val="16"/>
          <w:color w:val="auto"/>
        </w:rPr>
        <w:t>Pro forma</w:t>
      </w:r>
      <w:r>
        <w:rPr>
          <w:sz w:val="20"/>
          <w:szCs w:val="20"/>
          <w:color w:val="auto"/>
        </w:rPr>
        <w:tab/>
      </w:r>
      <w:r>
        <w:rPr>
          <w:rFonts w:ascii="Courier New" w:cs="Courier New" w:eastAsia="Courier New" w:hAnsi="Courier New"/>
          <w:sz w:val="16"/>
          <w:szCs w:val="16"/>
          <w:color w:val="auto"/>
        </w:rPr>
        <w:t>As reported</w:t>
      </w:r>
      <w:r>
        <w:rPr>
          <w:sz w:val="20"/>
          <w:szCs w:val="20"/>
          <w:color w:val="auto"/>
        </w:rPr>
        <w:tab/>
      </w:r>
      <w:r>
        <w:rPr>
          <w:rFonts w:ascii="Courier New" w:cs="Courier New" w:eastAsia="Courier New" w:hAnsi="Courier New"/>
          <w:sz w:val="16"/>
          <w:szCs w:val="16"/>
          <w:color w:val="auto"/>
        </w:rPr>
        <w:t>Pro forma</w:t>
      </w:r>
      <w:r>
        <w:rPr>
          <w:sz w:val="20"/>
          <w:szCs w:val="20"/>
          <w:color w:val="auto"/>
        </w:rPr>
        <w:tab/>
      </w:r>
      <w:r>
        <w:rPr>
          <w:rFonts w:ascii="Courier New" w:cs="Courier New" w:eastAsia="Courier New" w:hAnsi="Courier New"/>
          <w:sz w:val="16"/>
          <w:szCs w:val="16"/>
          <w:color w:val="auto"/>
        </w:rPr>
        <w:t>As Reported</w:t>
      </w:r>
      <w:r>
        <w:rPr>
          <w:sz w:val="20"/>
          <w:szCs w:val="20"/>
          <w:color w:val="auto"/>
        </w:rPr>
        <w:tab/>
      </w:r>
      <w:r>
        <w:rPr>
          <w:rFonts w:ascii="Courier New" w:cs="Courier New" w:eastAsia="Courier New" w:hAnsi="Courier New"/>
          <w:sz w:val="14"/>
          <w:szCs w:val="14"/>
          <w:color w:val="auto"/>
        </w:rPr>
        <w:t>Pro forma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580" w:type="dxa"/>
            <w:vAlign w:val="bottom"/>
          </w:tcPr>
          <w:p>
            <w:pPr>
              <w:spacing w:after="0"/>
              <w:rPr>
                <w:sz w:val="20"/>
                <w:szCs w:val="20"/>
                <w:color w:val="auto"/>
              </w:rPr>
            </w:pPr>
            <w:r>
              <w:rPr>
                <w:rFonts w:ascii="Courier New" w:cs="Courier New" w:eastAsia="Courier New" w:hAnsi="Courier New"/>
                <w:sz w:val="16"/>
                <w:szCs w:val="16"/>
                <w:color w:val="auto"/>
              </w:rPr>
              <w:t>Net income (loss)...................</w:t>
            </w:r>
          </w:p>
        </w:tc>
        <w:tc>
          <w:tcPr>
            <w:tcW w:w="12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$(68.9)</w:t>
            </w:r>
          </w:p>
        </w:tc>
        <w:tc>
          <w:tcPr>
            <w:tcW w:w="13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$(144.2)</w:t>
            </w:r>
          </w:p>
        </w:tc>
        <w:tc>
          <w:tcPr>
            <w:tcW w:w="3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5"/>
              </w:rPr>
              <w:t>(247.1)</w:t>
            </w:r>
          </w:p>
        </w:tc>
        <w:tc>
          <w:tcPr>
            <w:tcW w:w="134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$(314.7)</w:t>
            </w:r>
          </w:p>
        </w:tc>
        <w:tc>
          <w:tcPr>
            <w:tcW w:w="122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$315.0</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w w:val="91"/>
              </w:rPr>
              <w:t>276.0</w:t>
            </w:r>
          </w:p>
        </w:tc>
      </w:tr>
      <w:tr>
        <w:trPr>
          <w:trHeight w:val="179"/>
        </w:trPr>
        <w:tc>
          <w:tcPr>
            <w:tcW w:w="3580" w:type="dxa"/>
            <w:vAlign w:val="bottom"/>
          </w:tcPr>
          <w:p>
            <w:pPr>
              <w:spacing w:after="0" w:line="179" w:lineRule="exact"/>
              <w:rPr>
                <w:sz w:val="20"/>
                <w:szCs w:val="20"/>
                <w:color w:val="auto"/>
              </w:rPr>
            </w:pPr>
            <w:r>
              <w:rPr>
                <w:rFonts w:ascii="Courier New" w:cs="Courier New" w:eastAsia="Courier New" w:hAnsi="Courier New"/>
                <w:sz w:val="16"/>
                <w:szCs w:val="16"/>
                <w:color w:val="auto"/>
              </w:rPr>
              <w:t>Diluted earnings (loss) per share...</w:t>
            </w:r>
          </w:p>
        </w:tc>
        <w:tc>
          <w:tcPr>
            <w:tcW w:w="12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$(0.26)</w:t>
            </w:r>
          </w:p>
        </w:tc>
        <w:tc>
          <w:tcPr>
            <w:tcW w:w="13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 (0.55)</w:t>
            </w:r>
          </w:p>
        </w:tc>
        <w:tc>
          <w:tcPr>
            <w:tcW w:w="3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(1.15)</w:t>
            </w:r>
          </w:p>
        </w:tc>
        <w:tc>
          <w:tcPr>
            <w:tcW w:w="13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 (1.46)</w:t>
            </w:r>
          </w:p>
        </w:tc>
        <w:tc>
          <w:tcPr>
            <w:tcW w:w="12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$ 1.44</w:t>
            </w:r>
          </w:p>
        </w:tc>
        <w:tc>
          <w:tcPr>
            <w:tcW w:w="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4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1.26</w:t>
            </w:r>
          </w:p>
        </w:tc>
      </w:tr>
    </w:tbl>
    <w:p>
      <w:pPr>
        <w:spacing w:after="0" w:line="362" w:lineRule="exact"/>
        <w:rPr>
          <w:sz w:val="20"/>
          <w:szCs w:val="20"/>
          <w:color w:val="auto"/>
        </w:rPr>
      </w:pPr>
    </w:p>
    <w:p>
      <w:pPr>
        <w:ind w:right="3820" w:firstLine="186"/>
        <w:spacing w:after="0" w:line="270" w:lineRule="auto"/>
        <w:rPr>
          <w:sz w:val="20"/>
          <w:szCs w:val="20"/>
          <w:color w:val="auto"/>
        </w:rPr>
      </w:pPr>
      <w:r>
        <w:rPr>
          <w:rFonts w:ascii="Courier New" w:cs="Courier New" w:eastAsia="Courier New" w:hAnsi="Courier New"/>
          <w:sz w:val="14"/>
          <w:szCs w:val="14"/>
          <w:color w:val="auto"/>
        </w:rPr>
        <w:t>The above pro forma amounts, for purposes of SFAS No. 123, reflect the portion of the estimated fair value of awards earned in 1999, 1998 and 1997. For purposes of pro forma disclosures, the estimated fair value of the options is amortized over the options' vesting period (for stock options) and over the offering period for stock purchases under the Employee Stock Purchase Plans.</w:t>
      </w:r>
    </w:p>
    <w:p>
      <w:pPr>
        <w:spacing w:after="0" w:line="2" w:lineRule="exact"/>
        <w:rPr>
          <w:sz w:val="20"/>
          <w:szCs w:val="20"/>
          <w:color w:val="auto"/>
        </w:rPr>
      </w:pPr>
    </w:p>
    <w:p>
      <w:pPr>
        <w:ind w:right="3920"/>
        <w:spacing w:after="0" w:line="235" w:lineRule="auto"/>
        <w:rPr>
          <w:sz w:val="20"/>
          <w:szCs w:val="20"/>
          <w:color w:val="auto"/>
        </w:rPr>
      </w:pPr>
      <w:r>
        <w:rPr>
          <w:rFonts w:ascii="Courier New" w:cs="Courier New" w:eastAsia="Courier New" w:hAnsi="Courier New"/>
          <w:sz w:val="16"/>
          <w:szCs w:val="16"/>
          <w:color w:val="auto"/>
        </w:rPr>
        <w:t>The effects on pro forma disclosures of applying SFAS No. 123 are not likely to be representative of the effects on pro forma disclosures of future years. Because SFAS No. 123 is applicable only to options granted subsequent to August 31, 1995, the effect will not be fully reflected until 2000.</w:t>
      </w:r>
    </w:p>
    <w:p>
      <w:pPr>
        <w:spacing w:after="0" w:line="185" w:lineRule="exact"/>
        <w:rPr>
          <w:sz w:val="20"/>
          <w:szCs w:val="20"/>
          <w:color w:val="auto"/>
        </w:rPr>
      </w:pPr>
    </w:p>
    <w:p>
      <w:pPr>
        <w:ind w:right="3920" w:firstLine="186"/>
        <w:spacing w:after="0" w:line="235" w:lineRule="auto"/>
        <w:rPr>
          <w:sz w:val="20"/>
          <w:szCs w:val="20"/>
          <w:color w:val="auto"/>
        </w:rPr>
      </w:pPr>
      <w:r>
        <w:rPr>
          <w:rFonts w:ascii="Courier New" w:cs="Courier New" w:eastAsia="Courier New" w:hAnsi="Courier New"/>
          <w:sz w:val="16"/>
          <w:szCs w:val="16"/>
          <w:color w:val="auto"/>
        </w:rPr>
        <w:t>The Company used the Black-Scholes model to value stock options for pro forma presentation. The assumptions used to estimate the value of the MTI options included in the pro forma amounts and the weighted average estimated fair value and exercise price of MTI options granted are as follows:</w:t>
      </w:r>
    </w:p>
    <w:p>
      <w:pPr>
        <w:spacing w:after="0" w:line="357" w:lineRule="exact"/>
        <w:rPr>
          <w:sz w:val="20"/>
          <w:szCs w:val="20"/>
          <w:color w:val="auto"/>
        </w:rPr>
      </w:pPr>
    </w:p>
    <w:tbl>
      <w:tblPr>
        <w:tblLayout w:type="fixed"/>
        <w:tblInd w:w="5480" w:type="dxa"/>
        <w:tblCellMar>
          <w:top w:w="0" w:type="dxa"/>
          <w:left w:w="0" w:type="dxa"/>
          <w:bottom w:w="0" w:type="dxa"/>
          <w:right w:w="0" w:type="dxa"/>
        </w:tblCellMar>
      </w:tblPr>
      <w:tr>
        <w:trPr>
          <w:trHeight w:val="181"/>
        </w:trPr>
        <w:tc>
          <w:tcPr>
            <w:tcW w:w="660" w:type="dxa"/>
            <w:vAlign w:val="bottom"/>
          </w:tcPr>
          <w:p>
            <w:pPr>
              <w:spacing w:after="0"/>
              <w:rPr>
                <w:sz w:val="15"/>
                <w:szCs w:val="15"/>
                <w:color w:val="auto"/>
              </w:rPr>
            </w:pPr>
          </w:p>
        </w:tc>
        <w:tc>
          <w:tcPr>
            <w:tcW w:w="1200" w:type="dxa"/>
            <w:vAlign w:val="bottom"/>
          </w:tcPr>
          <w:p>
            <w:pPr>
              <w:spacing w:after="0"/>
              <w:rPr>
                <w:sz w:val="20"/>
                <w:szCs w:val="20"/>
                <w:color w:val="auto"/>
              </w:rPr>
            </w:pPr>
            <w:r>
              <w:rPr>
                <w:rFonts w:ascii="Courier New" w:cs="Courier New" w:eastAsia="Courier New" w:hAnsi="Courier New"/>
                <w:sz w:val="16"/>
                <w:szCs w:val="16"/>
                <w:color w:val="auto"/>
              </w:rPr>
              <w:t>Stock Option</w:t>
            </w: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0" w:type="dxa"/>
            <w:vAlign w:val="bottom"/>
          </w:tcPr>
          <w:p>
            <w:pPr>
              <w:spacing w:after="0"/>
              <w:rPr>
                <w:sz w:val="20"/>
                <w:szCs w:val="20"/>
                <w:color w:val="auto"/>
              </w:rPr>
            </w:pPr>
            <w:r>
              <w:rPr>
                <w:rFonts w:ascii="Courier New" w:cs="Courier New" w:eastAsia="Courier New" w:hAnsi="Courier New"/>
                <w:sz w:val="16"/>
                <w:szCs w:val="16"/>
                <w:color w:val="auto"/>
              </w:rPr>
              <w:t>Employee Stock</w:t>
            </w:r>
          </w:p>
        </w:tc>
        <w:tc>
          <w:tcPr>
            <w:tcW w:w="560" w:type="dxa"/>
            <w:vAlign w:val="bottom"/>
          </w:tcPr>
          <w:p>
            <w:pPr>
              <w:spacing w:after="0"/>
              <w:rPr>
                <w:sz w:val="15"/>
                <w:szCs w:val="15"/>
                <w:color w:val="auto"/>
              </w:rPr>
            </w:pPr>
          </w:p>
        </w:tc>
      </w:tr>
      <w:tr>
        <w:trPr>
          <w:trHeight w:val="179"/>
        </w:trPr>
        <w:tc>
          <w:tcPr>
            <w:tcW w:w="660" w:type="dxa"/>
            <w:vAlign w:val="bottom"/>
          </w:tcPr>
          <w:p>
            <w:pPr>
              <w:spacing w:after="0"/>
              <w:rPr>
                <w:sz w:val="15"/>
                <w:szCs w:val="15"/>
                <w:color w:val="auto"/>
              </w:rPr>
            </w:pPr>
          </w:p>
        </w:tc>
        <w:tc>
          <w:tcPr>
            <w:tcW w:w="1200" w:type="dxa"/>
            <w:vAlign w:val="bottom"/>
          </w:tcPr>
          <w:p>
            <w:pPr>
              <w:spacing w:after="0" w:line="179" w:lineRule="exact"/>
              <w:rPr>
                <w:sz w:val="20"/>
                <w:szCs w:val="20"/>
                <w:color w:val="auto"/>
              </w:rPr>
            </w:pPr>
            <w:r>
              <w:rPr>
                <w:rFonts w:ascii="Courier New" w:cs="Courier New" w:eastAsia="Courier New" w:hAnsi="Courier New"/>
                <w:sz w:val="16"/>
                <w:szCs w:val="16"/>
                <w:color w:val="auto"/>
              </w:rPr>
              <w:t>Plan Shares</w:t>
            </w:r>
          </w:p>
        </w:tc>
        <w:tc>
          <w:tcPr>
            <w:tcW w:w="700" w:type="dxa"/>
            <w:vAlign w:val="bottom"/>
          </w:tcPr>
          <w:p>
            <w:pPr>
              <w:spacing w:after="0"/>
              <w:rPr>
                <w:sz w:val="15"/>
                <w:szCs w:val="15"/>
                <w:color w:val="auto"/>
              </w:rPr>
            </w:pPr>
          </w:p>
        </w:tc>
        <w:tc>
          <w:tcPr>
            <w:tcW w:w="2660" w:type="dxa"/>
            <w:vAlign w:val="bottom"/>
            <w:gridSpan w:val="3"/>
          </w:tcPr>
          <w:p>
            <w:pPr>
              <w:jc w:val="right"/>
              <w:ind w:right="202"/>
              <w:spacing w:after="0" w:line="179" w:lineRule="exact"/>
              <w:rPr>
                <w:sz w:val="20"/>
                <w:szCs w:val="20"/>
                <w:color w:val="auto"/>
              </w:rPr>
            </w:pPr>
            <w:r>
              <w:rPr>
                <w:rFonts w:ascii="Courier New" w:cs="Courier New" w:eastAsia="Courier New" w:hAnsi="Courier New"/>
                <w:sz w:val="16"/>
                <w:szCs w:val="16"/>
                <w:color w:val="auto"/>
              </w:rPr>
              <w:t>Purchase Plan Shares</w:t>
            </w:r>
          </w:p>
        </w:tc>
      </w:tr>
      <w:tr>
        <w:trPr>
          <w:trHeight w:val="179"/>
        </w:trPr>
        <w:tc>
          <w:tcPr>
            <w:tcW w:w="18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76"/>
              </w:rPr>
              <w:t>-------------------------</w:t>
            </w:r>
          </w:p>
        </w:tc>
        <w:tc>
          <w:tcPr>
            <w:tcW w:w="700" w:type="dxa"/>
            <w:vAlign w:val="bottom"/>
          </w:tcPr>
          <w:p>
            <w:pPr>
              <w:spacing w:after="0"/>
              <w:rPr>
                <w:sz w:val="15"/>
                <w:szCs w:val="15"/>
                <w:color w:val="auto"/>
              </w:rPr>
            </w:pPr>
          </w:p>
        </w:tc>
        <w:tc>
          <w:tcPr>
            <w:tcW w:w="266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6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1999</w:t>
            </w:r>
          </w:p>
        </w:tc>
        <w:tc>
          <w:tcPr>
            <w:tcW w:w="12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1998</w:t>
            </w: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1997</w:t>
            </w:r>
          </w:p>
        </w:tc>
        <w:tc>
          <w:tcPr>
            <w:tcW w:w="7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1999</w:t>
            </w:r>
          </w:p>
        </w:tc>
        <w:tc>
          <w:tcPr>
            <w:tcW w:w="14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1998</w:t>
            </w:r>
          </w:p>
        </w:tc>
        <w:tc>
          <w:tcPr>
            <w:tcW w:w="5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1997</w:t>
            </w:r>
          </w:p>
        </w:tc>
      </w:tr>
    </w:tbl>
    <w:p>
      <w:pPr>
        <w:spacing w:after="0" w:line="236" w:lineRule="auto"/>
        <w:rPr>
          <w:sz w:val="20"/>
          <w:szCs w:val="20"/>
          <w:color w:val="auto"/>
        </w:rPr>
      </w:pPr>
      <w:r>
        <w:rPr>
          <w:rFonts w:ascii="Courier New" w:cs="Courier New" w:eastAsia="Courier New" w:hAnsi="Courier New"/>
          <w:sz w:val="16"/>
          <w:szCs w:val="16"/>
          <w:color w:val="auto"/>
        </w:rPr>
        <w:t>- -------------------------------------------------------------------------------------------------------------------</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300" w:type="dxa"/>
            <w:vAlign w:val="bottom"/>
          </w:tcPr>
          <w:p>
            <w:pPr>
              <w:spacing w:after="0"/>
              <w:rPr>
                <w:sz w:val="20"/>
                <w:szCs w:val="20"/>
                <w:color w:val="auto"/>
              </w:rPr>
            </w:pPr>
            <w:r>
              <w:rPr>
                <w:rFonts w:ascii="Courier New" w:cs="Courier New" w:eastAsia="Courier New" w:hAnsi="Courier New"/>
                <w:sz w:val="16"/>
                <w:szCs w:val="16"/>
                <w:color w:val="auto"/>
                <w:w w:val="99"/>
              </w:rPr>
              <w:t>Average expected life (years)..........................</w:t>
            </w:r>
          </w:p>
        </w:tc>
        <w:tc>
          <w:tcPr>
            <w:tcW w:w="9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3.5</w:t>
            </w:r>
          </w:p>
        </w:tc>
        <w:tc>
          <w:tcPr>
            <w:tcW w:w="280" w:type="dxa"/>
            <w:vAlign w:val="bottom"/>
          </w:tcPr>
          <w:p>
            <w:pPr>
              <w:spacing w:after="0"/>
              <w:rPr>
                <w:sz w:val="15"/>
                <w:szCs w:val="15"/>
                <w:color w:val="auto"/>
              </w:rPr>
            </w:pPr>
          </w:p>
        </w:tc>
        <w:tc>
          <w:tcPr>
            <w:tcW w:w="6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3.5</w:t>
            </w:r>
          </w:p>
        </w:tc>
        <w:tc>
          <w:tcPr>
            <w:tcW w:w="9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3.5</w:t>
            </w: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0.25</w:t>
            </w:r>
          </w:p>
        </w:tc>
        <w:tc>
          <w:tcPr>
            <w:tcW w:w="9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0.25</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0.25</w:t>
            </w:r>
          </w:p>
        </w:tc>
      </w:tr>
      <w:tr>
        <w:trPr>
          <w:trHeight w:val="179"/>
        </w:trPr>
        <w:tc>
          <w:tcPr>
            <w:tcW w:w="530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Expected volatility....................................</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59%</w:t>
            </w:r>
          </w:p>
        </w:tc>
        <w:tc>
          <w:tcPr>
            <w:tcW w:w="280" w:type="dxa"/>
            <w:vAlign w:val="bottom"/>
          </w:tcPr>
          <w:p>
            <w:pPr>
              <w:spacing w:after="0"/>
              <w:rPr>
                <w:sz w:val="15"/>
                <w:szCs w:val="15"/>
                <w:color w:val="auto"/>
              </w:rPr>
            </w:pPr>
          </w:p>
        </w:tc>
        <w:tc>
          <w:tcPr>
            <w:tcW w:w="6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60%</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58%</w:t>
            </w:r>
          </w:p>
        </w:tc>
        <w:tc>
          <w:tcPr>
            <w:tcW w:w="9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59%</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60%</w:t>
            </w:r>
          </w:p>
        </w:tc>
        <w:tc>
          <w:tcPr>
            <w:tcW w:w="7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58%</w:t>
            </w:r>
          </w:p>
        </w:tc>
      </w:tr>
      <w:tr>
        <w:trPr>
          <w:trHeight w:val="179"/>
        </w:trPr>
        <w:tc>
          <w:tcPr>
            <w:tcW w:w="5300" w:type="dxa"/>
            <w:vAlign w:val="bottom"/>
          </w:tcPr>
          <w:p>
            <w:pPr>
              <w:spacing w:after="0" w:line="179" w:lineRule="exact"/>
              <w:rPr>
                <w:sz w:val="20"/>
                <w:szCs w:val="20"/>
                <w:color w:val="auto"/>
              </w:rPr>
            </w:pPr>
            <w:r>
              <w:rPr>
                <w:rFonts w:ascii="Courier New" w:cs="Courier New" w:eastAsia="Courier New" w:hAnsi="Courier New"/>
                <w:sz w:val="16"/>
                <w:szCs w:val="16"/>
                <w:color w:val="auto"/>
              </w:rPr>
              <w:t>Risk-free interest rate (zero coupon U.S. Treasury</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5.0%</w:t>
            </w:r>
          </w:p>
        </w:tc>
        <w:tc>
          <w:tcPr>
            <w:tcW w:w="280" w:type="dxa"/>
            <w:vAlign w:val="bottom"/>
          </w:tcPr>
          <w:p>
            <w:pPr>
              <w:spacing w:after="0"/>
              <w:rPr>
                <w:sz w:val="15"/>
                <w:szCs w:val="15"/>
                <w:color w:val="auto"/>
              </w:rPr>
            </w:pPr>
          </w:p>
        </w:tc>
        <w:tc>
          <w:tcPr>
            <w:tcW w:w="6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5.6%</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6.2%</w:t>
            </w:r>
          </w:p>
        </w:tc>
        <w:tc>
          <w:tcPr>
            <w:tcW w:w="9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4.4%</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5.1%</w:t>
            </w:r>
          </w:p>
        </w:tc>
        <w:tc>
          <w:tcPr>
            <w:tcW w:w="7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5.0%</w:t>
            </w:r>
          </w:p>
        </w:tc>
      </w:tr>
      <w:tr>
        <w:trPr>
          <w:trHeight w:val="179"/>
        </w:trPr>
        <w:tc>
          <w:tcPr>
            <w:tcW w:w="53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8"/>
              </w:rPr>
              <w:t>note).................................................</w:t>
            </w: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9"/>
        </w:trPr>
        <w:tc>
          <w:tcPr>
            <w:tcW w:w="5300" w:type="dxa"/>
            <w:vAlign w:val="bottom"/>
          </w:tcPr>
          <w:p>
            <w:pPr>
              <w:spacing w:after="0" w:line="179" w:lineRule="exact"/>
              <w:rPr>
                <w:sz w:val="20"/>
                <w:szCs w:val="20"/>
                <w:color w:val="auto"/>
              </w:rPr>
            </w:pPr>
            <w:r>
              <w:rPr>
                <w:rFonts w:ascii="Courier New" w:cs="Courier New" w:eastAsia="Courier New" w:hAnsi="Courier New"/>
                <w:sz w:val="16"/>
                <w:szCs w:val="16"/>
                <w:color w:val="auto"/>
              </w:rPr>
              <w:t>Weighted average fair value at grant</w:t>
            </w: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9"/>
        </w:trPr>
        <w:tc>
          <w:tcPr>
            <w:tcW w:w="53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Exercise price equal to market price.................</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$14.92</w:t>
            </w:r>
          </w:p>
        </w:tc>
        <w:tc>
          <w:tcPr>
            <w:tcW w:w="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5"/>
              </w:rPr>
              <w:t>14.70</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$15.17</w:t>
            </w:r>
          </w:p>
        </w:tc>
        <w:tc>
          <w:tcPr>
            <w:tcW w:w="9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3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Exercise price less than market price................</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$17.81</w:t>
            </w:r>
          </w:p>
        </w:tc>
        <w:tc>
          <w:tcPr>
            <w:tcW w:w="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5"/>
              </w:rPr>
              <w:t>27.77</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$21.26</w:t>
            </w:r>
          </w:p>
        </w:tc>
        <w:tc>
          <w:tcPr>
            <w:tcW w:w="9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$14.42</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$ 9.68</w:t>
            </w:r>
          </w:p>
        </w:tc>
        <w:tc>
          <w:tcPr>
            <w:tcW w:w="7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$ 6.61</w:t>
            </w:r>
          </w:p>
        </w:tc>
      </w:tr>
      <w:tr>
        <w:trPr>
          <w:trHeight w:val="179"/>
        </w:trPr>
        <w:tc>
          <w:tcPr>
            <w:tcW w:w="5300" w:type="dxa"/>
            <w:vAlign w:val="bottom"/>
          </w:tcPr>
          <w:p>
            <w:pPr>
              <w:spacing w:after="0" w:line="179" w:lineRule="exact"/>
              <w:rPr>
                <w:sz w:val="20"/>
                <w:szCs w:val="20"/>
                <w:color w:val="auto"/>
              </w:rPr>
            </w:pPr>
            <w:r>
              <w:rPr>
                <w:rFonts w:ascii="Courier New" w:cs="Courier New" w:eastAsia="Courier New" w:hAnsi="Courier New"/>
                <w:sz w:val="16"/>
                <w:szCs w:val="16"/>
                <w:color w:val="auto"/>
              </w:rPr>
              <w:t>Weighted average exercise price</w:t>
            </w: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9"/>
        </w:trPr>
        <w:tc>
          <w:tcPr>
            <w:tcW w:w="53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Exercise price equal to market price.................</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$31.94</w:t>
            </w:r>
          </w:p>
        </w:tc>
        <w:tc>
          <w:tcPr>
            <w:tcW w:w="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5"/>
              </w:rPr>
              <w:t>30.45</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$38.40</w:t>
            </w:r>
          </w:p>
        </w:tc>
        <w:tc>
          <w:tcPr>
            <w:tcW w:w="9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3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Exercise price less than market price................</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$20.91</w:t>
            </w:r>
          </w:p>
        </w:tc>
        <w:tc>
          <w:tcPr>
            <w:tcW w:w="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1.74</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$17.61</w:t>
            </w:r>
          </w:p>
        </w:tc>
        <w:tc>
          <w:tcPr>
            <w:tcW w:w="9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$29.99</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$23.03</w:t>
            </w:r>
          </w:p>
        </w:tc>
        <w:tc>
          <w:tcPr>
            <w:tcW w:w="7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$26.55</w:t>
            </w:r>
          </w:p>
        </w:tc>
      </w:tr>
    </w:tbl>
    <w:p>
      <w:pPr>
        <w:spacing w:after="0" w:line="362" w:lineRule="exact"/>
        <w:rPr>
          <w:sz w:val="20"/>
          <w:szCs w:val="20"/>
          <w:color w:val="auto"/>
        </w:rPr>
      </w:pPr>
    </w:p>
    <w:p>
      <w:pPr>
        <w:ind w:right="3920" w:firstLine="186"/>
        <w:spacing w:after="0" w:line="235" w:lineRule="auto"/>
        <w:rPr>
          <w:sz w:val="20"/>
          <w:szCs w:val="20"/>
          <w:color w:val="auto"/>
        </w:rPr>
      </w:pPr>
      <w:r>
        <w:rPr>
          <w:rFonts w:ascii="Courier New" w:cs="Courier New" w:eastAsia="Courier New" w:hAnsi="Courier New"/>
          <w:sz w:val="16"/>
          <w:szCs w:val="16"/>
          <w:color w:val="auto"/>
        </w:rPr>
        <w:t>The assumptions used to estimate the value of the MEI options included in the pro forma amounts and the weighted average estimated fair value of MEI options granted are as follows:</w:t>
      </w:r>
    </w:p>
    <w:p>
      <w:pPr>
        <w:spacing w:after="0" w:line="356" w:lineRule="exact"/>
        <w:rPr>
          <w:sz w:val="20"/>
          <w:szCs w:val="20"/>
          <w:color w:val="auto"/>
        </w:rPr>
      </w:pPr>
    </w:p>
    <w:tbl>
      <w:tblPr>
        <w:tblLayout w:type="fixed"/>
        <w:tblInd w:w="5480" w:type="dxa"/>
        <w:tblCellMar>
          <w:top w:w="0" w:type="dxa"/>
          <w:left w:w="0" w:type="dxa"/>
          <w:bottom w:w="0" w:type="dxa"/>
          <w:right w:w="0" w:type="dxa"/>
        </w:tblCellMar>
      </w:tblPr>
      <w:tr>
        <w:trPr>
          <w:trHeight w:val="181"/>
        </w:trPr>
        <w:tc>
          <w:tcPr>
            <w:tcW w:w="660" w:type="dxa"/>
            <w:vAlign w:val="bottom"/>
          </w:tcPr>
          <w:p>
            <w:pPr>
              <w:spacing w:after="0"/>
              <w:rPr>
                <w:sz w:val="15"/>
                <w:szCs w:val="15"/>
                <w:color w:val="auto"/>
              </w:rPr>
            </w:pPr>
          </w:p>
        </w:tc>
        <w:tc>
          <w:tcPr>
            <w:tcW w:w="1200" w:type="dxa"/>
            <w:vAlign w:val="bottom"/>
          </w:tcPr>
          <w:p>
            <w:pPr>
              <w:spacing w:after="0"/>
              <w:rPr>
                <w:sz w:val="20"/>
                <w:szCs w:val="20"/>
                <w:color w:val="auto"/>
              </w:rPr>
            </w:pPr>
            <w:r>
              <w:rPr>
                <w:rFonts w:ascii="Courier New" w:cs="Courier New" w:eastAsia="Courier New" w:hAnsi="Courier New"/>
                <w:sz w:val="16"/>
                <w:szCs w:val="16"/>
                <w:color w:val="auto"/>
              </w:rPr>
              <w:t>Stock Option</w:t>
            </w: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0" w:type="dxa"/>
            <w:vAlign w:val="bottom"/>
          </w:tcPr>
          <w:p>
            <w:pPr>
              <w:spacing w:after="0"/>
              <w:rPr>
                <w:sz w:val="20"/>
                <w:szCs w:val="20"/>
                <w:color w:val="auto"/>
              </w:rPr>
            </w:pPr>
            <w:r>
              <w:rPr>
                <w:rFonts w:ascii="Courier New" w:cs="Courier New" w:eastAsia="Courier New" w:hAnsi="Courier New"/>
                <w:sz w:val="16"/>
                <w:szCs w:val="16"/>
                <w:color w:val="auto"/>
              </w:rPr>
              <w:t>Employee Stock</w:t>
            </w:r>
          </w:p>
        </w:tc>
        <w:tc>
          <w:tcPr>
            <w:tcW w:w="560" w:type="dxa"/>
            <w:vAlign w:val="bottom"/>
          </w:tcPr>
          <w:p>
            <w:pPr>
              <w:spacing w:after="0"/>
              <w:rPr>
                <w:sz w:val="15"/>
                <w:szCs w:val="15"/>
                <w:color w:val="auto"/>
              </w:rPr>
            </w:pPr>
          </w:p>
        </w:tc>
      </w:tr>
      <w:tr>
        <w:trPr>
          <w:trHeight w:val="179"/>
        </w:trPr>
        <w:tc>
          <w:tcPr>
            <w:tcW w:w="660" w:type="dxa"/>
            <w:vAlign w:val="bottom"/>
          </w:tcPr>
          <w:p>
            <w:pPr>
              <w:spacing w:after="0"/>
              <w:rPr>
                <w:sz w:val="15"/>
                <w:szCs w:val="15"/>
                <w:color w:val="auto"/>
              </w:rPr>
            </w:pPr>
          </w:p>
        </w:tc>
        <w:tc>
          <w:tcPr>
            <w:tcW w:w="1200" w:type="dxa"/>
            <w:vAlign w:val="bottom"/>
          </w:tcPr>
          <w:p>
            <w:pPr>
              <w:spacing w:after="0" w:line="179" w:lineRule="exact"/>
              <w:rPr>
                <w:sz w:val="20"/>
                <w:szCs w:val="20"/>
                <w:color w:val="auto"/>
              </w:rPr>
            </w:pPr>
            <w:r>
              <w:rPr>
                <w:rFonts w:ascii="Courier New" w:cs="Courier New" w:eastAsia="Courier New" w:hAnsi="Courier New"/>
                <w:sz w:val="16"/>
                <w:szCs w:val="16"/>
                <w:color w:val="auto"/>
              </w:rPr>
              <w:t>Plan Shares</w:t>
            </w:r>
          </w:p>
        </w:tc>
        <w:tc>
          <w:tcPr>
            <w:tcW w:w="700" w:type="dxa"/>
            <w:vAlign w:val="bottom"/>
          </w:tcPr>
          <w:p>
            <w:pPr>
              <w:spacing w:after="0"/>
              <w:rPr>
                <w:sz w:val="15"/>
                <w:szCs w:val="15"/>
                <w:color w:val="auto"/>
              </w:rPr>
            </w:pPr>
          </w:p>
        </w:tc>
        <w:tc>
          <w:tcPr>
            <w:tcW w:w="2660" w:type="dxa"/>
            <w:vAlign w:val="bottom"/>
            <w:gridSpan w:val="3"/>
          </w:tcPr>
          <w:p>
            <w:pPr>
              <w:jc w:val="right"/>
              <w:ind w:right="202"/>
              <w:spacing w:after="0" w:line="179" w:lineRule="exact"/>
              <w:rPr>
                <w:sz w:val="20"/>
                <w:szCs w:val="20"/>
                <w:color w:val="auto"/>
              </w:rPr>
            </w:pPr>
            <w:r>
              <w:rPr>
                <w:rFonts w:ascii="Courier New" w:cs="Courier New" w:eastAsia="Courier New" w:hAnsi="Courier New"/>
                <w:sz w:val="16"/>
                <w:szCs w:val="16"/>
                <w:color w:val="auto"/>
              </w:rPr>
              <w:t>Purchase Plan Shares</w:t>
            </w:r>
          </w:p>
        </w:tc>
      </w:tr>
      <w:tr>
        <w:trPr>
          <w:trHeight w:val="179"/>
        </w:trPr>
        <w:tc>
          <w:tcPr>
            <w:tcW w:w="18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76"/>
              </w:rPr>
              <w:t>-------------------------</w:t>
            </w:r>
          </w:p>
        </w:tc>
        <w:tc>
          <w:tcPr>
            <w:tcW w:w="700" w:type="dxa"/>
            <w:vAlign w:val="bottom"/>
          </w:tcPr>
          <w:p>
            <w:pPr>
              <w:spacing w:after="0"/>
              <w:rPr>
                <w:sz w:val="15"/>
                <w:szCs w:val="15"/>
                <w:color w:val="auto"/>
              </w:rPr>
            </w:pPr>
          </w:p>
        </w:tc>
        <w:tc>
          <w:tcPr>
            <w:tcW w:w="266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6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1999</w:t>
            </w:r>
          </w:p>
        </w:tc>
        <w:tc>
          <w:tcPr>
            <w:tcW w:w="12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1998</w:t>
            </w: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1997</w:t>
            </w:r>
          </w:p>
        </w:tc>
        <w:tc>
          <w:tcPr>
            <w:tcW w:w="7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1999</w:t>
            </w:r>
          </w:p>
        </w:tc>
        <w:tc>
          <w:tcPr>
            <w:tcW w:w="14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1998</w:t>
            </w:r>
          </w:p>
        </w:tc>
        <w:tc>
          <w:tcPr>
            <w:tcW w:w="5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1997</w:t>
            </w:r>
          </w:p>
        </w:tc>
      </w:tr>
    </w:tbl>
    <w:p>
      <w:pPr>
        <w:spacing w:after="0" w:line="236" w:lineRule="auto"/>
        <w:rPr>
          <w:sz w:val="20"/>
          <w:szCs w:val="20"/>
          <w:color w:val="auto"/>
        </w:rPr>
      </w:pPr>
      <w:r>
        <w:rPr>
          <w:rFonts w:ascii="Courier New" w:cs="Courier New" w:eastAsia="Courier New" w:hAnsi="Courier New"/>
          <w:sz w:val="16"/>
          <w:szCs w:val="16"/>
          <w:color w:val="auto"/>
        </w:rPr>
        <w:t>- -------------------------------------------------------------------------------------------------------------------</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300" w:type="dxa"/>
            <w:vAlign w:val="bottom"/>
          </w:tcPr>
          <w:p>
            <w:pPr>
              <w:spacing w:after="0"/>
              <w:rPr>
                <w:sz w:val="20"/>
                <w:szCs w:val="20"/>
                <w:color w:val="auto"/>
              </w:rPr>
            </w:pPr>
            <w:r>
              <w:rPr>
                <w:rFonts w:ascii="Courier New" w:cs="Courier New" w:eastAsia="Courier New" w:hAnsi="Courier New"/>
                <w:sz w:val="16"/>
                <w:szCs w:val="16"/>
                <w:color w:val="auto"/>
                <w:w w:val="99"/>
              </w:rPr>
              <w:t>Average expected life (years)..........................</w:t>
            </w:r>
          </w:p>
        </w:tc>
        <w:tc>
          <w:tcPr>
            <w:tcW w:w="9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3.5</w:t>
            </w:r>
          </w:p>
        </w:tc>
        <w:tc>
          <w:tcPr>
            <w:tcW w:w="280" w:type="dxa"/>
            <w:vAlign w:val="bottom"/>
          </w:tcPr>
          <w:p>
            <w:pPr>
              <w:spacing w:after="0"/>
              <w:rPr>
                <w:sz w:val="15"/>
                <w:szCs w:val="15"/>
                <w:color w:val="auto"/>
              </w:rPr>
            </w:pPr>
          </w:p>
        </w:tc>
        <w:tc>
          <w:tcPr>
            <w:tcW w:w="6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3.3</w:t>
            </w:r>
          </w:p>
        </w:tc>
        <w:tc>
          <w:tcPr>
            <w:tcW w:w="9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3.5</w:t>
            </w:r>
          </w:p>
        </w:tc>
        <w:tc>
          <w:tcPr>
            <w:tcW w:w="9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0.5</w:t>
            </w:r>
          </w:p>
        </w:tc>
        <w:tc>
          <w:tcPr>
            <w:tcW w:w="92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0.5</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0.5</w:t>
            </w:r>
          </w:p>
        </w:tc>
      </w:tr>
      <w:tr>
        <w:trPr>
          <w:trHeight w:val="179"/>
        </w:trPr>
        <w:tc>
          <w:tcPr>
            <w:tcW w:w="530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Expected volatility....................................</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70%</w:t>
            </w:r>
          </w:p>
        </w:tc>
        <w:tc>
          <w:tcPr>
            <w:tcW w:w="280" w:type="dxa"/>
            <w:vAlign w:val="bottom"/>
          </w:tcPr>
          <w:p>
            <w:pPr>
              <w:spacing w:after="0"/>
              <w:rPr>
                <w:sz w:val="15"/>
                <w:szCs w:val="15"/>
                <w:color w:val="auto"/>
              </w:rPr>
            </w:pPr>
          </w:p>
        </w:tc>
        <w:tc>
          <w:tcPr>
            <w:tcW w:w="6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70%</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70%</w:t>
            </w:r>
          </w:p>
        </w:tc>
        <w:tc>
          <w:tcPr>
            <w:tcW w:w="9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70%</w:t>
            </w:r>
          </w:p>
        </w:tc>
        <w:tc>
          <w:tcPr>
            <w:tcW w:w="9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70%</w:t>
            </w:r>
          </w:p>
        </w:tc>
        <w:tc>
          <w:tcPr>
            <w:tcW w:w="8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70%</w:t>
            </w:r>
          </w:p>
        </w:tc>
      </w:tr>
      <w:tr>
        <w:trPr>
          <w:trHeight w:val="179"/>
        </w:trPr>
        <w:tc>
          <w:tcPr>
            <w:tcW w:w="5300" w:type="dxa"/>
            <w:vAlign w:val="bottom"/>
          </w:tcPr>
          <w:p>
            <w:pPr>
              <w:spacing w:after="0" w:line="179" w:lineRule="exact"/>
              <w:rPr>
                <w:sz w:val="20"/>
                <w:szCs w:val="20"/>
                <w:color w:val="auto"/>
              </w:rPr>
            </w:pPr>
            <w:r>
              <w:rPr>
                <w:rFonts w:ascii="Courier New" w:cs="Courier New" w:eastAsia="Courier New" w:hAnsi="Courier New"/>
                <w:sz w:val="16"/>
                <w:szCs w:val="16"/>
                <w:color w:val="auto"/>
              </w:rPr>
              <w:t>Risk-free interest rate (zero coupon U.S. Treasury</w:t>
            </w: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9"/>
        </w:trPr>
        <w:tc>
          <w:tcPr>
            <w:tcW w:w="53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8"/>
              </w:rPr>
              <w:t>note).................................................</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5.0%</w:t>
            </w:r>
          </w:p>
        </w:tc>
        <w:tc>
          <w:tcPr>
            <w:tcW w:w="280" w:type="dxa"/>
            <w:vAlign w:val="bottom"/>
          </w:tcPr>
          <w:p>
            <w:pPr>
              <w:spacing w:after="0"/>
              <w:rPr>
                <w:sz w:val="15"/>
                <w:szCs w:val="15"/>
                <w:color w:val="auto"/>
              </w:rPr>
            </w:pPr>
          </w:p>
        </w:tc>
        <w:tc>
          <w:tcPr>
            <w:tcW w:w="6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5.6%</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6.2%</w:t>
            </w:r>
          </w:p>
        </w:tc>
        <w:tc>
          <w:tcPr>
            <w:tcW w:w="9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4.5%</w:t>
            </w:r>
          </w:p>
        </w:tc>
        <w:tc>
          <w:tcPr>
            <w:tcW w:w="9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5.1%</w:t>
            </w:r>
          </w:p>
        </w:tc>
        <w:tc>
          <w:tcPr>
            <w:tcW w:w="8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5.0%</w:t>
            </w:r>
          </w:p>
        </w:tc>
      </w:tr>
      <w:tr>
        <w:trPr>
          <w:trHeight w:val="179"/>
        </w:trPr>
        <w:tc>
          <w:tcPr>
            <w:tcW w:w="5300" w:type="dxa"/>
            <w:vAlign w:val="bottom"/>
          </w:tcPr>
          <w:p>
            <w:pPr>
              <w:spacing w:after="0" w:line="179" w:lineRule="exact"/>
              <w:rPr>
                <w:sz w:val="20"/>
                <w:szCs w:val="20"/>
                <w:color w:val="auto"/>
              </w:rPr>
            </w:pPr>
            <w:r>
              <w:rPr>
                <w:rFonts w:ascii="Courier New" w:cs="Courier New" w:eastAsia="Courier New" w:hAnsi="Courier New"/>
                <w:sz w:val="16"/>
                <w:szCs w:val="16"/>
                <w:color w:val="auto"/>
              </w:rPr>
              <w:t>Weighted average fair value at grant</w:t>
            </w: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9"/>
        </w:trPr>
        <w:tc>
          <w:tcPr>
            <w:tcW w:w="53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Exercise price equal to market price.................</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$ 6.88</w:t>
            </w:r>
          </w:p>
        </w:tc>
        <w:tc>
          <w:tcPr>
            <w:tcW w:w="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6.57</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$10.68</w:t>
            </w:r>
          </w:p>
        </w:tc>
        <w:tc>
          <w:tcPr>
            <w:tcW w:w="9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3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Exercise price less than market price................</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$ 8.46</w:t>
            </w:r>
          </w:p>
        </w:tc>
        <w:tc>
          <w:tcPr>
            <w:tcW w:w="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9.25</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$11.41</w:t>
            </w:r>
          </w:p>
        </w:tc>
        <w:tc>
          <w:tcPr>
            <w:tcW w:w="9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$4.79</w:t>
            </w:r>
          </w:p>
        </w:tc>
        <w:tc>
          <w:tcPr>
            <w:tcW w:w="9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$3.78</w:t>
            </w:r>
          </w:p>
        </w:tc>
        <w:tc>
          <w:tcPr>
            <w:tcW w:w="8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$ 5.39</w:t>
            </w:r>
          </w:p>
        </w:tc>
      </w:tr>
      <w:tr>
        <w:trPr>
          <w:trHeight w:val="179"/>
        </w:trPr>
        <w:tc>
          <w:tcPr>
            <w:tcW w:w="5300" w:type="dxa"/>
            <w:vAlign w:val="bottom"/>
          </w:tcPr>
          <w:p>
            <w:pPr>
              <w:spacing w:after="0" w:line="179" w:lineRule="exact"/>
              <w:rPr>
                <w:sz w:val="20"/>
                <w:szCs w:val="20"/>
                <w:color w:val="auto"/>
              </w:rPr>
            </w:pPr>
            <w:r>
              <w:rPr>
                <w:rFonts w:ascii="Courier New" w:cs="Courier New" w:eastAsia="Courier New" w:hAnsi="Courier New"/>
                <w:sz w:val="16"/>
                <w:szCs w:val="16"/>
                <w:color w:val="auto"/>
              </w:rPr>
              <w:t>Weighted average exercise price</w:t>
            </w: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9"/>
        </w:trPr>
        <w:tc>
          <w:tcPr>
            <w:tcW w:w="53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Exercise price equal to market price.................</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$12.65</w:t>
            </w:r>
          </w:p>
        </w:tc>
        <w:tc>
          <w:tcPr>
            <w:tcW w:w="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5"/>
              </w:rPr>
              <w:t>13.20</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$20.29</w:t>
            </w:r>
          </w:p>
        </w:tc>
        <w:tc>
          <w:tcPr>
            <w:tcW w:w="9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3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Exercise price less than market price................</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$12.46</w:t>
            </w:r>
          </w:p>
        </w:tc>
        <w:tc>
          <w:tcPr>
            <w:tcW w:w="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5"/>
              </w:rPr>
              <w:t>13.63</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$18.07</w:t>
            </w:r>
          </w:p>
        </w:tc>
        <w:tc>
          <w:tcPr>
            <w:tcW w:w="9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$9.60</w:t>
            </w:r>
          </w:p>
        </w:tc>
        <w:tc>
          <w:tcPr>
            <w:tcW w:w="9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$7.74</w:t>
            </w:r>
          </w:p>
        </w:tc>
        <w:tc>
          <w:tcPr>
            <w:tcW w:w="8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$12.51</w:t>
            </w:r>
          </w:p>
        </w:tc>
      </w:tr>
    </w:tbl>
    <w:p>
      <w:pPr>
        <w:spacing w:after="0" w:line="362" w:lineRule="exact"/>
        <w:rPr>
          <w:sz w:val="20"/>
          <w:szCs w:val="20"/>
          <w:color w:val="auto"/>
        </w:rPr>
      </w:pPr>
    </w:p>
    <w:p>
      <w:pPr>
        <w:ind w:right="3820" w:firstLine="186"/>
        <w:spacing w:after="0" w:line="273" w:lineRule="auto"/>
        <w:rPr>
          <w:sz w:val="20"/>
          <w:szCs w:val="20"/>
          <w:color w:val="auto"/>
        </w:rPr>
      </w:pPr>
      <w:r>
        <w:rPr>
          <w:rFonts w:ascii="Courier New" w:cs="Courier New" w:eastAsia="Courier New" w:hAnsi="Courier New"/>
          <w:sz w:val="14"/>
          <w:szCs w:val="14"/>
          <w:color w:val="auto"/>
        </w:rPr>
        <w:t>The Black-Scholes option valuation model was developed for use in estimating the fair value of traded options which have no vesting restrictions and are fully transferable. In addition, the Black-Scholes model requires the input of highly subjective assumptions, including the expected stock price volatility and option life. Because the Company's stock options granted to employees have characteristics significantly different from those of traded options and because changes in the subjective input assumptions can materially affect the fair value estimate, in management's opinion, existing models do not necessarily provide a reliable measure of the fair value of its stock options granted to employees. For purposes of this model no dividends have been assumed.</w:t>
      </w:r>
    </w:p>
    <w:p>
      <w:pPr>
        <w:spacing w:after="0" w:line="158"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41/57</w:t>
      </w:r>
    </w:p>
    <w:p>
      <w:pPr>
        <w:sectPr>
          <w:pgSz w:w="11900" w:h="16838" w:orient="portrait"/>
          <w:cols w:equalWidth="0" w:num="1">
            <w:col w:w="11260"/>
          </w:cols>
          <w:pgMar w:left="240" w:top="654" w:right="399" w:bottom="954" w:gutter="0" w:footer="0" w:header="0"/>
        </w:sectPr>
      </w:pPr>
    </w:p>
    <w:bookmarkStart w:id="43" w:name="page44"/>
    <w:bookmarkEnd w:id="43"/>
    <w:p>
      <w:pPr>
        <w:spacing w:after="0"/>
        <w:rPr>
          <w:sz w:val="20"/>
          <w:szCs w:val="20"/>
          <w:color w:val="auto"/>
        </w:rPr>
      </w:pPr>
      <w:r>
        <w:rPr>
          <w:rFonts w:ascii="Courier New" w:cs="Courier New" w:eastAsia="Courier New" w:hAnsi="Courier New"/>
          <w:sz w:val="16"/>
          <w:szCs w:val="16"/>
          <w:color w:val="auto"/>
        </w:rPr>
        <w:t>Employee Savings Plan</w:t>
      </w:r>
    </w:p>
    <w:p>
      <w:pPr>
        <w:spacing w:after="0" w:line="183" w:lineRule="exact"/>
        <w:rPr>
          <w:sz w:val="20"/>
          <w:szCs w:val="20"/>
          <w:color w:val="auto"/>
        </w:rPr>
      </w:pPr>
    </w:p>
    <w:p>
      <w:pPr>
        <w:ind w:right="2779" w:firstLine="186"/>
        <w:spacing w:after="0" w:line="236" w:lineRule="auto"/>
        <w:rPr>
          <w:sz w:val="20"/>
          <w:szCs w:val="20"/>
          <w:color w:val="auto"/>
        </w:rPr>
      </w:pPr>
      <w:r>
        <w:rPr>
          <w:rFonts w:ascii="Courier New" w:cs="Courier New" w:eastAsia="Courier New" w:hAnsi="Courier New"/>
          <w:sz w:val="16"/>
          <w:szCs w:val="16"/>
          <w:color w:val="auto"/>
        </w:rPr>
        <w:t>The Company has 401(k) profit-sharing plans ("RAM Plans") under which employees may contribute from 2% to 16% of their eligible pay to various savings alternatives in the RAM Plans. The Company's contribution provides for an annual match of the first $1,500 of eligible employee contributions, in addition to contributions based on the Company's financial performance. The Company's RAM Plans expenses were $12.5 million, $11.3 million and $18.9 million in 1999, 1998 and 1997, respectively.</w:t>
      </w: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 Operating Expense, net</w:t>
      </w:r>
    </w:p>
    <w:p>
      <w:pPr>
        <w:spacing w:after="0" w:line="183" w:lineRule="exact"/>
        <w:rPr>
          <w:sz w:val="20"/>
          <w:szCs w:val="20"/>
          <w:color w:val="auto"/>
        </w:rPr>
      </w:pPr>
    </w:p>
    <w:p>
      <w:pPr>
        <w:ind w:right="2879" w:firstLine="186"/>
        <w:spacing w:after="0" w:line="275" w:lineRule="auto"/>
        <w:rPr>
          <w:sz w:val="20"/>
          <w:szCs w:val="20"/>
          <w:color w:val="auto"/>
        </w:rPr>
      </w:pPr>
      <w:r>
        <w:rPr>
          <w:rFonts w:ascii="Courier New" w:cs="Courier New" w:eastAsia="Courier New" w:hAnsi="Courier New"/>
          <w:sz w:val="14"/>
          <w:szCs w:val="14"/>
          <w:color w:val="auto"/>
        </w:rPr>
        <w:t>Other operating expense for 1999 includes a $15.0 million charge from the write down and disposal of flat panel display assets (see "Asset Sale" note), a loss of $12.1 million from the write down and disposal of semiconductor operations equipment, an $8.9 million charge resulting from the discontinuation of the Company's RFID efforts and $5.7 million in employee stock compensation expense related to the 1999 acquisition of substantially all of the semiconductor memory operations of TI and the 1998 purchase of the minority interest in the Company's subsidiary, Micron Quantum Devices, Inc.</w:t>
      </w:r>
    </w:p>
    <w:p>
      <w:pPr>
        <w:spacing w:after="0" w:line="338" w:lineRule="exact"/>
        <w:rPr>
          <w:sz w:val="20"/>
          <w:szCs w:val="20"/>
          <w:color w:val="auto"/>
        </w:rPr>
      </w:pPr>
    </w:p>
    <w:p>
      <w:pPr>
        <w:ind w:right="2779" w:firstLine="186"/>
        <w:spacing w:after="0" w:line="236" w:lineRule="auto"/>
        <w:rPr>
          <w:sz w:val="20"/>
          <w:szCs w:val="20"/>
          <w:color w:val="auto"/>
        </w:rPr>
      </w:pPr>
      <w:r>
        <w:rPr>
          <w:rFonts w:ascii="Courier New" w:cs="Courier New" w:eastAsia="Courier New" w:hAnsi="Courier New"/>
          <w:sz w:val="16"/>
          <w:szCs w:val="16"/>
          <w:color w:val="auto"/>
        </w:rPr>
        <w:t>Other operating expense includes a loss of $13.9 million and $2.6 million from the write down and disposal of semiconductor manufacturing equipment in 1998 and 1997, respectively, charges associated with PC systems of $11.1 million resulting from employee termination benefits consolidation of domestic and international operations and $5.3 million from the write off of software development costs in 1998.</w:t>
      </w: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Gains on Investments and Subsidiary Stock Transactions</w:t>
      </w:r>
    </w:p>
    <w:p>
      <w:pPr>
        <w:spacing w:after="0" w:line="183" w:lineRule="exact"/>
        <w:rPr>
          <w:sz w:val="20"/>
          <w:szCs w:val="20"/>
          <w:color w:val="auto"/>
        </w:rPr>
      </w:pPr>
    </w:p>
    <w:p>
      <w:pPr>
        <w:ind w:right="2779" w:firstLine="186"/>
        <w:spacing w:after="0" w:line="236" w:lineRule="auto"/>
        <w:rPr>
          <w:sz w:val="20"/>
          <w:szCs w:val="20"/>
          <w:color w:val="auto"/>
        </w:rPr>
      </w:pPr>
      <w:r>
        <w:rPr>
          <w:rFonts w:ascii="Courier New" w:cs="Courier New" w:eastAsia="Courier New" w:hAnsi="Courier New"/>
          <w:sz w:val="16"/>
          <w:szCs w:val="16"/>
          <w:color w:val="auto"/>
        </w:rPr>
        <w:t>On February 26, 1998, MEI completed the sale of 90% of its interest in MCMS, Inc. ("MCMS"), formerly Micron Custom Manufacturing Services, Inc. and a wholly-owned subsidiary of MEI, resulting in a consolidated pre-tax gain of $157.0 million (approximately $37.8 million or $0.18 per share after taxes and minority interests). In exchange for the 90% interest in MCMS, MEI received $249.2 million in cash. The sale was structured as a recapitalization of MCMS, whereby Cornerstone Equity Investors IV, L.P., other investors and certain members of MCMS management, including Robert F. Subia, then a Director of MEI, acquired the 90% interest in MCMS.</w:t>
      </w:r>
    </w:p>
    <w:p>
      <w:pPr>
        <w:spacing w:after="0" w:line="185" w:lineRule="exact"/>
        <w:rPr>
          <w:sz w:val="20"/>
          <w:szCs w:val="20"/>
          <w:color w:val="auto"/>
        </w:rPr>
      </w:pPr>
    </w:p>
    <w:p>
      <w:pPr>
        <w:ind w:right="2879" w:firstLine="186"/>
        <w:spacing w:after="0" w:line="236" w:lineRule="auto"/>
        <w:rPr>
          <w:sz w:val="20"/>
          <w:szCs w:val="20"/>
          <w:color w:val="auto"/>
        </w:rPr>
      </w:pPr>
      <w:r>
        <w:rPr>
          <w:rFonts w:ascii="Courier New" w:cs="Courier New" w:eastAsia="Courier New" w:hAnsi="Courier New"/>
          <w:sz w:val="16"/>
          <w:szCs w:val="16"/>
          <w:color w:val="auto"/>
        </w:rPr>
        <w:t>In a public offering in February 1997, MTI sold 12.4 million shares of MEI common stock for net proceeds of $200.0 million and MEI sold 3 million newly issued shares for net proceeds of $48.2 million, resulting in consolidated pre-tax gains of $164.6 million and $25.3 million, respectively (for a total of approximately $93.7 million or $0.44 per share after taxes). The sales reduced MTI's ownership of the outstanding MEI common stock from approximately 79% to approximately 64%. The Company also recorded pre-tax gains totaling $22.1 million for 1997 relating to sales of investments. The Company recognized a deferred tax liability on the resultant gain from the sale of MEI common stock in the second quarter of 1997.</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Income Taxes</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The provision for income taxes consists of the following:</w:t>
      </w:r>
    </w:p>
    <w:p>
      <w:pPr>
        <w:spacing w:after="0" w:line="355" w:lineRule="exact"/>
        <w:rPr>
          <w:sz w:val="20"/>
          <w:szCs w:val="20"/>
          <w:color w:val="auto"/>
        </w:rPr>
      </w:pPr>
    </w:p>
    <w:tbl>
      <w:tblPr>
        <w:tblLayout w:type="fixed"/>
        <w:tblInd w:w="80" w:type="dxa"/>
        <w:tblCellMar>
          <w:top w:w="0" w:type="dxa"/>
          <w:left w:w="0" w:type="dxa"/>
          <w:bottom w:w="0" w:type="dxa"/>
          <w:right w:w="0" w:type="dxa"/>
        </w:tblCellMar>
      </w:tblPr>
      <w:tr>
        <w:trPr>
          <w:trHeight w:val="181"/>
        </w:trPr>
        <w:tc>
          <w:tcPr>
            <w:tcW w:w="3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3"/>
              </w:rPr>
              <w:t>9/2/99</w:t>
            </w:r>
          </w:p>
        </w:tc>
        <w:tc>
          <w:tcPr>
            <w:tcW w:w="110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9/3/98</w:t>
            </w: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8/28/97</w:t>
            </w:r>
          </w:p>
        </w:tc>
      </w:tr>
      <w:tr>
        <w:trPr>
          <w:trHeight w:val="179"/>
        </w:trPr>
        <w:tc>
          <w:tcPr>
            <w:tcW w:w="3360" w:type="dxa"/>
            <w:vAlign w:val="bottom"/>
          </w:tcPr>
          <w:p>
            <w:pPr>
              <w:spacing w:after="0"/>
              <w:rPr>
                <w:sz w:val="15"/>
                <w:szCs w:val="15"/>
                <w:color w:val="auto"/>
              </w:rPr>
            </w:pPr>
          </w:p>
        </w:tc>
        <w:tc>
          <w:tcPr>
            <w:tcW w:w="154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3360" w:type="dxa"/>
            <w:vAlign w:val="bottom"/>
          </w:tcPr>
          <w:p>
            <w:pPr>
              <w:spacing w:after="0"/>
              <w:rPr>
                <w:sz w:val="20"/>
                <w:szCs w:val="20"/>
                <w:color w:val="auto"/>
              </w:rPr>
            </w:pPr>
            <w:r>
              <w:rPr>
                <w:rFonts w:ascii="Courier New" w:cs="Courier New" w:eastAsia="Courier New" w:hAnsi="Courier New"/>
                <w:sz w:val="16"/>
                <w:szCs w:val="16"/>
                <w:color w:val="auto"/>
              </w:rPr>
              <w:t>Current:</w:t>
            </w: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9"/>
        </w:trPr>
        <w:tc>
          <w:tcPr>
            <w:tcW w:w="3360" w:type="dxa"/>
            <w:vAlign w:val="bottom"/>
          </w:tcPr>
          <w:p>
            <w:pPr>
              <w:ind w:left="380"/>
              <w:spacing w:after="0" w:line="179" w:lineRule="exact"/>
              <w:rPr>
                <w:sz w:val="20"/>
                <w:szCs w:val="20"/>
                <w:color w:val="auto"/>
              </w:rPr>
            </w:pPr>
            <w:r>
              <w:rPr>
                <w:rFonts w:ascii="Courier New" w:cs="Courier New" w:eastAsia="Courier New" w:hAnsi="Courier New"/>
                <w:sz w:val="16"/>
                <w:szCs w:val="16"/>
                <w:color w:val="auto"/>
                <w:w w:val="85"/>
              </w:rPr>
              <w:t>U.S. federal........................</w:t>
            </w: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(47.6)</w:t>
            </w:r>
          </w:p>
        </w:tc>
        <w:tc>
          <w:tcPr>
            <w:tcW w:w="11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 (156.1)</w:t>
            </w:r>
          </w:p>
        </w:tc>
        <w:tc>
          <w:tcPr>
            <w:tcW w:w="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152.1</w:t>
            </w:r>
          </w:p>
        </w:tc>
      </w:tr>
      <w:tr>
        <w:trPr>
          <w:trHeight w:val="179"/>
        </w:trPr>
        <w:tc>
          <w:tcPr>
            <w:tcW w:w="4100" w:type="dxa"/>
            <w:vAlign w:val="bottom"/>
            <w:gridSpan w:val="2"/>
          </w:tcPr>
          <w:p>
            <w:pPr>
              <w:ind w:left="380"/>
              <w:spacing w:after="0" w:line="179" w:lineRule="exact"/>
              <w:rPr>
                <w:sz w:val="20"/>
                <w:szCs w:val="20"/>
                <w:color w:val="auto"/>
              </w:rPr>
            </w:pPr>
            <w:r>
              <w:rPr>
                <w:rFonts w:ascii="Courier New" w:cs="Courier New" w:eastAsia="Courier New" w:hAnsi="Courier New"/>
                <w:sz w:val="16"/>
                <w:szCs w:val="16"/>
                <w:color w:val="auto"/>
              </w:rPr>
              <w:t>State...............................</w:t>
            </w: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4.4</w:t>
            </w:r>
          </w:p>
        </w:tc>
        <w:tc>
          <w:tcPr>
            <w:tcW w:w="11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0.1</w:t>
            </w:r>
          </w:p>
        </w:tc>
        <w:tc>
          <w:tcPr>
            <w:tcW w:w="240" w:type="dxa"/>
            <w:vAlign w:val="bottom"/>
          </w:tcPr>
          <w:p>
            <w:pPr>
              <w:spacing w:after="0"/>
              <w:rPr>
                <w:sz w:val="15"/>
                <w:szCs w:val="15"/>
                <w:color w:val="auto"/>
              </w:rPr>
            </w:pP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21.1</w:t>
            </w:r>
          </w:p>
        </w:tc>
      </w:tr>
      <w:tr>
        <w:trPr>
          <w:trHeight w:val="179"/>
        </w:trPr>
        <w:tc>
          <w:tcPr>
            <w:tcW w:w="4100" w:type="dxa"/>
            <w:vAlign w:val="bottom"/>
            <w:gridSpan w:val="2"/>
          </w:tcPr>
          <w:p>
            <w:pPr>
              <w:ind w:left="380"/>
              <w:spacing w:after="0" w:line="179" w:lineRule="exact"/>
              <w:rPr>
                <w:sz w:val="20"/>
                <w:szCs w:val="20"/>
                <w:color w:val="auto"/>
              </w:rPr>
            </w:pPr>
            <w:r>
              <w:rPr>
                <w:rFonts w:ascii="Courier New" w:cs="Courier New" w:eastAsia="Courier New" w:hAnsi="Courier New"/>
                <w:sz w:val="16"/>
                <w:szCs w:val="16"/>
                <w:color w:val="auto"/>
              </w:rPr>
              <w:t>Foreign.............................</w:t>
            </w: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10.0</w:t>
            </w:r>
          </w:p>
        </w:tc>
        <w:tc>
          <w:tcPr>
            <w:tcW w:w="11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1.7</w:t>
            </w:r>
          </w:p>
        </w:tc>
        <w:tc>
          <w:tcPr>
            <w:tcW w:w="240" w:type="dxa"/>
            <w:vAlign w:val="bottom"/>
          </w:tcPr>
          <w:p>
            <w:pPr>
              <w:spacing w:after="0"/>
              <w:rPr>
                <w:sz w:val="15"/>
                <w:szCs w:val="15"/>
                <w:color w:val="auto"/>
              </w:rPr>
            </w:pP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1.5</w:t>
            </w:r>
          </w:p>
        </w:tc>
      </w:tr>
      <w:tr>
        <w:trPr>
          <w:trHeight w:val="179"/>
        </w:trPr>
        <w:tc>
          <w:tcPr>
            <w:tcW w:w="3360" w:type="dxa"/>
            <w:vAlign w:val="bottom"/>
          </w:tcPr>
          <w:p>
            <w:pPr>
              <w:spacing w:after="0"/>
              <w:rPr>
                <w:sz w:val="15"/>
                <w:szCs w:val="15"/>
                <w:color w:val="auto"/>
              </w:rPr>
            </w:pPr>
          </w:p>
        </w:tc>
        <w:tc>
          <w:tcPr>
            <w:tcW w:w="154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(33.2)</w:t>
            </w:r>
          </w:p>
        </w:tc>
        <w:tc>
          <w:tcPr>
            <w:tcW w:w="11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(154.3)</w:t>
            </w:r>
          </w:p>
        </w:tc>
        <w:tc>
          <w:tcPr>
            <w:tcW w:w="240" w:type="dxa"/>
            <w:vAlign w:val="bottom"/>
          </w:tcPr>
          <w:p>
            <w:pPr>
              <w:spacing w:after="0"/>
              <w:rPr>
                <w:sz w:val="15"/>
                <w:szCs w:val="15"/>
                <w:color w:val="auto"/>
              </w:rPr>
            </w:pP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174.7</w:t>
            </w:r>
          </w:p>
        </w:tc>
      </w:tr>
      <w:tr>
        <w:trPr>
          <w:trHeight w:val="179"/>
        </w:trPr>
        <w:tc>
          <w:tcPr>
            <w:tcW w:w="3360" w:type="dxa"/>
            <w:vAlign w:val="bottom"/>
          </w:tcPr>
          <w:p>
            <w:pPr>
              <w:spacing w:after="0"/>
              <w:rPr>
                <w:sz w:val="15"/>
                <w:szCs w:val="15"/>
                <w:color w:val="auto"/>
              </w:rPr>
            </w:pPr>
          </w:p>
        </w:tc>
        <w:tc>
          <w:tcPr>
            <w:tcW w:w="154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360" w:type="dxa"/>
            <w:vAlign w:val="bottom"/>
          </w:tcPr>
          <w:p>
            <w:pPr>
              <w:spacing w:after="0" w:line="179" w:lineRule="exact"/>
              <w:rPr>
                <w:sz w:val="20"/>
                <w:szCs w:val="20"/>
                <w:color w:val="auto"/>
              </w:rPr>
            </w:pPr>
            <w:r>
              <w:rPr>
                <w:rFonts w:ascii="Courier New" w:cs="Courier New" w:eastAsia="Courier New" w:hAnsi="Courier New"/>
                <w:sz w:val="16"/>
                <w:szCs w:val="16"/>
                <w:color w:val="auto"/>
              </w:rPr>
              <w:t>Deferred:</w:t>
            </w: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4100" w:type="dxa"/>
            <w:vAlign w:val="bottom"/>
            <w:gridSpan w:val="2"/>
          </w:tcPr>
          <w:p>
            <w:pPr>
              <w:ind w:left="380"/>
              <w:spacing w:after="0" w:line="179" w:lineRule="exact"/>
              <w:rPr>
                <w:sz w:val="20"/>
                <w:szCs w:val="20"/>
                <w:color w:val="auto"/>
              </w:rPr>
            </w:pPr>
            <w:r>
              <w:rPr>
                <w:rFonts w:ascii="Courier New" w:cs="Courier New" w:eastAsia="Courier New" w:hAnsi="Courier New"/>
                <w:sz w:val="16"/>
                <w:szCs w:val="16"/>
                <w:color w:val="auto"/>
              </w:rPr>
              <w:t>U.S. federal........................</w:t>
            </w: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19.7</w:t>
            </w:r>
          </w:p>
        </w:tc>
        <w:tc>
          <w:tcPr>
            <w:tcW w:w="11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69.3</w:t>
            </w:r>
          </w:p>
        </w:tc>
        <w:tc>
          <w:tcPr>
            <w:tcW w:w="240" w:type="dxa"/>
            <w:vAlign w:val="bottom"/>
          </w:tcPr>
          <w:p>
            <w:pPr>
              <w:spacing w:after="0"/>
              <w:rPr>
                <w:sz w:val="15"/>
                <w:szCs w:val="15"/>
                <w:color w:val="auto"/>
              </w:rPr>
            </w:pP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79.5</w:t>
            </w:r>
          </w:p>
        </w:tc>
      </w:tr>
      <w:tr>
        <w:trPr>
          <w:trHeight w:val="179"/>
        </w:trPr>
        <w:tc>
          <w:tcPr>
            <w:tcW w:w="4100" w:type="dxa"/>
            <w:vAlign w:val="bottom"/>
            <w:gridSpan w:val="2"/>
          </w:tcPr>
          <w:p>
            <w:pPr>
              <w:ind w:left="380"/>
              <w:spacing w:after="0" w:line="179" w:lineRule="exact"/>
              <w:rPr>
                <w:sz w:val="20"/>
                <w:szCs w:val="20"/>
                <w:color w:val="auto"/>
              </w:rPr>
            </w:pPr>
            <w:r>
              <w:rPr>
                <w:rFonts w:ascii="Courier New" w:cs="Courier New" w:eastAsia="Courier New" w:hAnsi="Courier New"/>
                <w:sz w:val="16"/>
                <w:szCs w:val="16"/>
                <w:color w:val="auto"/>
              </w:rPr>
              <w:t>State...............................</w:t>
            </w:r>
          </w:p>
        </w:tc>
        <w:tc>
          <w:tcPr>
            <w:tcW w:w="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(19.9)</w:t>
            </w:r>
          </w:p>
        </w:tc>
        <w:tc>
          <w:tcPr>
            <w:tcW w:w="11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(44.1)</w:t>
            </w:r>
          </w:p>
        </w:tc>
        <w:tc>
          <w:tcPr>
            <w:tcW w:w="240" w:type="dxa"/>
            <w:vAlign w:val="bottom"/>
          </w:tcPr>
          <w:p>
            <w:pPr>
              <w:spacing w:after="0"/>
              <w:rPr>
                <w:sz w:val="15"/>
                <w:szCs w:val="15"/>
                <w:color w:val="auto"/>
              </w:rPr>
            </w:pP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1.6</w:t>
            </w:r>
          </w:p>
        </w:tc>
      </w:tr>
      <w:tr>
        <w:trPr>
          <w:trHeight w:val="179"/>
        </w:trPr>
        <w:tc>
          <w:tcPr>
            <w:tcW w:w="4100" w:type="dxa"/>
            <w:vAlign w:val="bottom"/>
            <w:gridSpan w:val="2"/>
          </w:tcPr>
          <w:p>
            <w:pPr>
              <w:ind w:left="380"/>
              <w:spacing w:after="0" w:line="179" w:lineRule="exact"/>
              <w:rPr>
                <w:sz w:val="20"/>
                <w:szCs w:val="20"/>
                <w:color w:val="auto"/>
              </w:rPr>
            </w:pPr>
            <w:r>
              <w:rPr>
                <w:rFonts w:ascii="Courier New" w:cs="Courier New" w:eastAsia="Courier New" w:hAnsi="Courier New"/>
                <w:sz w:val="16"/>
                <w:szCs w:val="16"/>
                <w:color w:val="auto"/>
              </w:rPr>
              <w:t>Foreign.............................</w:t>
            </w:r>
          </w:p>
        </w:tc>
        <w:tc>
          <w:tcPr>
            <w:tcW w:w="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(2.6)</w:t>
            </w:r>
          </w:p>
        </w:tc>
        <w:tc>
          <w:tcPr>
            <w:tcW w:w="11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360" w:type="dxa"/>
            <w:vAlign w:val="bottom"/>
          </w:tcPr>
          <w:p>
            <w:pPr>
              <w:spacing w:after="0"/>
              <w:rPr>
                <w:sz w:val="15"/>
                <w:szCs w:val="15"/>
                <w:color w:val="auto"/>
              </w:rPr>
            </w:pPr>
          </w:p>
        </w:tc>
        <w:tc>
          <w:tcPr>
            <w:tcW w:w="154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(2.8)</w:t>
            </w:r>
          </w:p>
        </w:tc>
        <w:tc>
          <w:tcPr>
            <w:tcW w:w="11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25.2</w:t>
            </w:r>
          </w:p>
        </w:tc>
        <w:tc>
          <w:tcPr>
            <w:tcW w:w="240" w:type="dxa"/>
            <w:vAlign w:val="bottom"/>
          </w:tcPr>
          <w:p>
            <w:pPr>
              <w:spacing w:after="0"/>
              <w:rPr>
                <w:sz w:val="15"/>
                <w:szCs w:val="15"/>
                <w:color w:val="auto"/>
              </w:rPr>
            </w:pP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81.1</w:t>
            </w:r>
          </w:p>
        </w:tc>
      </w:tr>
      <w:tr>
        <w:trPr>
          <w:trHeight w:val="179"/>
        </w:trPr>
        <w:tc>
          <w:tcPr>
            <w:tcW w:w="3360" w:type="dxa"/>
            <w:vAlign w:val="bottom"/>
          </w:tcPr>
          <w:p>
            <w:pPr>
              <w:spacing w:after="0"/>
              <w:rPr>
                <w:sz w:val="15"/>
                <w:szCs w:val="15"/>
                <w:color w:val="auto"/>
              </w:rPr>
            </w:pPr>
          </w:p>
        </w:tc>
        <w:tc>
          <w:tcPr>
            <w:tcW w:w="154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360" w:type="dxa"/>
            <w:vAlign w:val="bottom"/>
          </w:tcPr>
          <w:p>
            <w:pPr>
              <w:spacing w:after="0" w:line="179" w:lineRule="exact"/>
              <w:rPr>
                <w:sz w:val="20"/>
                <w:szCs w:val="20"/>
                <w:color w:val="auto"/>
              </w:rPr>
            </w:pPr>
            <w:r>
              <w:rPr>
                <w:rFonts w:ascii="Courier New" w:cs="Courier New" w:eastAsia="Courier New" w:hAnsi="Courier New"/>
                <w:sz w:val="16"/>
                <w:szCs w:val="16"/>
                <w:color w:val="auto"/>
                <w:w w:val="86"/>
              </w:rPr>
              <w:t>Income tax provision (benefit)..........</w:t>
            </w: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(36.0)</w:t>
            </w:r>
          </w:p>
        </w:tc>
        <w:tc>
          <w:tcPr>
            <w:tcW w:w="11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 (129.1)</w:t>
            </w:r>
          </w:p>
        </w:tc>
        <w:tc>
          <w:tcPr>
            <w:tcW w:w="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255.8</w:t>
            </w:r>
          </w:p>
        </w:tc>
      </w:tr>
      <w:tr>
        <w:trPr>
          <w:trHeight w:val="179"/>
        </w:trPr>
        <w:tc>
          <w:tcPr>
            <w:tcW w:w="3360" w:type="dxa"/>
            <w:vAlign w:val="bottom"/>
          </w:tcPr>
          <w:p>
            <w:pPr>
              <w:spacing w:after="0"/>
              <w:rPr>
                <w:sz w:val="15"/>
                <w:szCs w:val="15"/>
                <w:color w:val="auto"/>
              </w:rPr>
            </w:pPr>
          </w:p>
        </w:tc>
        <w:tc>
          <w:tcPr>
            <w:tcW w:w="154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537"/>
        </w:trPr>
        <w:tc>
          <w:tcPr>
            <w:tcW w:w="3360" w:type="dxa"/>
            <w:vAlign w:val="bottom"/>
          </w:tcPr>
          <w:p>
            <w:pPr>
              <w:spacing w:after="0"/>
              <w:rPr>
                <w:sz w:val="24"/>
                <w:szCs w:val="24"/>
                <w:color w:val="auto"/>
              </w:rPr>
            </w:pPr>
          </w:p>
        </w:tc>
        <w:tc>
          <w:tcPr>
            <w:tcW w:w="74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1"/>
              </w:rPr>
              <w:t>42/57</w:t>
            </w:r>
          </w:p>
        </w:tc>
        <w:tc>
          <w:tcPr>
            <w:tcW w:w="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ectPr>
          <w:pgSz w:w="11900" w:h="16838" w:orient="portrait"/>
          <w:cols w:equalWidth="0" w:num="1">
            <w:col w:w="10219"/>
          </w:cols>
          <w:pgMar w:left="240" w:top="648" w:right="1440" w:bottom="1440" w:gutter="0" w:footer="0" w:header="0"/>
        </w:sectPr>
      </w:pPr>
    </w:p>
    <w:bookmarkStart w:id="44" w:name="page45"/>
    <w:bookmarkEnd w:id="44"/>
    <w:p>
      <w:pPr>
        <w:ind w:right="2779" w:firstLine="186"/>
        <w:spacing w:after="0" w:line="235" w:lineRule="auto"/>
        <w:rPr>
          <w:sz w:val="20"/>
          <w:szCs w:val="20"/>
          <w:color w:val="auto"/>
        </w:rPr>
      </w:pPr>
      <w:r>
        <w:rPr>
          <w:rFonts w:ascii="Courier New" w:cs="Courier New" w:eastAsia="Courier New" w:hAnsi="Courier New"/>
          <w:sz w:val="16"/>
          <w:szCs w:val="16"/>
          <w:color w:val="auto"/>
        </w:rPr>
        <w:t>The tax benefit associated with the exercise of nonstatutory stock options and disqualifying dispositions by employees of shares issued in the Company's stock option and purchase plans reduced taxes payable by $54.9 million, $5.2 million and $14.5 million for 1999, 1998 and 1997, respectively. Such benefits are reflected as additional capital.</w:t>
      </w:r>
    </w:p>
    <w:p>
      <w:pPr>
        <w:spacing w:after="0" w:line="186" w:lineRule="exact"/>
        <w:rPr>
          <w:sz w:val="20"/>
          <w:szCs w:val="20"/>
          <w:color w:val="auto"/>
        </w:rPr>
      </w:pPr>
    </w:p>
    <w:p>
      <w:pPr>
        <w:ind w:right="2879" w:firstLine="186"/>
        <w:spacing w:after="0" w:line="234" w:lineRule="auto"/>
        <w:rPr>
          <w:sz w:val="20"/>
          <w:szCs w:val="20"/>
          <w:color w:val="auto"/>
        </w:rPr>
      </w:pPr>
      <w:r>
        <w:rPr>
          <w:rFonts w:ascii="Courier New" w:cs="Courier New" w:eastAsia="Courier New" w:hAnsi="Courier New"/>
          <w:sz w:val="16"/>
          <w:szCs w:val="16"/>
          <w:color w:val="auto"/>
        </w:rPr>
        <w:t>A reconciliation between income tax computed using the federal statutory rate and the income tax provision (benefit) follows:</w:t>
      </w:r>
    </w:p>
    <w:p>
      <w:pPr>
        <w:spacing w:after="0" w:line="356" w:lineRule="exact"/>
        <w:rPr>
          <w:sz w:val="20"/>
          <w:szCs w:val="20"/>
          <w:color w:val="auto"/>
        </w:rPr>
      </w:pPr>
    </w:p>
    <w:tbl>
      <w:tblPr>
        <w:tblLayout w:type="fixed"/>
        <w:tblInd w:w="80" w:type="dxa"/>
        <w:tblCellMar>
          <w:top w:w="0" w:type="dxa"/>
          <w:left w:w="0" w:type="dxa"/>
          <w:bottom w:w="0" w:type="dxa"/>
          <w:right w:w="0" w:type="dxa"/>
        </w:tblCellMar>
      </w:tblPr>
      <w:tr>
        <w:trPr>
          <w:trHeight w:val="181"/>
        </w:trPr>
        <w:tc>
          <w:tcPr>
            <w:tcW w:w="4200" w:type="dxa"/>
            <w:vAlign w:val="bottom"/>
          </w:tcPr>
          <w:p>
            <w:pPr>
              <w:spacing w:after="0"/>
              <w:rPr>
                <w:sz w:val="15"/>
                <w:szCs w:val="15"/>
                <w:color w:val="auto"/>
              </w:rPr>
            </w:pPr>
          </w:p>
        </w:tc>
        <w:tc>
          <w:tcPr>
            <w:tcW w:w="9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9/2/99</w:t>
            </w:r>
          </w:p>
        </w:tc>
        <w:tc>
          <w:tcPr>
            <w:tcW w:w="11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9/3/98</w:t>
            </w:r>
          </w:p>
        </w:tc>
        <w:tc>
          <w:tcPr>
            <w:tcW w:w="90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8/28/97</w:t>
            </w:r>
          </w:p>
        </w:tc>
      </w:tr>
      <w:tr>
        <w:trPr>
          <w:trHeight w:val="179"/>
        </w:trPr>
        <w:tc>
          <w:tcPr>
            <w:tcW w:w="420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200" w:type="dxa"/>
            <w:vAlign w:val="bottom"/>
          </w:tcPr>
          <w:p>
            <w:pPr>
              <w:spacing w:after="0"/>
              <w:rPr>
                <w:sz w:val="20"/>
                <w:szCs w:val="20"/>
                <w:color w:val="auto"/>
              </w:rPr>
            </w:pPr>
            <w:r>
              <w:rPr>
                <w:rFonts w:ascii="Courier New" w:cs="Courier New" w:eastAsia="Courier New" w:hAnsi="Courier New"/>
                <w:sz w:val="16"/>
                <w:szCs w:val="16"/>
                <w:color w:val="auto"/>
                <w:w w:val="98"/>
              </w:rPr>
              <w:t>U.S. federal income tax at statutory rate...</w:t>
            </w:r>
          </w:p>
        </w:tc>
        <w:tc>
          <w:tcPr>
            <w:tcW w:w="9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 (32.0)</w:t>
            </w:r>
          </w:p>
        </w:tc>
        <w:tc>
          <w:tcPr>
            <w:tcW w:w="11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 (125.6)</w:t>
            </w:r>
          </w:p>
        </w:tc>
        <w:tc>
          <w:tcPr>
            <w:tcW w:w="34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206.7</w:t>
            </w:r>
          </w:p>
        </w:tc>
      </w:tr>
      <w:tr>
        <w:trPr>
          <w:trHeight w:val="179"/>
        </w:trPr>
        <w:tc>
          <w:tcPr>
            <w:tcW w:w="420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State taxes, net of federal benefit.........</w:t>
            </w: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(13.9)</w:t>
            </w:r>
          </w:p>
        </w:tc>
        <w:tc>
          <w:tcPr>
            <w:tcW w:w="11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(27.9)</w:t>
            </w:r>
          </w:p>
        </w:tc>
        <w:tc>
          <w:tcPr>
            <w:tcW w:w="340" w:type="dxa"/>
            <w:vAlign w:val="bottom"/>
          </w:tcPr>
          <w:p>
            <w:pPr>
              <w:spacing w:after="0"/>
              <w:rPr>
                <w:sz w:val="15"/>
                <w:szCs w:val="15"/>
                <w:color w:val="auto"/>
              </w:rPr>
            </w:pPr>
          </w:p>
        </w:tc>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12.6</w:t>
            </w:r>
          </w:p>
        </w:tc>
      </w:tr>
      <w:tr>
        <w:trPr>
          <w:trHeight w:val="179"/>
        </w:trPr>
        <w:tc>
          <w:tcPr>
            <w:tcW w:w="420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Change in valuation allowance...............</w:t>
            </w: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10.5</w:t>
            </w:r>
          </w:p>
        </w:tc>
        <w:tc>
          <w:tcPr>
            <w:tcW w:w="11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4.1</w:t>
            </w:r>
          </w:p>
        </w:tc>
        <w:tc>
          <w:tcPr>
            <w:tcW w:w="340" w:type="dxa"/>
            <w:vAlign w:val="bottom"/>
          </w:tcPr>
          <w:p>
            <w:pPr>
              <w:spacing w:after="0"/>
              <w:rPr>
                <w:sz w:val="15"/>
                <w:szCs w:val="15"/>
                <w:color w:val="auto"/>
              </w:rPr>
            </w:pPr>
          </w:p>
        </w:tc>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20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Basis difference in domestic subsidiaries...</w:t>
            </w: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1.6</w:t>
            </w:r>
          </w:p>
        </w:tc>
        <w:tc>
          <w:tcPr>
            <w:tcW w:w="11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11.6</w:t>
            </w:r>
          </w:p>
        </w:tc>
        <w:tc>
          <w:tcPr>
            <w:tcW w:w="340" w:type="dxa"/>
            <w:vAlign w:val="bottom"/>
          </w:tcPr>
          <w:p>
            <w:pPr>
              <w:spacing w:after="0"/>
              <w:rPr>
                <w:sz w:val="15"/>
                <w:szCs w:val="15"/>
                <w:color w:val="auto"/>
              </w:rPr>
            </w:pPr>
          </w:p>
        </w:tc>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24.8</w:t>
            </w:r>
          </w:p>
        </w:tc>
      </w:tr>
      <w:tr>
        <w:trPr>
          <w:trHeight w:val="179"/>
        </w:trPr>
        <w:tc>
          <w:tcPr>
            <w:tcW w:w="420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Foreign income at other than U.S. rates.....</w:t>
            </w: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(2.6)</w:t>
            </w:r>
          </w:p>
        </w:tc>
        <w:tc>
          <w:tcPr>
            <w:tcW w:w="11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5"/>
                <w:szCs w:val="15"/>
                <w:color w:val="auto"/>
              </w:rPr>
            </w:pPr>
          </w:p>
        </w:tc>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20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Other.......................................</w:t>
            </w: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0.4</w:t>
            </w:r>
          </w:p>
        </w:tc>
        <w:tc>
          <w:tcPr>
            <w:tcW w:w="11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8.7</w:t>
            </w:r>
          </w:p>
        </w:tc>
        <w:tc>
          <w:tcPr>
            <w:tcW w:w="340" w:type="dxa"/>
            <w:vAlign w:val="bottom"/>
          </w:tcPr>
          <w:p>
            <w:pPr>
              <w:spacing w:after="0"/>
              <w:rPr>
                <w:sz w:val="15"/>
                <w:szCs w:val="15"/>
                <w:color w:val="auto"/>
              </w:rPr>
            </w:pPr>
          </w:p>
        </w:tc>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11.7</w:t>
            </w:r>
          </w:p>
        </w:tc>
      </w:tr>
      <w:tr>
        <w:trPr>
          <w:trHeight w:val="179"/>
        </w:trPr>
        <w:tc>
          <w:tcPr>
            <w:tcW w:w="4200" w:type="dxa"/>
            <w:vAlign w:val="bottom"/>
          </w:tcPr>
          <w:p>
            <w:pPr>
              <w:spacing w:after="0"/>
              <w:rPr>
                <w:sz w:val="15"/>
                <w:szCs w:val="15"/>
                <w:color w:val="auto"/>
              </w:rPr>
            </w:pP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20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Income tax provision (benefit)..............</w:t>
            </w: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 (36.0)</w:t>
            </w:r>
          </w:p>
        </w:tc>
        <w:tc>
          <w:tcPr>
            <w:tcW w:w="11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 (129.1)</w:t>
            </w:r>
          </w:p>
        </w:tc>
        <w:tc>
          <w:tcPr>
            <w:tcW w:w="34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255.8</w:t>
            </w:r>
          </w:p>
        </w:tc>
      </w:tr>
      <w:tr>
        <w:trPr>
          <w:trHeight w:val="179"/>
        </w:trPr>
        <w:tc>
          <w:tcPr>
            <w:tcW w:w="420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362" w:lineRule="exact"/>
        <w:rPr>
          <w:sz w:val="20"/>
          <w:szCs w:val="20"/>
          <w:color w:val="auto"/>
        </w:rPr>
      </w:pPr>
    </w:p>
    <w:p>
      <w:pPr>
        <w:ind w:right="2779" w:firstLine="186"/>
        <w:spacing w:after="0" w:line="234" w:lineRule="auto"/>
        <w:rPr>
          <w:sz w:val="20"/>
          <w:szCs w:val="20"/>
          <w:color w:val="auto"/>
        </w:rPr>
      </w:pPr>
      <w:r>
        <w:rPr>
          <w:rFonts w:ascii="Courier New" w:cs="Courier New" w:eastAsia="Courier New" w:hAnsi="Courier New"/>
          <w:sz w:val="16"/>
          <w:szCs w:val="16"/>
          <w:color w:val="auto"/>
        </w:rPr>
        <w:t>State taxes reflect investment tax credits of $15.7 million, $21.1 million and $15.3 million for 1999, 1998 and 1997, respectively.</w:t>
      </w:r>
    </w:p>
    <w:p>
      <w:pPr>
        <w:spacing w:after="0" w:line="183" w:lineRule="exact"/>
        <w:rPr>
          <w:sz w:val="20"/>
          <w:szCs w:val="20"/>
          <w:color w:val="auto"/>
        </w:rPr>
      </w:pPr>
    </w:p>
    <w:p>
      <w:pPr>
        <w:ind w:right="2959" w:firstLine="186"/>
        <w:spacing w:after="0" w:line="279" w:lineRule="auto"/>
        <w:rPr>
          <w:sz w:val="20"/>
          <w:szCs w:val="20"/>
          <w:color w:val="auto"/>
        </w:rPr>
      </w:pPr>
      <w:r>
        <w:rPr>
          <w:rFonts w:ascii="Courier New" w:cs="Courier New" w:eastAsia="Courier New" w:hAnsi="Courier New"/>
          <w:sz w:val="14"/>
          <w:szCs w:val="14"/>
          <w:color w:val="auto"/>
        </w:rPr>
        <w:t>Deferred income taxes reflect the net tax effects of temporary differences between the basis of assets and liabilities for financial reporting and income tax purposes. The approximate tax effects of temporary differences which give rise to the net deferred tax liability (benefit) are as follows:</w:t>
      </w:r>
    </w:p>
    <w:p>
      <w:pPr>
        <w:spacing w:after="0" w:line="200" w:lineRule="exact"/>
        <w:rPr>
          <w:sz w:val="20"/>
          <w:szCs w:val="20"/>
          <w:color w:val="auto"/>
        </w:rPr>
      </w:pPr>
    </w:p>
    <w:p>
      <w:pPr>
        <w:spacing w:after="0" w:line="309" w:lineRule="exact"/>
        <w:rPr>
          <w:sz w:val="20"/>
          <w:szCs w:val="20"/>
          <w:color w:val="auto"/>
        </w:rPr>
      </w:pPr>
    </w:p>
    <w:tbl>
      <w:tblPr>
        <w:tblLayout w:type="fixed"/>
        <w:tblInd w:w="180" w:type="dxa"/>
        <w:tblCellMar>
          <w:top w:w="0" w:type="dxa"/>
          <w:left w:w="0" w:type="dxa"/>
          <w:bottom w:w="0" w:type="dxa"/>
          <w:right w:w="0" w:type="dxa"/>
        </w:tblCellMar>
      </w:tblPr>
      <w:tr>
        <w:trPr>
          <w:trHeight w:val="181"/>
        </w:trPr>
        <w:tc>
          <w:tcPr>
            <w:tcW w:w="4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ind w:right="302"/>
              <w:spacing w:after="0"/>
              <w:rPr>
                <w:sz w:val="20"/>
                <w:szCs w:val="20"/>
                <w:color w:val="auto"/>
              </w:rPr>
            </w:pPr>
            <w:r>
              <w:rPr>
                <w:rFonts w:ascii="Courier New" w:cs="Courier New" w:eastAsia="Courier New" w:hAnsi="Courier New"/>
                <w:sz w:val="16"/>
                <w:szCs w:val="16"/>
                <w:color w:val="auto"/>
                <w:w w:val="90"/>
              </w:rPr>
              <w:t>9/2/99</w:t>
            </w:r>
          </w:p>
        </w:tc>
        <w:tc>
          <w:tcPr>
            <w:tcW w:w="280" w:type="dxa"/>
            <w:vAlign w:val="bottom"/>
          </w:tcPr>
          <w:p>
            <w:pPr>
              <w:spacing w:after="0"/>
              <w:rPr>
                <w:sz w:val="15"/>
                <w:szCs w:val="15"/>
                <w:color w:val="auto"/>
              </w:rPr>
            </w:pPr>
          </w:p>
        </w:tc>
        <w:tc>
          <w:tcPr>
            <w:tcW w:w="74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3"/>
              </w:rPr>
              <w:t>9/3/98</w:t>
            </w:r>
          </w:p>
        </w:tc>
      </w:tr>
      <w:tr>
        <w:trPr>
          <w:trHeight w:val="179"/>
        </w:trPr>
        <w:tc>
          <w:tcPr>
            <w:tcW w:w="4740" w:type="dxa"/>
            <w:vAlign w:val="bottom"/>
          </w:tcPr>
          <w:p>
            <w:pPr>
              <w:spacing w:after="0"/>
              <w:rPr>
                <w:sz w:val="15"/>
                <w:szCs w:val="15"/>
                <w:color w:val="auto"/>
              </w:rPr>
            </w:pPr>
          </w:p>
        </w:tc>
        <w:tc>
          <w:tcPr>
            <w:tcW w:w="112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740" w:type="dxa"/>
            <w:vAlign w:val="bottom"/>
          </w:tcPr>
          <w:p>
            <w:pPr>
              <w:spacing w:after="0"/>
              <w:rPr>
                <w:sz w:val="20"/>
                <w:szCs w:val="20"/>
                <w:color w:val="auto"/>
              </w:rPr>
            </w:pPr>
            <w:r>
              <w:rPr>
                <w:rFonts w:ascii="Courier New" w:cs="Courier New" w:eastAsia="Courier New" w:hAnsi="Courier New"/>
                <w:sz w:val="16"/>
                <w:szCs w:val="16"/>
                <w:color w:val="auto"/>
              </w:rPr>
              <w:t>Deferred tax asset:</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9"/>
        </w:trPr>
        <w:tc>
          <w:tcPr>
            <w:tcW w:w="4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Accrued product and process technology.........</w:t>
            </w:r>
          </w:p>
        </w:tc>
        <w:tc>
          <w:tcPr>
            <w:tcW w:w="2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1.6</w:t>
            </w:r>
          </w:p>
        </w:tc>
        <w:tc>
          <w:tcPr>
            <w:tcW w:w="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7.2</w:t>
            </w:r>
          </w:p>
        </w:tc>
      </w:tr>
      <w:tr>
        <w:trPr>
          <w:trHeight w:val="179"/>
        </w:trPr>
        <w:tc>
          <w:tcPr>
            <w:tcW w:w="4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Inventory......................................</w:t>
            </w:r>
          </w:p>
        </w:tc>
        <w:tc>
          <w:tcPr>
            <w:tcW w:w="200" w:type="dxa"/>
            <w:vAlign w:val="bottom"/>
          </w:tcPr>
          <w:p>
            <w:pPr>
              <w:spacing w:after="0"/>
              <w:rPr>
                <w:sz w:val="15"/>
                <w:szCs w:val="15"/>
                <w:color w:val="auto"/>
              </w:rPr>
            </w:pP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9.8</w:t>
            </w:r>
          </w:p>
        </w:tc>
        <w:tc>
          <w:tcPr>
            <w:tcW w:w="28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15.0</w:t>
            </w:r>
          </w:p>
        </w:tc>
      </w:tr>
      <w:tr>
        <w:trPr>
          <w:trHeight w:val="179"/>
        </w:trPr>
        <w:tc>
          <w:tcPr>
            <w:tcW w:w="4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Accrued compensation...........................</w:t>
            </w:r>
          </w:p>
        </w:tc>
        <w:tc>
          <w:tcPr>
            <w:tcW w:w="200" w:type="dxa"/>
            <w:vAlign w:val="bottom"/>
          </w:tcPr>
          <w:p>
            <w:pPr>
              <w:spacing w:after="0"/>
              <w:rPr>
                <w:sz w:val="15"/>
                <w:szCs w:val="15"/>
                <w:color w:val="auto"/>
              </w:rPr>
            </w:pP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23.6</w:t>
            </w:r>
          </w:p>
        </w:tc>
        <w:tc>
          <w:tcPr>
            <w:tcW w:w="28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19.8</w:t>
            </w:r>
          </w:p>
        </w:tc>
      </w:tr>
      <w:tr>
        <w:trPr>
          <w:trHeight w:val="179"/>
        </w:trPr>
        <w:tc>
          <w:tcPr>
            <w:tcW w:w="4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Deferred income................................</w:t>
            </w:r>
          </w:p>
        </w:tc>
        <w:tc>
          <w:tcPr>
            <w:tcW w:w="200" w:type="dxa"/>
            <w:vAlign w:val="bottom"/>
          </w:tcPr>
          <w:p>
            <w:pPr>
              <w:spacing w:after="0"/>
              <w:rPr>
                <w:sz w:val="15"/>
                <w:szCs w:val="15"/>
                <w:color w:val="auto"/>
              </w:rPr>
            </w:pP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8.1</w:t>
            </w:r>
          </w:p>
        </w:tc>
        <w:tc>
          <w:tcPr>
            <w:tcW w:w="28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3.1</w:t>
            </w:r>
          </w:p>
        </w:tc>
      </w:tr>
      <w:tr>
        <w:trPr>
          <w:trHeight w:val="179"/>
        </w:trPr>
        <w:tc>
          <w:tcPr>
            <w:tcW w:w="4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Net operating loss and credit carryforwards....</w:t>
            </w:r>
          </w:p>
        </w:tc>
        <w:tc>
          <w:tcPr>
            <w:tcW w:w="200" w:type="dxa"/>
            <w:vAlign w:val="bottom"/>
          </w:tcPr>
          <w:p>
            <w:pPr>
              <w:spacing w:after="0"/>
              <w:rPr>
                <w:sz w:val="15"/>
                <w:szCs w:val="15"/>
                <w:color w:val="auto"/>
              </w:rPr>
            </w:pP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78.5</w:t>
            </w:r>
          </w:p>
        </w:tc>
        <w:tc>
          <w:tcPr>
            <w:tcW w:w="28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30.6</w:t>
            </w:r>
          </w:p>
        </w:tc>
      </w:tr>
      <w:tr>
        <w:trPr>
          <w:trHeight w:val="179"/>
        </w:trPr>
        <w:tc>
          <w:tcPr>
            <w:tcW w:w="4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Other..........................................</w:t>
            </w:r>
          </w:p>
        </w:tc>
        <w:tc>
          <w:tcPr>
            <w:tcW w:w="200" w:type="dxa"/>
            <w:vAlign w:val="bottom"/>
          </w:tcPr>
          <w:p>
            <w:pPr>
              <w:spacing w:after="0"/>
              <w:rPr>
                <w:sz w:val="15"/>
                <w:szCs w:val="15"/>
                <w:color w:val="auto"/>
              </w:rPr>
            </w:pP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45.3</w:t>
            </w:r>
          </w:p>
        </w:tc>
        <w:tc>
          <w:tcPr>
            <w:tcW w:w="28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66.1</w:t>
            </w:r>
          </w:p>
        </w:tc>
      </w:tr>
      <w:tr>
        <w:trPr>
          <w:trHeight w:val="179"/>
        </w:trPr>
        <w:tc>
          <w:tcPr>
            <w:tcW w:w="4740" w:type="dxa"/>
            <w:vAlign w:val="bottom"/>
          </w:tcPr>
          <w:p>
            <w:pPr>
              <w:spacing w:after="0"/>
              <w:rPr>
                <w:sz w:val="15"/>
                <w:szCs w:val="15"/>
                <w:color w:val="auto"/>
              </w:rPr>
            </w:pPr>
          </w:p>
        </w:tc>
        <w:tc>
          <w:tcPr>
            <w:tcW w:w="112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Gross deferred tax asset.....................</w:t>
            </w:r>
          </w:p>
        </w:tc>
        <w:tc>
          <w:tcPr>
            <w:tcW w:w="200" w:type="dxa"/>
            <w:vAlign w:val="bottom"/>
          </w:tcPr>
          <w:p>
            <w:pPr>
              <w:spacing w:after="0"/>
              <w:rPr>
                <w:sz w:val="15"/>
                <w:szCs w:val="15"/>
                <w:color w:val="auto"/>
              </w:rPr>
            </w:pP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166.9</w:t>
            </w:r>
          </w:p>
        </w:tc>
        <w:tc>
          <w:tcPr>
            <w:tcW w:w="28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141.8</w:t>
            </w:r>
          </w:p>
        </w:tc>
      </w:tr>
      <w:tr>
        <w:trPr>
          <w:trHeight w:val="179"/>
        </w:trPr>
        <w:tc>
          <w:tcPr>
            <w:tcW w:w="4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Less:  Valuation allowance...................</w:t>
            </w:r>
          </w:p>
        </w:tc>
        <w:tc>
          <w:tcPr>
            <w:tcW w:w="200" w:type="dxa"/>
            <w:vAlign w:val="bottom"/>
          </w:tcPr>
          <w:p>
            <w:pPr>
              <w:spacing w:after="0"/>
              <w:rPr>
                <w:sz w:val="15"/>
                <w:szCs w:val="15"/>
                <w:color w:val="auto"/>
              </w:rPr>
            </w:pP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(14.6)</w:t>
            </w:r>
          </w:p>
        </w:tc>
        <w:tc>
          <w:tcPr>
            <w:tcW w:w="280" w:type="dxa"/>
            <w:vAlign w:val="bottom"/>
          </w:tcPr>
          <w:p>
            <w:pPr>
              <w:spacing w:after="0"/>
              <w:rPr>
                <w:sz w:val="15"/>
                <w:szCs w:val="15"/>
                <w:color w:val="auto"/>
              </w:rPr>
            </w:pP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(4.1)</w:t>
            </w:r>
          </w:p>
        </w:tc>
      </w:tr>
      <w:tr>
        <w:trPr>
          <w:trHeight w:val="179"/>
        </w:trPr>
        <w:tc>
          <w:tcPr>
            <w:tcW w:w="4740" w:type="dxa"/>
            <w:vAlign w:val="bottom"/>
          </w:tcPr>
          <w:p>
            <w:pPr>
              <w:spacing w:after="0"/>
              <w:rPr>
                <w:sz w:val="15"/>
                <w:szCs w:val="15"/>
                <w:color w:val="auto"/>
              </w:rPr>
            </w:pPr>
          </w:p>
        </w:tc>
        <w:tc>
          <w:tcPr>
            <w:tcW w:w="112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Deferred tax asset...........................</w:t>
            </w:r>
          </w:p>
        </w:tc>
        <w:tc>
          <w:tcPr>
            <w:tcW w:w="200" w:type="dxa"/>
            <w:vAlign w:val="bottom"/>
          </w:tcPr>
          <w:p>
            <w:pPr>
              <w:spacing w:after="0"/>
              <w:rPr>
                <w:sz w:val="15"/>
                <w:szCs w:val="15"/>
                <w:color w:val="auto"/>
              </w:rPr>
            </w:pP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152.3</w:t>
            </w:r>
          </w:p>
        </w:tc>
        <w:tc>
          <w:tcPr>
            <w:tcW w:w="28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137.7</w:t>
            </w:r>
          </w:p>
        </w:tc>
      </w:tr>
      <w:tr>
        <w:trPr>
          <w:trHeight w:val="179"/>
        </w:trPr>
        <w:tc>
          <w:tcPr>
            <w:tcW w:w="4740" w:type="dxa"/>
            <w:vAlign w:val="bottom"/>
          </w:tcPr>
          <w:p>
            <w:pPr>
              <w:spacing w:after="0"/>
              <w:rPr>
                <w:sz w:val="15"/>
                <w:szCs w:val="15"/>
                <w:color w:val="auto"/>
              </w:rPr>
            </w:pPr>
          </w:p>
        </w:tc>
        <w:tc>
          <w:tcPr>
            <w:tcW w:w="112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740" w:type="dxa"/>
            <w:vAlign w:val="bottom"/>
          </w:tcPr>
          <w:p>
            <w:pPr>
              <w:spacing w:after="0" w:line="179" w:lineRule="exact"/>
              <w:rPr>
                <w:sz w:val="20"/>
                <w:szCs w:val="20"/>
                <w:color w:val="auto"/>
              </w:rPr>
            </w:pPr>
            <w:r>
              <w:rPr>
                <w:rFonts w:ascii="Courier New" w:cs="Courier New" w:eastAsia="Courier New" w:hAnsi="Courier New"/>
                <w:sz w:val="16"/>
                <w:szCs w:val="16"/>
                <w:color w:val="auto"/>
              </w:rPr>
              <w:t>Deferred tax liabilities:</w:t>
            </w: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4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Excess tax over book depreciation..............</w:t>
            </w:r>
          </w:p>
        </w:tc>
        <w:tc>
          <w:tcPr>
            <w:tcW w:w="200" w:type="dxa"/>
            <w:vAlign w:val="bottom"/>
          </w:tcPr>
          <w:p>
            <w:pPr>
              <w:spacing w:after="0"/>
              <w:rPr>
                <w:sz w:val="15"/>
                <w:szCs w:val="15"/>
                <w:color w:val="auto"/>
              </w:rPr>
            </w:pP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(230.9)</w:t>
            </w:r>
          </w:p>
        </w:tc>
        <w:tc>
          <w:tcPr>
            <w:tcW w:w="280" w:type="dxa"/>
            <w:vAlign w:val="bottom"/>
          </w:tcPr>
          <w:p>
            <w:pPr>
              <w:spacing w:after="0"/>
              <w:rPr>
                <w:sz w:val="15"/>
                <w:szCs w:val="15"/>
                <w:color w:val="auto"/>
              </w:rPr>
            </w:pP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(240.7)</w:t>
            </w:r>
          </w:p>
        </w:tc>
      </w:tr>
      <w:tr>
        <w:trPr>
          <w:trHeight w:val="179"/>
        </w:trPr>
        <w:tc>
          <w:tcPr>
            <w:tcW w:w="4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Accrued product and process technology.........</w:t>
            </w:r>
          </w:p>
        </w:tc>
        <w:tc>
          <w:tcPr>
            <w:tcW w:w="200" w:type="dxa"/>
            <w:vAlign w:val="bottom"/>
          </w:tcPr>
          <w:p>
            <w:pPr>
              <w:spacing w:after="0"/>
              <w:rPr>
                <w:sz w:val="15"/>
                <w:szCs w:val="15"/>
                <w:color w:val="auto"/>
              </w:rPr>
            </w:pP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(18.8)</w:t>
            </w:r>
          </w:p>
        </w:tc>
        <w:tc>
          <w:tcPr>
            <w:tcW w:w="28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Investment in subsidiary.......................</w:t>
            </w:r>
          </w:p>
        </w:tc>
        <w:tc>
          <w:tcPr>
            <w:tcW w:w="200" w:type="dxa"/>
            <w:vAlign w:val="bottom"/>
          </w:tcPr>
          <w:p>
            <w:pPr>
              <w:spacing w:after="0"/>
              <w:rPr>
                <w:sz w:val="15"/>
                <w:szCs w:val="15"/>
                <w:color w:val="auto"/>
              </w:rPr>
            </w:pP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(57.4)</w:t>
            </w:r>
          </w:p>
        </w:tc>
        <w:tc>
          <w:tcPr>
            <w:tcW w:w="280" w:type="dxa"/>
            <w:vAlign w:val="bottom"/>
          </w:tcPr>
          <w:p>
            <w:pPr>
              <w:spacing w:after="0"/>
              <w:rPr>
                <w:sz w:val="15"/>
                <w:szCs w:val="15"/>
                <w:color w:val="auto"/>
              </w:rPr>
            </w:pP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(56.7)</w:t>
            </w:r>
          </w:p>
        </w:tc>
      </w:tr>
      <w:tr>
        <w:trPr>
          <w:trHeight w:val="179"/>
        </w:trPr>
        <w:tc>
          <w:tcPr>
            <w:tcW w:w="4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Other..........................................</w:t>
            </w:r>
          </w:p>
        </w:tc>
        <w:tc>
          <w:tcPr>
            <w:tcW w:w="200" w:type="dxa"/>
            <w:vAlign w:val="bottom"/>
          </w:tcPr>
          <w:p>
            <w:pPr>
              <w:spacing w:after="0"/>
              <w:rPr>
                <w:sz w:val="15"/>
                <w:szCs w:val="15"/>
                <w:color w:val="auto"/>
              </w:rPr>
            </w:pP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(34.4)</w:t>
            </w:r>
          </w:p>
        </w:tc>
        <w:tc>
          <w:tcPr>
            <w:tcW w:w="280" w:type="dxa"/>
            <w:vAlign w:val="bottom"/>
          </w:tcPr>
          <w:p>
            <w:pPr>
              <w:spacing w:after="0"/>
              <w:rPr>
                <w:sz w:val="15"/>
                <w:szCs w:val="15"/>
                <w:color w:val="auto"/>
              </w:rPr>
            </w:pP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(40.9)</w:t>
            </w:r>
          </w:p>
        </w:tc>
      </w:tr>
      <w:tr>
        <w:trPr>
          <w:trHeight w:val="179"/>
        </w:trPr>
        <w:tc>
          <w:tcPr>
            <w:tcW w:w="4740" w:type="dxa"/>
            <w:vAlign w:val="bottom"/>
          </w:tcPr>
          <w:p>
            <w:pPr>
              <w:spacing w:after="0"/>
              <w:rPr>
                <w:sz w:val="15"/>
                <w:szCs w:val="15"/>
                <w:color w:val="auto"/>
              </w:rPr>
            </w:pPr>
          </w:p>
        </w:tc>
        <w:tc>
          <w:tcPr>
            <w:tcW w:w="112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Deferred tax liability.......................</w:t>
            </w:r>
          </w:p>
        </w:tc>
        <w:tc>
          <w:tcPr>
            <w:tcW w:w="200" w:type="dxa"/>
            <w:vAlign w:val="bottom"/>
          </w:tcPr>
          <w:p>
            <w:pPr>
              <w:spacing w:after="0"/>
              <w:rPr>
                <w:sz w:val="15"/>
                <w:szCs w:val="15"/>
                <w:color w:val="auto"/>
              </w:rPr>
            </w:pP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(341.5)</w:t>
            </w:r>
          </w:p>
        </w:tc>
        <w:tc>
          <w:tcPr>
            <w:tcW w:w="280" w:type="dxa"/>
            <w:vAlign w:val="bottom"/>
          </w:tcPr>
          <w:p>
            <w:pPr>
              <w:spacing w:after="0"/>
              <w:rPr>
                <w:sz w:val="15"/>
                <w:szCs w:val="15"/>
                <w:color w:val="auto"/>
              </w:rPr>
            </w:pP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(338.3)</w:t>
            </w:r>
          </w:p>
        </w:tc>
      </w:tr>
      <w:tr>
        <w:trPr>
          <w:trHeight w:val="179"/>
        </w:trPr>
        <w:tc>
          <w:tcPr>
            <w:tcW w:w="4740" w:type="dxa"/>
            <w:vAlign w:val="bottom"/>
          </w:tcPr>
          <w:p>
            <w:pPr>
              <w:spacing w:after="0"/>
              <w:rPr>
                <w:sz w:val="15"/>
                <w:szCs w:val="15"/>
                <w:color w:val="auto"/>
              </w:rPr>
            </w:pPr>
          </w:p>
        </w:tc>
        <w:tc>
          <w:tcPr>
            <w:tcW w:w="112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Net deferred tax liability...................</w:t>
            </w:r>
          </w:p>
        </w:tc>
        <w:tc>
          <w:tcPr>
            <w:tcW w:w="2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(189.2)</w:t>
            </w:r>
          </w:p>
        </w:tc>
        <w:tc>
          <w:tcPr>
            <w:tcW w:w="10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 (200.6)</w:t>
            </w:r>
          </w:p>
        </w:tc>
      </w:tr>
      <w:tr>
        <w:trPr>
          <w:trHeight w:val="179"/>
        </w:trPr>
        <w:tc>
          <w:tcPr>
            <w:tcW w:w="4740" w:type="dxa"/>
            <w:vAlign w:val="bottom"/>
          </w:tcPr>
          <w:p>
            <w:pPr>
              <w:spacing w:after="0"/>
              <w:rPr>
                <w:sz w:val="15"/>
                <w:szCs w:val="15"/>
                <w:color w:val="auto"/>
              </w:rPr>
            </w:pPr>
          </w:p>
        </w:tc>
        <w:tc>
          <w:tcPr>
            <w:tcW w:w="112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362" w:lineRule="exact"/>
        <w:rPr>
          <w:sz w:val="20"/>
          <w:szCs w:val="20"/>
          <w:color w:val="auto"/>
        </w:rPr>
      </w:pPr>
    </w:p>
    <w:p>
      <w:pPr>
        <w:ind w:right="2779" w:firstLine="186"/>
        <w:spacing w:after="0" w:line="272" w:lineRule="auto"/>
        <w:rPr>
          <w:sz w:val="20"/>
          <w:szCs w:val="20"/>
          <w:color w:val="auto"/>
        </w:rPr>
      </w:pPr>
      <w:r>
        <w:rPr>
          <w:rFonts w:ascii="Courier New" w:cs="Courier New" w:eastAsia="Courier New" w:hAnsi="Courier New"/>
          <w:sz w:val="14"/>
          <w:szCs w:val="14"/>
          <w:color w:val="auto"/>
        </w:rPr>
        <w:t>At September 2, 1999, the Company had aggregate U.S. tax loss carryforwards of $101.3 million and U.S. tax credit carryforwards of $22.2 million. Of these amounts, $101.3 million of the tax loss carryforward expires in various years through 2019, $15.0 million of the credit carryforward expires through 2019 and $7.2 million of the credit carryforward has no expiration. The Company also has unused state tax net operating loss carryforwards of $576.6 million for tax purposes which expire through 2014 and unused state tax credits of $59.0 million for tax and financial reporting purposes which expire through 2006. The change in valuation allowance of $10.5 million in 1999 is due to the uncertainty of realizing certain tax credit carryforwards. In 1998, the Company recorded a $4.1 million valuation allowance for a deferred tax asset relating to MEI's consolidation of its NetFRAME enterprise server operations. Provision has been made for deferred taxes on undistributed earnings of non-U.S. subsidiaries to the extent that dividend payments from such companies are expected to result in additional tax liability. The remaining undistributed earnings of $22.1 million have been indefinitely reinvested; therefore, no provision has been made for taxes due upon remittance of these earnings. Determination of the amount of unrecognized deferred tax liability on these unremitted earnings is not practicable.</w:t>
      </w:r>
    </w:p>
    <w:p>
      <w:pPr>
        <w:spacing w:after="0" w:line="200" w:lineRule="exact"/>
        <w:rPr>
          <w:sz w:val="20"/>
          <w:szCs w:val="20"/>
          <w:color w:val="auto"/>
        </w:rPr>
      </w:pPr>
    </w:p>
    <w:p>
      <w:pPr>
        <w:spacing w:after="0" w:line="316"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43/57</w:t>
      </w:r>
    </w:p>
    <w:p>
      <w:pPr>
        <w:sectPr>
          <w:pgSz w:w="11900" w:h="16838" w:orient="portrait"/>
          <w:cols w:equalWidth="0" w:num="1">
            <w:col w:w="10219"/>
          </w:cols>
          <w:pgMar w:left="240" w:top="654" w:right="1440" w:bottom="775" w:gutter="0" w:footer="0" w:header="0"/>
        </w:sectPr>
      </w:pPr>
    </w:p>
    <w:bookmarkStart w:id="45" w:name="page46"/>
    <w:bookmarkEnd w:id="45"/>
    <w:p>
      <w:pPr>
        <w:spacing w:after="0"/>
        <w:rPr>
          <w:sz w:val="20"/>
          <w:szCs w:val="20"/>
          <w:color w:val="auto"/>
        </w:rPr>
      </w:pPr>
      <w:r>
        <w:rPr>
          <w:rFonts w:ascii="Courier New" w:cs="Courier New" w:eastAsia="Courier New" w:hAnsi="Courier New"/>
          <w:sz w:val="16"/>
          <w:szCs w:val="16"/>
          <w:color w:val="auto"/>
        </w:rPr>
        <w:t>Purchase of Minority Interests</w:t>
      </w:r>
    </w:p>
    <w:p>
      <w:pPr>
        <w:spacing w:after="0" w:line="183" w:lineRule="exact"/>
        <w:rPr>
          <w:sz w:val="20"/>
          <w:szCs w:val="20"/>
          <w:color w:val="auto"/>
        </w:rPr>
      </w:pPr>
    </w:p>
    <w:p>
      <w:pPr>
        <w:ind w:right="2779" w:firstLine="186"/>
        <w:spacing w:after="0" w:line="236" w:lineRule="auto"/>
        <w:rPr>
          <w:sz w:val="20"/>
          <w:szCs w:val="20"/>
          <w:color w:val="auto"/>
        </w:rPr>
      </w:pPr>
      <w:r>
        <w:rPr>
          <w:rFonts w:ascii="Courier New" w:cs="Courier New" w:eastAsia="Courier New" w:hAnsi="Courier New"/>
          <w:sz w:val="16"/>
          <w:szCs w:val="16"/>
          <w:color w:val="auto"/>
        </w:rPr>
        <w:t>In the first quarter of 1998, MTI purchased the 12% minority interest in its subsidiary, Micron Display Technology, Inc., for $20.6 million in cash. The cost of the acquired interest was allocated primarily to intangible assets related to field emission flat panel display technology, which is being amortized over a three-year period. In May 1999, MTI sold certain of its flat panel display assets to PixTech, Inc., however, MTI retained the associated technology rights. (See "Asset Sale" note)</w:t>
      </w:r>
    </w:p>
    <w:p>
      <w:pPr>
        <w:spacing w:after="0" w:line="184" w:lineRule="exact"/>
        <w:rPr>
          <w:sz w:val="20"/>
          <w:szCs w:val="20"/>
          <w:color w:val="auto"/>
        </w:rPr>
      </w:pPr>
    </w:p>
    <w:p>
      <w:pPr>
        <w:ind w:right="2779" w:firstLine="186"/>
        <w:spacing w:after="0" w:line="235" w:lineRule="auto"/>
        <w:rPr>
          <w:sz w:val="20"/>
          <w:szCs w:val="20"/>
          <w:color w:val="auto"/>
        </w:rPr>
      </w:pPr>
      <w:r>
        <w:rPr>
          <w:rFonts w:ascii="Courier New" w:cs="Courier New" w:eastAsia="Courier New" w:hAnsi="Courier New"/>
          <w:sz w:val="16"/>
          <w:szCs w:val="16"/>
          <w:color w:val="auto"/>
        </w:rPr>
        <w:t>In the second quarter of 1998, MTI purchased the 11% minority interest in its subsidiary, Micron Quantum Devices, Inc., for $26.2 million in stock and stock options. The cost of the acquired interest was allocated primarily to intangible assets related to flash semiconductor technology, which is being amortized over a three-year period.</w:t>
      </w:r>
    </w:p>
    <w:p>
      <w:pPr>
        <w:spacing w:after="0" w:line="186" w:lineRule="exact"/>
        <w:rPr>
          <w:sz w:val="20"/>
          <w:szCs w:val="20"/>
          <w:color w:val="auto"/>
        </w:rPr>
      </w:pPr>
    </w:p>
    <w:p>
      <w:pPr>
        <w:jc w:val="both"/>
        <w:ind w:right="3239" w:firstLine="186"/>
        <w:spacing w:after="0" w:line="283" w:lineRule="auto"/>
        <w:rPr>
          <w:sz w:val="20"/>
          <w:szCs w:val="20"/>
          <w:color w:val="auto"/>
        </w:rPr>
      </w:pPr>
      <w:r>
        <w:rPr>
          <w:rFonts w:ascii="Courier New" w:cs="Courier New" w:eastAsia="Courier New" w:hAnsi="Courier New"/>
          <w:sz w:val="14"/>
          <w:szCs w:val="14"/>
          <w:color w:val="auto"/>
        </w:rPr>
        <w:t>In conjunction with the discontinuation of its RFID efforts in the fourth quarter of 1999, MTI purchased the 11% minority interest in its subsidiary, Micron Communications, Inc. (See "Other Operating Expense, net" note).</w:t>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Earnings (Loss) Per Share</w:t>
      </w: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580" w:type="dxa"/>
            <w:vAlign w:val="bottom"/>
          </w:tcPr>
          <w:p>
            <w:pPr>
              <w:spacing w:after="0"/>
              <w:rPr>
                <w:sz w:val="20"/>
                <w:szCs w:val="20"/>
                <w:color w:val="auto"/>
              </w:rPr>
            </w:pPr>
            <w:r>
              <w:rPr>
                <w:rFonts w:ascii="Courier New" w:cs="Courier New" w:eastAsia="Courier New" w:hAnsi="Courier New"/>
                <w:sz w:val="16"/>
                <w:szCs w:val="16"/>
                <w:color w:val="auto"/>
              </w:rPr>
              <w:t>For the year ended</w:t>
            </w:r>
          </w:p>
        </w:tc>
        <w:tc>
          <w:tcPr>
            <w:tcW w:w="27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9/2/99</w:t>
            </w:r>
          </w:p>
        </w:tc>
        <w:tc>
          <w:tcPr>
            <w:tcW w:w="102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9/3/98</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8/28/97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300" w:type="dxa"/>
            <w:vAlign w:val="bottom"/>
          </w:tcPr>
          <w:p>
            <w:pPr>
              <w:spacing w:after="0"/>
              <w:rPr>
                <w:sz w:val="20"/>
                <w:szCs w:val="20"/>
                <w:color w:val="auto"/>
              </w:rPr>
            </w:pPr>
            <w:r>
              <w:rPr>
                <w:rFonts w:ascii="Courier New" w:cs="Courier New" w:eastAsia="Courier New" w:hAnsi="Courier New"/>
                <w:sz w:val="16"/>
                <w:szCs w:val="16"/>
                <w:color w:val="auto"/>
              </w:rPr>
              <w:t>Net income (loss) available for common shareholders,</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9"/>
        </w:trPr>
        <w:tc>
          <w:tcPr>
            <w:tcW w:w="53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98"/>
              </w:rPr>
              <w:t>Basic and Diluted......................................</w:t>
            </w:r>
          </w:p>
        </w:tc>
        <w:tc>
          <w:tcPr>
            <w:tcW w:w="9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 (68.9)</w:t>
            </w:r>
          </w:p>
        </w:tc>
        <w:tc>
          <w:tcPr>
            <w:tcW w:w="120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 (247.1)</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315.0</w:t>
            </w:r>
          </w:p>
        </w:tc>
      </w:tr>
      <w:tr>
        <w:trPr>
          <w:trHeight w:val="537"/>
        </w:trPr>
        <w:tc>
          <w:tcPr>
            <w:tcW w:w="5300" w:type="dxa"/>
            <w:vAlign w:val="bottom"/>
          </w:tcPr>
          <w:p>
            <w:pPr>
              <w:spacing w:after="0"/>
              <w:rPr>
                <w:sz w:val="20"/>
                <w:szCs w:val="20"/>
                <w:color w:val="auto"/>
              </w:rPr>
            </w:pPr>
            <w:r>
              <w:rPr>
                <w:rFonts w:ascii="Courier New" w:cs="Courier New" w:eastAsia="Courier New" w:hAnsi="Courier New"/>
                <w:sz w:val="16"/>
                <w:szCs w:val="16"/>
                <w:color w:val="auto"/>
                <w:w w:val="98"/>
              </w:rPr>
              <w:t>Weighted average common stock outstanding - Basic.......</w:t>
            </w:r>
          </w:p>
        </w:tc>
        <w:tc>
          <w:tcPr>
            <w:tcW w:w="180" w:type="dxa"/>
            <w:vAlign w:val="bottom"/>
          </w:tcPr>
          <w:p>
            <w:pPr>
              <w:spacing w:after="0"/>
              <w:rPr>
                <w:sz w:val="24"/>
                <w:szCs w:val="24"/>
                <w:color w:val="auto"/>
              </w:rPr>
            </w:pPr>
          </w:p>
        </w:tc>
        <w:tc>
          <w:tcPr>
            <w:tcW w:w="8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260.7</w:t>
            </w:r>
          </w:p>
        </w:tc>
        <w:tc>
          <w:tcPr>
            <w:tcW w:w="280" w:type="dxa"/>
            <w:vAlign w:val="bottom"/>
          </w:tcPr>
          <w:p>
            <w:pPr>
              <w:spacing w:after="0"/>
              <w:rPr>
                <w:sz w:val="24"/>
                <w:szCs w:val="24"/>
                <w:color w:val="auto"/>
              </w:rPr>
            </w:pPr>
          </w:p>
        </w:tc>
        <w:tc>
          <w:tcPr>
            <w:tcW w:w="92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215.6</w:t>
            </w:r>
          </w:p>
        </w:tc>
        <w:tc>
          <w:tcPr>
            <w:tcW w:w="180" w:type="dxa"/>
            <w:vAlign w:val="bottom"/>
          </w:tcPr>
          <w:p>
            <w:pPr>
              <w:spacing w:after="0"/>
              <w:rPr>
                <w:sz w:val="24"/>
                <w:szCs w:val="24"/>
                <w:color w:val="auto"/>
              </w:rPr>
            </w:pPr>
          </w:p>
        </w:tc>
        <w:tc>
          <w:tcPr>
            <w:tcW w:w="700" w:type="dxa"/>
            <w:vAlign w:val="bottom"/>
          </w:tcPr>
          <w:p>
            <w:pPr>
              <w:jc w:val="right"/>
              <w:ind w:right="2"/>
              <w:spacing w:after="0"/>
              <w:rPr>
                <w:sz w:val="20"/>
                <w:szCs w:val="20"/>
                <w:color w:val="auto"/>
              </w:rPr>
            </w:pPr>
            <w:r>
              <w:rPr>
                <w:rFonts w:ascii="Courier New" w:cs="Courier New" w:eastAsia="Courier New" w:hAnsi="Courier New"/>
                <w:sz w:val="16"/>
                <w:szCs w:val="16"/>
                <w:color w:val="auto"/>
              </w:rPr>
              <w:t>211.9</w:t>
            </w:r>
          </w:p>
        </w:tc>
      </w:tr>
      <w:tr>
        <w:trPr>
          <w:trHeight w:val="179"/>
        </w:trPr>
        <w:tc>
          <w:tcPr>
            <w:tcW w:w="530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Net effect of dilutive stock options....................</w:t>
            </w:r>
          </w:p>
        </w:tc>
        <w:tc>
          <w:tcPr>
            <w:tcW w:w="180" w:type="dxa"/>
            <w:vAlign w:val="bottom"/>
          </w:tcPr>
          <w:p>
            <w:pPr>
              <w:spacing w:after="0"/>
              <w:rPr>
                <w:sz w:val="15"/>
                <w:szCs w:val="15"/>
                <w:color w:val="auto"/>
              </w:rPr>
            </w:pP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9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7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7.4</w:t>
            </w:r>
          </w:p>
        </w:tc>
      </w:tr>
      <w:tr>
        <w:trPr>
          <w:trHeight w:val="179"/>
        </w:trPr>
        <w:tc>
          <w:tcPr>
            <w:tcW w:w="5300" w:type="dxa"/>
            <w:vAlign w:val="bottom"/>
          </w:tcPr>
          <w:p>
            <w:pPr>
              <w:spacing w:after="0"/>
              <w:rPr>
                <w:sz w:val="15"/>
                <w:szCs w:val="15"/>
                <w:color w:val="auto"/>
              </w:rPr>
            </w:pPr>
          </w:p>
        </w:tc>
        <w:tc>
          <w:tcPr>
            <w:tcW w:w="98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300" w:type="dxa"/>
            <w:vAlign w:val="bottom"/>
          </w:tcPr>
          <w:p>
            <w:pPr>
              <w:spacing w:after="0" w:line="179" w:lineRule="exact"/>
              <w:rPr>
                <w:sz w:val="20"/>
                <w:szCs w:val="20"/>
                <w:color w:val="auto"/>
              </w:rPr>
            </w:pPr>
            <w:r>
              <w:rPr>
                <w:rFonts w:ascii="Courier New" w:cs="Courier New" w:eastAsia="Courier New" w:hAnsi="Courier New"/>
                <w:sz w:val="16"/>
                <w:szCs w:val="16"/>
                <w:color w:val="auto"/>
              </w:rPr>
              <w:t>Weighted average common stock and common stock</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9"/>
        </w:trPr>
        <w:tc>
          <w:tcPr>
            <w:tcW w:w="53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98"/>
              </w:rPr>
              <w:t>equivalents - Diluted..................................</w:t>
            </w:r>
          </w:p>
        </w:tc>
        <w:tc>
          <w:tcPr>
            <w:tcW w:w="180" w:type="dxa"/>
            <w:vAlign w:val="bottom"/>
          </w:tcPr>
          <w:p>
            <w:pPr>
              <w:spacing w:after="0"/>
              <w:rPr>
                <w:sz w:val="15"/>
                <w:szCs w:val="15"/>
                <w:color w:val="auto"/>
              </w:rPr>
            </w:pP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260.7</w:t>
            </w:r>
          </w:p>
        </w:tc>
        <w:tc>
          <w:tcPr>
            <w:tcW w:w="280" w:type="dxa"/>
            <w:vAlign w:val="bottom"/>
          </w:tcPr>
          <w:p>
            <w:pPr>
              <w:spacing w:after="0"/>
              <w:rPr>
                <w:sz w:val="15"/>
                <w:szCs w:val="15"/>
                <w:color w:val="auto"/>
              </w:rPr>
            </w:pPr>
          </w:p>
        </w:tc>
        <w:tc>
          <w:tcPr>
            <w:tcW w:w="9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215.6</w:t>
            </w:r>
          </w:p>
        </w:tc>
        <w:tc>
          <w:tcPr>
            <w:tcW w:w="180" w:type="dxa"/>
            <w:vAlign w:val="bottom"/>
          </w:tcPr>
          <w:p>
            <w:pPr>
              <w:spacing w:after="0"/>
              <w:rPr>
                <w:sz w:val="15"/>
                <w:szCs w:val="15"/>
                <w:color w:val="auto"/>
              </w:rPr>
            </w:pPr>
          </w:p>
        </w:tc>
        <w:tc>
          <w:tcPr>
            <w:tcW w:w="7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219.3</w:t>
            </w:r>
          </w:p>
        </w:tc>
      </w:tr>
      <w:tr>
        <w:trPr>
          <w:trHeight w:val="179"/>
        </w:trPr>
        <w:tc>
          <w:tcPr>
            <w:tcW w:w="5300" w:type="dxa"/>
            <w:vAlign w:val="bottom"/>
          </w:tcPr>
          <w:p>
            <w:pPr>
              <w:spacing w:after="0"/>
              <w:rPr>
                <w:sz w:val="15"/>
                <w:szCs w:val="15"/>
                <w:color w:val="auto"/>
              </w:rPr>
            </w:pPr>
          </w:p>
        </w:tc>
        <w:tc>
          <w:tcPr>
            <w:tcW w:w="98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537"/>
        </w:trPr>
        <w:tc>
          <w:tcPr>
            <w:tcW w:w="5300" w:type="dxa"/>
            <w:vAlign w:val="bottom"/>
          </w:tcPr>
          <w:p>
            <w:pPr>
              <w:spacing w:after="0"/>
              <w:rPr>
                <w:sz w:val="20"/>
                <w:szCs w:val="20"/>
                <w:color w:val="auto"/>
              </w:rPr>
            </w:pPr>
            <w:r>
              <w:rPr>
                <w:rFonts w:ascii="Courier New" w:cs="Courier New" w:eastAsia="Courier New" w:hAnsi="Courier New"/>
                <w:sz w:val="16"/>
                <w:szCs w:val="16"/>
                <w:color w:val="auto"/>
                <w:w w:val="98"/>
              </w:rPr>
              <w:t>Basic earnings (loss) per share.........................</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0.26)</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(1.15)</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2"/>
              <w:spacing w:after="0"/>
              <w:rPr>
                <w:sz w:val="20"/>
                <w:szCs w:val="20"/>
                <w:color w:val="auto"/>
              </w:rPr>
            </w:pPr>
            <w:r>
              <w:rPr>
                <w:rFonts w:ascii="Courier New" w:cs="Courier New" w:eastAsia="Courier New" w:hAnsi="Courier New"/>
                <w:sz w:val="16"/>
                <w:szCs w:val="16"/>
                <w:color w:val="auto"/>
              </w:rPr>
              <w:t>1.49</w:t>
            </w:r>
          </w:p>
        </w:tc>
      </w:tr>
      <w:tr>
        <w:trPr>
          <w:trHeight w:val="179"/>
        </w:trPr>
        <w:tc>
          <w:tcPr>
            <w:tcW w:w="5300" w:type="dxa"/>
            <w:vAlign w:val="bottom"/>
          </w:tcPr>
          <w:p>
            <w:pPr>
              <w:spacing w:after="0"/>
              <w:rPr>
                <w:sz w:val="15"/>
                <w:szCs w:val="15"/>
                <w:color w:val="auto"/>
              </w:rPr>
            </w:pPr>
          </w:p>
        </w:tc>
        <w:tc>
          <w:tcPr>
            <w:tcW w:w="98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30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Diluted earnings (loss) per share.......................</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0.26)</w:t>
            </w:r>
          </w:p>
        </w:tc>
        <w:tc>
          <w:tcPr>
            <w:tcW w:w="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(1.15)</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1.44</w:t>
            </w:r>
          </w:p>
        </w:tc>
      </w:tr>
      <w:tr>
        <w:trPr>
          <w:trHeight w:val="179"/>
        </w:trPr>
        <w:tc>
          <w:tcPr>
            <w:tcW w:w="5300" w:type="dxa"/>
            <w:vAlign w:val="bottom"/>
          </w:tcPr>
          <w:p>
            <w:pPr>
              <w:spacing w:after="0"/>
              <w:rPr>
                <w:sz w:val="15"/>
                <w:szCs w:val="15"/>
                <w:color w:val="auto"/>
              </w:rPr>
            </w:pPr>
          </w:p>
        </w:tc>
        <w:tc>
          <w:tcPr>
            <w:tcW w:w="98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537"/>
        </w:trPr>
        <w:tc>
          <w:tcPr>
            <w:tcW w:w="7480" w:type="dxa"/>
            <w:vAlign w:val="bottom"/>
            <w:gridSpan w:val="5"/>
          </w:tcPr>
          <w:p>
            <w:pPr>
              <w:ind w:left="180"/>
              <w:spacing w:after="0"/>
              <w:rPr>
                <w:sz w:val="20"/>
                <w:szCs w:val="20"/>
                <w:color w:val="auto"/>
              </w:rPr>
            </w:pPr>
            <w:r>
              <w:rPr>
                <w:rFonts w:ascii="Courier New" w:cs="Courier New" w:eastAsia="Courier New" w:hAnsi="Courier New"/>
                <w:sz w:val="16"/>
                <w:szCs w:val="16"/>
                <w:color w:val="auto"/>
              </w:rPr>
              <w:t>The average shares listed below were not included in the computation of</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9"/>
        </w:trPr>
        <w:tc>
          <w:tcPr>
            <w:tcW w:w="7480" w:type="dxa"/>
            <w:vAlign w:val="bottom"/>
            <w:gridSpan w:val="5"/>
          </w:tcPr>
          <w:p>
            <w:pPr>
              <w:spacing w:after="0" w:line="179" w:lineRule="exact"/>
              <w:rPr>
                <w:sz w:val="20"/>
                <w:szCs w:val="20"/>
                <w:color w:val="auto"/>
              </w:rPr>
            </w:pPr>
            <w:r>
              <w:rPr>
                <w:rFonts w:ascii="Courier New" w:cs="Courier New" w:eastAsia="Courier New" w:hAnsi="Courier New"/>
                <w:sz w:val="16"/>
                <w:szCs w:val="16"/>
                <w:color w:val="auto"/>
                <w:w w:val="97"/>
              </w:rPr>
              <w:t>diluted earnings per share because to do so would have been antidilutive for the</w:t>
            </w: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9"/>
        </w:trPr>
        <w:tc>
          <w:tcPr>
            <w:tcW w:w="5300" w:type="dxa"/>
            <w:vAlign w:val="bottom"/>
          </w:tcPr>
          <w:p>
            <w:pPr>
              <w:spacing w:after="0" w:line="179" w:lineRule="exact"/>
              <w:rPr>
                <w:sz w:val="20"/>
                <w:szCs w:val="20"/>
                <w:color w:val="auto"/>
              </w:rPr>
            </w:pPr>
            <w:r>
              <w:rPr>
                <w:rFonts w:ascii="Courier New" w:cs="Courier New" w:eastAsia="Courier New" w:hAnsi="Courier New"/>
                <w:sz w:val="16"/>
                <w:szCs w:val="16"/>
                <w:color w:val="auto"/>
              </w:rPr>
              <w:t>periods presented:</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537"/>
        </w:trPr>
        <w:tc>
          <w:tcPr>
            <w:tcW w:w="5300" w:type="dxa"/>
            <w:vAlign w:val="bottom"/>
          </w:tcPr>
          <w:p>
            <w:pPr>
              <w:spacing w:after="0"/>
              <w:rPr>
                <w:sz w:val="20"/>
                <w:szCs w:val="20"/>
                <w:color w:val="auto"/>
              </w:rPr>
            </w:pPr>
            <w:r>
              <w:rPr>
                <w:rFonts w:ascii="Courier New" w:cs="Courier New" w:eastAsia="Courier New" w:hAnsi="Courier New"/>
                <w:sz w:val="16"/>
                <w:szCs w:val="16"/>
                <w:color w:val="auto"/>
              </w:rPr>
              <w:t>For the year ended</w:t>
            </w:r>
          </w:p>
        </w:tc>
        <w:tc>
          <w:tcPr>
            <w:tcW w:w="180" w:type="dxa"/>
            <w:vAlign w:val="bottom"/>
          </w:tcPr>
          <w:p>
            <w:pPr>
              <w:spacing w:after="0"/>
              <w:rPr>
                <w:sz w:val="24"/>
                <w:szCs w:val="24"/>
                <w:color w:val="auto"/>
              </w:rPr>
            </w:pPr>
          </w:p>
        </w:tc>
        <w:tc>
          <w:tcPr>
            <w:tcW w:w="80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3"/>
              </w:rPr>
              <w:t>9/2/99</w:t>
            </w:r>
          </w:p>
        </w:tc>
        <w:tc>
          <w:tcPr>
            <w:tcW w:w="280" w:type="dxa"/>
            <w:vAlign w:val="bottom"/>
          </w:tcPr>
          <w:p>
            <w:pPr>
              <w:spacing w:after="0"/>
              <w:rPr>
                <w:sz w:val="24"/>
                <w:szCs w:val="24"/>
                <w:color w:val="auto"/>
              </w:rPr>
            </w:pPr>
          </w:p>
        </w:tc>
        <w:tc>
          <w:tcPr>
            <w:tcW w:w="92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9/3/98</w:t>
            </w: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8/28/97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400" w:type="dxa"/>
            <w:vAlign w:val="bottom"/>
            <w:gridSpan w:val="2"/>
          </w:tcPr>
          <w:p>
            <w:pPr>
              <w:spacing w:after="0"/>
              <w:rPr>
                <w:sz w:val="20"/>
                <w:szCs w:val="20"/>
                <w:color w:val="auto"/>
              </w:rPr>
            </w:pPr>
            <w:r>
              <w:rPr>
                <w:rFonts w:ascii="Courier New" w:cs="Courier New" w:eastAsia="Courier New" w:hAnsi="Courier New"/>
                <w:sz w:val="16"/>
                <w:szCs w:val="16"/>
                <w:color w:val="auto"/>
              </w:rPr>
              <w:t>Employee stock plans....................................</w:t>
            </w:r>
          </w:p>
        </w:tc>
        <w:tc>
          <w:tcPr>
            <w:tcW w:w="9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23.8</w:t>
            </w:r>
          </w:p>
        </w:tc>
        <w:tc>
          <w:tcPr>
            <w:tcW w:w="11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21.0</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10.7</w:t>
            </w:r>
          </w:p>
        </w:tc>
      </w:tr>
      <w:tr>
        <w:trPr>
          <w:trHeight w:val="179"/>
        </w:trPr>
        <w:tc>
          <w:tcPr>
            <w:tcW w:w="420" w:type="dxa"/>
            <w:vAlign w:val="bottom"/>
          </w:tcPr>
          <w:p>
            <w:pPr>
              <w:spacing w:after="0" w:line="179" w:lineRule="exact"/>
              <w:rPr>
                <w:sz w:val="20"/>
                <w:szCs w:val="20"/>
                <w:color w:val="auto"/>
              </w:rPr>
            </w:pPr>
            <w:r>
              <w:rPr>
                <w:rFonts w:ascii="Courier New" w:cs="Courier New" w:eastAsia="Courier New" w:hAnsi="Courier New"/>
                <w:sz w:val="16"/>
                <w:szCs w:val="16"/>
                <w:color w:val="auto"/>
              </w:rPr>
              <w:t>8.4%</w:t>
            </w:r>
          </w:p>
        </w:tc>
        <w:tc>
          <w:tcPr>
            <w:tcW w:w="498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convertible subordinated notes payable due 2005....</w:t>
            </w:r>
          </w:p>
        </w:tc>
        <w:tc>
          <w:tcPr>
            <w:tcW w:w="9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11.6</w:t>
            </w:r>
          </w:p>
        </w:tc>
        <w:tc>
          <w:tcPr>
            <w:tcW w:w="11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20" w:type="dxa"/>
            <w:vAlign w:val="bottom"/>
          </w:tcPr>
          <w:p>
            <w:pPr>
              <w:spacing w:after="0" w:line="179" w:lineRule="exact"/>
              <w:rPr>
                <w:sz w:val="20"/>
                <w:szCs w:val="20"/>
                <w:color w:val="auto"/>
              </w:rPr>
            </w:pPr>
            <w:r>
              <w:rPr>
                <w:rFonts w:ascii="Courier New" w:cs="Courier New" w:eastAsia="Courier New" w:hAnsi="Courier New"/>
                <w:sz w:val="16"/>
                <w:szCs w:val="16"/>
                <w:color w:val="auto"/>
              </w:rPr>
              <w:t>7.0%</w:t>
            </w:r>
          </w:p>
        </w:tc>
        <w:tc>
          <w:tcPr>
            <w:tcW w:w="498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convertible subordinated notes payable due 2004....</w:t>
            </w:r>
          </w:p>
        </w:tc>
        <w:tc>
          <w:tcPr>
            <w:tcW w:w="9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7.4</w:t>
            </w:r>
          </w:p>
        </w:tc>
        <w:tc>
          <w:tcPr>
            <w:tcW w:w="11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7.4</w:t>
            </w:r>
          </w:p>
        </w:tc>
        <w:tc>
          <w:tcPr>
            <w:tcW w:w="8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1.4</w:t>
            </w:r>
          </w:p>
        </w:tc>
      </w:tr>
    </w:tbl>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Comprehensive Income (Loss)</w:t>
      </w:r>
    </w:p>
    <w:p>
      <w:pPr>
        <w:spacing w:after="0" w:line="183" w:lineRule="exact"/>
        <w:rPr>
          <w:sz w:val="20"/>
          <w:szCs w:val="20"/>
          <w:color w:val="auto"/>
        </w:rPr>
      </w:pPr>
    </w:p>
    <w:p>
      <w:pPr>
        <w:ind w:right="2779" w:firstLine="186"/>
        <w:spacing w:after="0" w:line="274" w:lineRule="auto"/>
        <w:rPr>
          <w:sz w:val="20"/>
          <w:szCs w:val="20"/>
          <w:color w:val="auto"/>
        </w:rPr>
      </w:pPr>
      <w:r>
        <w:rPr>
          <w:rFonts w:ascii="Courier New" w:cs="Courier New" w:eastAsia="Courier New" w:hAnsi="Courier New"/>
          <w:sz w:val="14"/>
          <w:szCs w:val="14"/>
          <w:color w:val="auto"/>
        </w:rPr>
        <w:t>The FASB issued SFAS No. 130, "Reporting Comprehensive Income," in June 1997. This statement establishes new standards for reporting and displaying comprehensive income in the financial statements and was adopted by the Company as of the first quarter of 1999. SFAS No. 130 requires reclassification of prior periods financial statements to reflect application of the provisions of this statement. In addition to net income, comprehensive income includes charges or credits to equity that are not the result of transactions with shareholders.</w:t>
      </w:r>
    </w:p>
    <w:p>
      <w:pPr>
        <w:spacing w:after="0" w:line="164" w:lineRule="exact"/>
        <w:rPr>
          <w:sz w:val="20"/>
          <w:szCs w:val="20"/>
          <w:color w:val="auto"/>
        </w:rPr>
      </w:pPr>
    </w:p>
    <w:p>
      <w:pPr>
        <w:ind w:right="3999" w:firstLine="186"/>
        <w:spacing w:after="0" w:line="234" w:lineRule="auto"/>
        <w:rPr>
          <w:sz w:val="20"/>
          <w:szCs w:val="20"/>
          <w:color w:val="auto"/>
        </w:rPr>
      </w:pPr>
      <w:r>
        <w:rPr>
          <w:rFonts w:ascii="Courier New" w:cs="Courier New" w:eastAsia="Courier New" w:hAnsi="Courier New"/>
          <w:sz w:val="16"/>
          <w:szCs w:val="16"/>
          <w:color w:val="auto"/>
        </w:rPr>
        <w:t>The following table reflects the composition of accumulated other comprehensive income:</w:t>
      </w:r>
    </w:p>
    <w:p>
      <w:pPr>
        <w:spacing w:after="0" w:line="200" w:lineRule="exact"/>
        <w:rPr>
          <w:sz w:val="20"/>
          <w:szCs w:val="20"/>
          <w:color w:val="auto"/>
        </w:rPr>
      </w:pPr>
    </w:p>
    <w:p>
      <w:pPr>
        <w:spacing w:after="0" w:line="335" w:lineRule="exact"/>
        <w:rPr>
          <w:sz w:val="20"/>
          <w:szCs w:val="20"/>
          <w:color w:val="auto"/>
        </w:rPr>
      </w:pPr>
    </w:p>
    <w:tbl>
      <w:tblPr>
        <w:tblLayout w:type="fixed"/>
        <w:tblInd w:w="80" w:type="dxa"/>
        <w:tblCellMar>
          <w:top w:w="0" w:type="dxa"/>
          <w:left w:w="0" w:type="dxa"/>
          <w:bottom w:w="0" w:type="dxa"/>
          <w:right w:w="0" w:type="dxa"/>
        </w:tblCellMar>
      </w:tblPr>
      <w:tr>
        <w:trPr>
          <w:trHeight w:val="181"/>
        </w:trPr>
        <w:tc>
          <w:tcPr>
            <w:tcW w:w="5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3"/>
              </w:rPr>
              <w:t>9/2/99</w:t>
            </w:r>
          </w:p>
        </w:tc>
        <w:tc>
          <w:tcPr>
            <w:tcW w:w="280" w:type="dxa"/>
            <w:vAlign w:val="bottom"/>
          </w:tcPr>
          <w:p>
            <w:pPr>
              <w:spacing w:after="0"/>
              <w:rPr>
                <w:sz w:val="15"/>
                <w:szCs w:val="15"/>
                <w:color w:val="auto"/>
              </w:rPr>
            </w:pPr>
          </w:p>
        </w:tc>
        <w:tc>
          <w:tcPr>
            <w:tcW w:w="640" w:type="dxa"/>
            <w:vAlign w:val="bottom"/>
          </w:tcPr>
          <w:p>
            <w:pPr>
              <w:jc w:val="right"/>
              <w:ind w:right="2"/>
              <w:spacing w:after="0"/>
              <w:rPr>
                <w:sz w:val="20"/>
                <w:szCs w:val="20"/>
                <w:color w:val="auto"/>
              </w:rPr>
            </w:pPr>
            <w:r>
              <w:rPr>
                <w:rFonts w:ascii="Courier New" w:cs="Courier New" w:eastAsia="Courier New" w:hAnsi="Courier New"/>
                <w:sz w:val="16"/>
                <w:szCs w:val="16"/>
                <w:color w:val="auto"/>
                <w:w w:val="93"/>
              </w:rPr>
              <w:t>9/3/98</w:t>
            </w:r>
          </w:p>
        </w:tc>
      </w:tr>
      <w:tr>
        <w:trPr>
          <w:trHeight w:val="179"/>
        </w:trPr>
        <w:tc>
          <w:tcPr>
            <w:tcW w:w="5220" w:type="dxa"/>
            <w:vAlign w:val="bottom"/>
          </w:tcPr>
          <w:p>
            <w:pPr>
              <w:spacing w:after="0"/>
              <w:rPr>
                <w:sz w:val="15"/>
                <w:szCs w:val="15"/>
                <w:color w:val="auto"/>
              </w:rPr>
            </w:pPr>
          </w:p>
        </w:tc>
        <w:tc>
          <w:tcPr>
            <w:tcW w:w="112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537"/>
        </w:trPr>
        <w:tc>
          <w:tcPr>
            <w:tcW w:w="5220" w:type="dxa"/>
            <w:vAlign w:val="bottom"/>
          </w:tcPr>
          <w:p>
            <w:pPr>
              <w:spacing w:after="0"/>
              <w:rPr>
                <w:sz w:val="20"/>
                <w:szCs w:val="20"/>
                <w:color w:val="auto"/>
              </w:rPr>
            </w:pPr>
            <w:r>
              <w:rPr>
                <w:rFonts w:ascii="Courier New" w:cs="Courier New" w:eastAsia="Courier New" w:hAnsi="Courier New"/>
                <w:sz w:val="16"/>
                <w:szCs w:val="16"/>
                <w:color w:val="auto"/>
              </w:rPr>
              <w:t>Foreign currency translation adjustment...............</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(0.1)</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(0.1)</w:t>
            </w:r>
          </w:p>
        </w:tc>
      </w:tr>
      <w:tr>
        <w:trPr>
          <w:trHeight w:val="179"/>
        </w:trPr>
        <w:tc>
          <w:tcPr>
            <w:tcW w:w="5220" w:type="dxa"/>
            <w:vAlign w:val="bottom"/>
          </w:tcPr>
          <w:p>
            <w:pPr>
              <w:spacing w:after="0" w:line="179" w:lineRule="exact"/>
              <w:rPr>
                <w:sz w:val="20"/>
                <w:szCs w:val="20"/>
                <w:color w:val="auto"/>
              </w:rPr>
            </w:pPr>
            <w:r>
              <w:rPr>
                <w:rFonts w:ascii="Courier New" w:cs="Courier New" w:eastAsia="Courier New" w:hAnsi="Courier New"/>
                <w:sz w:val="16"/>
                <w:szCs w:val="16"/>
                <w:color w:val="auto"/>
              </w:rPr>
              <w:t>Unrealized loss on investments........................</w:t>
            </w:r>
          </w:p>
        </w:tc>
        <w:tc>
          <w:tcPr>
            <w:tcW w:w="28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(2.0)</w:t>
            </w:r>
          </w:p>
        </w:tc>
        <w:tc>
          <w:tcPr>
            <w:tcW w:w="280" w:type="dxa"/>
            <w:vAlign w:val="bottom"/>
          </w:tcPr>
          <w:p>
            <w:pPr>
              <w:spacing w:after="0"/>
              <w:rPr>
                <w:sz w:val="15"/>
                <w:szCs w:val="15"/>
                <w:color w:val="auto"/>
              </w:rPr>
            </w:pPr>
          </w:p>
        </w:tc>
        <w:tc>
          <w:tcPr>
            <w:tcW w:w="6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220" w:type="dxa"/>
            <w:vAlign w:val="bottom"/>
          </w:tcPr>
          <w:p>
            <w:pPr>
              <w:spacing w:after="0"/>
              <w:rPr>
                <w:sz w:val="15"/>
                <w:szCs w:val="15"/>
                <w:color w:val="auto"/>
              </w:rPr>
            </w:pPr>
          </w:p>
        </w:tc>
        <w:tc>
          <w:tcPr>
            <w:tcW w:w="112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220" w:type="dxa"/>
            <w:vAlign w:val="bottom"/>
          </w:tcPr>
          <w:p>
            <w:pPr>
              <w:spacing w:after="0" w:line="179" w:lineRule="exact"/>
              <w:rPr>
                <w:sz w:val="20"/>
                <w:szCs w:val="20"/>
                <w:color w:val="auto"/>
              </w:rPr>
            </w:pPr>
            <w:r>
              <w:rPr>
                <w:rFonts w:ascii="Courier New" w:cs="Courier New" w:eastAsia="Courier New" w:hAnsi="Courier New"/>
                <w:sz w:val="16"/>
                <w:szCs w:val="16"/>
                <w:color w:val="auto"/>
              </w:rPr>
              <w:t>Total accumulated other comprehensive income (loss)...</w:t>
            </w:r>
          </w:p>
        </w:tc>
        <w:tc>
          <w:tcPr>
            <w:tcW w:w="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(2.1)</w:t>
            </w:r>
          </w:p>
        </w:tc>
        <w:tc>
          <w:tcPr>
            <w:tcW w:w="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(0.1)</w:t>
            </w:r>
          </w:p>
        </w:tc>
      </w:tr>
      <w:tr>
        <w:trPr>
          <w:trHeight w:val="179"/>
        </w:trPr>
        <w:tc>
          <w:tcPr>
            <w:tcW w:w="5220" w:type="dxa"/>
            <w:vAlign w:val="bottom"/>
          </w:tcPr>
          <w:p>
            <w:pPr>
              <w:spacing w:after="0"/>
              <w:rPr>
                <w:sz w:val="15"/>
                <w:szCs w:val="15"/>
                <w:color w:val="auto"/>
              </w:rPr>
            </w:pPr>
          </w:p>
        </w:tc>
        <w:tc>
          <w:tcPr>
            <w:tcW w:w="112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537"/>
        </w:trPr>
        <w:tc>
          <w:tcPr>
            <w:tcW w:w="5220" w:type="dxa"/>
            <w:vAlign w:val="bottom"/>
          </w:tcPr>
          <w:p>
            <w:pPr>
              <w:jc w:val="right"/>
              <w:ind w:right="1322"/>
              <w:spacing w:after="0"/>
              <w:rPr>
                <w:sz w:val="20"/>
                <w:szCs w:val="20"/>
                <w:color w:val="auto"/>
              </w:rPr>
            </w:pPr>
            <w:r>
              <w:rPr>
                <w:rFonts w:ascii="Courier New" w:cs="Courier New" w:eastAsia="Courier New" w:hAnsi="Courier New"/>
                <w:sz w:val="16"/>
                <w:szCs w:val="16"/>
                <w:color w:val="auto"/>
              </w:rPr>
              <w:t>44/57</w:t>
            </w: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ectPr>
          <w:pgSz w:w="11900" w:h="16838" w:orient="portrait"/>
          <w:cols w:equalWidth="0" w:num="1">
            <w:col w:w="10219"/>
          </w:cols>
          <w:pgMar w:left="240" w:top="648" w:right="1440" w:bottom="238" w:gutter="0" w:footer="0" w:header="0"/>
        </w:sectPr>
      </w:pPr>
    </w:p>
    <w:bookmarkStart w:id="46" w:name="page47"/>
    <w:bookmarkEnd w:id="46"/>
    <w:p>
      <w:pPr>
        <w:ind w:left="5"/>
        <w:spacing w:after="0"/>
        <w:rPr>
          <w:sz w:val="20"/>
          <w:szCs w:val="20"/>
          <w:color w:val="auto"/>
        </w:rPr>
      </w:pPr>
      <w:r>
        <w:rPr>
          <w:rFonts w:ascii="Courier New" w:cs="Courier New" w:eastAsia="Courier New" w:hAnsi="Courier New"/>
          <w:sz w:val="16"/>
          <w:szCs w:val="16"/>
          <w:color w:val="auto"/>
        </w:rPr>
        <w:t>Acquisition</w:t>
      </w:r>
    </w:p>
    <w:p>
      <w:pPr>
        <w:spacing w:after="0" w:line="183" w:lineRule="exact"/>
        <w:rPr>
          <w:sz w:val="20"/>
          <w:szCs w:val="20"/>
          <w:color w:val="auto"/>
        </w:rPr>
      </w:pPr>
    </w:p>
    <w:p>
      <w:pPr>
        <w:ind w:left="5" w:right="2779" w:firstLine="186"/>
        <w:spacing w:after="0" w:line="273" w:lineRule="auto"/>
        <w:rPr>
          <w:sz w:val="20"/>
          <w:szCs w:val="20"/>
          <w:color w:val="auto"/>
        </w:rPr>
      </w:pPr>
      <w:r>
        <w:rPr>
          <w:rFonts w:ascii="Courier New" w:cs="Courier New" w:eastAsia="Courier New" w:hAnsi="Courier New"/>
          <w:sz w:val="14"/>
          <w:szCs w:val="14"/>
          <w:color w:val="auto"/>
        </w:rPr>
        <w:t>On September 30, 1998, MTI completed its acquisition (the "Acquisition") of substantially all of the memory operations of TI for a net purchase price of approximately $832.8 million. The Acquisition was consummated through the issuance of debt and equity securities. In connection with the transaction, MTI issued 28.9 million shares of MTI common stock, $740 million principal amount of Convertible Notes and $210 million principal amount of subordinated notes. In addition to TI's net memory assets, MTI received $681.1 million in cash. The Acquisition was accounted for as a business combination using the purchase method of accounting. The purchase price was allocated to the assets acquired and liabilities assumed based on their estimated fair values. MTI and TI also entered into a ten-year, royalty-free, life-of-patents, patent cross license that commenced on January 1, 1999. MTI made royalty payments to TI under a prior cross license agreement for operations through December 31, 1998.</w:t>
      </w:r>
    </w:p>
    <w:p>
      <w:pPr>
        <w:spacing w:after="0" w:line="340" w:lineRule="exact"/>
        <w:rPr>
          <w:sz w:val="20"/>
          <w:szCs w:val="20"/>
          <w:color w:val="auto"/>
        </w:rPr>
      </w:pPr>
    </w:p>
    <w:p>
      <w:pPr>
        <w:ind w:left="5" w:right="3059" w:firstLine="186"/>
        <w:spacing w:after="0" w:line="235" w:lineRule="auto"/>
        <w:rPr>
          <w:sz w:val="20"/>
          <w:szCs w:val="20"/>
          <w:color w:val="auto"/>
        </w:rPr>
      </w:pPr>
      <w:r>
        <w:rPr>
          <w:rFonts w:ascii="Courier New" w:cs="Courier New" w:eastAsia="Courier New" w:hAnsi="Courier New"/>
          <w:sz w:val="16"/>
          <w:szCs w:val="16"/>
          <w:color w:val="auto"/>
        </w:rPr>
        <w:t>The following unaudited pro forma information presents the consolidated results of operations of the Company as if the Acquisition had taken place at the beginning of each period presented:</w:t>
      </w:r>
    </w:p>
    <w:p>
      <w:pPr>
        <w:spacing w:after="0" w:line="200" w:lineRule="exact"/>
        <w:rPr>
          <w:sz w:val="20"/>
          <w:szCs w:val="20"/>
          <w:color w:val="auto"/>
        </w:rPr>
      </w:pPr>
    </w:p>
    <w:p>
      <w:pPr>
        <w:spacing w:after="0" w:line="335"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2740" w:type="dxa"/>
            <w:vAlign w:val="bottom"/>
          </w:tcPr>
          <w:p>
            <w:pPr>
              <w:spacing w:after="0"/>
              <w:rPr>
                <w:sz w:val="20"/>
                <w:szCs w:val="20"/>
                <w:color w:val="auto"/>
              </w:rPr>
            </w:pPr>
            <w:r>
              <w:rPr>
                <w:rFonts w:ascii="Courier New" w:cs="Courier New" w:eastAsia="Courier New" w:hAnsi="Courier New"/>
                <w:sz w:val="16"/>
                <w:szCs w:val="16"/>
                <w:color w:val="auto"/>
              </w:rPr>
              <w:t>For the year ended</w:t>
            </w:r>
          </w:p>
        </w:tc>
        <w:tc>
          <w:tcPr>
            <w:tcW w:w="19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9/2/99</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9/3/98</w:t>
            </w:r>
          </w:p>
        </w:tc>
      </w:tr>
    </w:tbl>
    <w:p>
      <w:pPr>
        <w:ind w:left="185" w:hanging="185"/>
        <w:spacing w:after="0" w:line="236" w:lineRule="auto"/>
        <w:tabs>
          <w:tab w:leader="none" w:pos="185"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18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(unaudited)</w:t>
      </w:r>
    </w:p>
    <w:p>
      <w:pPr>
        <w:spacing w:after="0" w:line="177" w:lineRule="exact"/>
        <w:rPr>
          <w:sz w:val="20"/>
          <w:szCs w:val="20"/>
          <w:color w:val="auto"/>
        </w:rPr>
      </w:pPr>
    </w:p>
    <w:tbl>
      <w:tblPr>
        <w:tblLayout w:type="fixed"/>
        <w:tblInd w:w="185" w:type="dxa"/>
        <w:tblCellMar>
          <w:top w:w="0" w:type="dxa"/>
          <w:left w:w="0" w:type="dxa"/>
          <w:bottom w:w="0" w:type="dxa"/>
          <w:right w:w="0" w:type="dxa"/>
        </w:tblCellMar>
      </w:tblPr>
      <w:tr>
        <w:trPr>
          <w:trHeight w:val="181"/>
        </w:trPr>
        <w:tc>
          <w:tcPr>
            <w:tcW w:w="3360" w:type="dxa"/>
            <w:vAlign w:val="bottom"/>
          </w:tcPr>
          <w:p>
            <w:pPr>
              <w:spacing w:after="0"/>
              <w:rPr>
                <w:sz w:val="20"/>
                <w:szCs w:val="20"/>
                <w:color w:val="auto"/>
              </w:rPr>
            </w:pPr>
            <w:r>
              <w:rPr>
                <w:rFonts w:ascii="Courier New" w:cs="Courier New" w:eastAsia="Courier New" w:hAnsi="Courier New"/>
                <w:sz w:val="16"/>
                <w:szCs w:val="16"/>
                <w:color w:val="auto"/>
                <w:w w:val="99"/>
              </w:rPr>
              <w:t>Net sales..........................</w:t>
            </w:r>
          </w:p>
        </w:tc>
        <w:tc>
          <w:tcPr>
            <w:tcW w:w="11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$ 3,819.3</w:t>
            </w:r>
          </w:p>
        </w:tc>
        <w:tc>
          <w:tcPr>
            <w:tcW w:w="10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$ 3,743.7</w:t>
            </w:r>
          </w:p>
        </w:tc>
      </w:tr>
      <w:tr>
        <w:trPr>
          <w:trHeight w:val="179"/>
        </w:trPr>
        <w:tc>
          <w:tcPr>
            <w:tcW w:w="336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Net loss...........................</w:t>
            </w: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(86.1)</w:t>
            </w:r>
          </w:p>
        </w:tc>
        <w:tc>
          <w:tcPr>
            <w:tcW w:w="1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(678.6)</w:t>
            </w:r>
          </w:p>
        </w:tc>
      </w:tr>
      <w:tr>
        <w:trPr>
          <w:trHeight w:val="179"/>
        </w:trPr>
        <w:tc>
          <w:tcPr>
            <w:tcW w:w="336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Basic loss per share...............</w:t>
            </w: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(0.33)</w:t>
            </w:r>
          </w:p>
        </w:tc>
        <w:tc>
          <w:tcPr>
            <w:tcW w:w="1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(2.77)</w:t>
            </w:r>
          </w:p>
        </w:tc>
      </w:tr>
      <w:tr>
        <w:trPr>
          <w:trHeight w:val="179"/>
        </w:trPr>
        <w:tc>
          <w:tcPr>
            <w:tcW w:w="336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Diluted loss per share.............</w:t>
            </w: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(0.33)</w:t>
            </w:r>
          </w:p>
        </w:tc>
        <w:tc>
          <w:tcPr>
            <w:tcW w:w="1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(2.77)</w:t>
            </w:r>
          </w:p>
        </w:tc>
      </w:tr>
    </w:tbl>
    <w:p>
      <w:pPr>
        <w:spacing w:after="0" w:line="362" w:lineRule="exact"/>
        <w:rPr>
          <w:sz w:val="20"/>
          <w:szCs w:val="20"/>
          <w:color w:val="auto"/>
        </w:rPr>
      </w:pPr>
    </w:p>
    <w:p>
      <w:pPr>
        <w:ind w:left="5" w:right="2959" w:firstLine="186"/>
        <w:spacing w:after="0" w:line="235" w:lineRule="auto"/>
        <w:rPr>
          <w:sz w:val="20"/>
          <w:szCs w:val="20"/>
          <w:color w:val="auto"/>
        </w:rPr>
      </w:pPr>
      <w:r>
        <w:rPr>
          <w:rFonts w:ascii="Courier New" w:cs="Courier New" w:eastAsia="Courier New" w:hAnsi="Courier New"/>
          <w:sz w:val="16"/>
          <w:szCs w:val="16"/>
          <w:color w:val="auto"/>
        </w:rPr>
        <w:t>These pro forma results of operations have been prepared for comparative purposes only and do not purport to be indicative of the results of operations which actually would have resulted had the Acquisition occurred on the dates indicated, or which may result in the future.</w:t>
      </w:r>
    </w:p>
    <w:p>
      <w:pPr>
        <w:spacing w:after="0" w:line="178"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Merger</w:t>
      </w:r>
    </w:p>
    <w:p>
      <w:pPr>
        <w:spacing w:after="0" w:line="183" w:lineRule="exact"/>
        <w:rPr>
          <w:sz w:val="20"/>
          <w:szCs w:val="20"/>
          <w:color w:val="auto"/>
        </w:rPr>
      </w:pPr>
    </w:p>
    <w:p>
      <w:pPr>
        <w:ind w:left="5" w:right="2779" w:firstLine="186"/>
        <w:spacing w:after="0" w:line="236" w:lineRule="auto"/>
        <w:rPr>
          <w:sz w:val="20"/>
          <w:szCs w:val="20"/>
          <w:color w:val="auto"/>
        </w:rPr>
      </w:pPr>
      <w:r>
        <w:rPr>
          <w:rFonts w:ascii="Courier New" w:cs="Courier New" w:eastAsia="Courier New" w:hAnsi="Courier New"/>
          <w:sz w:val="16"/>
          <w:szCs w:val="16"/>
          <w:color w:val="auto"/>
        </w:rPr>
        <w:t>On September 11, 1998, the Company completed its merger with Rendition, Inc. ("Rendition"). MTI issued approximately 3.6 million shares of MTI common stock in exchange for all of the outstanding stock of Rendition. The merger qualified as a tax-free exchange and was accounted for as a business combination using the "pooling-of-interests" method. Accordingly, the Company's financial statements have been restated to include the results of Rendition for all periods presented. The following table presents a reconciliation of net sales and net income (loss) as previously reported by the Company for the years ended September 3, 1998, and August 27, 1997, to those presented in the accompanying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
        <w:spacing w:after="0"/>
        <w:tabs>
          <w:tab w:leader="none" w:pos="3044" w:val="left"/>
          <w:tab w:leader="none" w:pos="4164" w:val="left"/>
          <w:tab w:leader="none" w:pos="5564" w:val="left"/>
        </w:tabs>
        <w:rPr>
          <w:sz w:val="20"/>
          <w:szCs w:val="20"/>
          <w:color w:val="auto"/>
        </w:rPr>
      </w:pPr>
      <w:r>
        <w:rPr>
          <w:rFonts w:ascii="Courier New" w:cs="Courier New" w:eastAsia="Courier New" w:hAnsi="Courier New"/>
          <w:sz w:val="16"/>
          <w:szCs w:val="16"/>
          <w:color w:val="auto"/>
        </w:rPr>
        <w:t>For the year ended 9/2/98</w:t>
      </w:r>
      <w:r>
        <w:rPr>
          <w:sz w:val="20"/>
          <w:szCs w:val="20"/>
          <w:color w:val="auto"/>
        </w:rPr>
        <w:tab/>
      </w:r>
      <w:r>
        <w:rPr>
          <w:rFonts w:ascii="Courier New" w:cs="Courier New" w:eastAsia="Courier New" w:hAnsi="Courier New"/>
          <w:sz w:val="16"/>
          <w:szCs w:val="16"/>
          <w:color w:val="auto"/>
        </w:rPr>
        <w:t>MTI</w:t>
      </w:r>
      <w:r>
        <w:rPr>
          <w:sz w:val="20"/>
          <w:szCs w:val="20"/>
          <w:color w:val="auto"/>
        </w:rPr>
        <w:tab/>
      </w:r>
      <w:r>
        <w:rPr>
          <w:rFonts w:ascii="Courier New" w:cs="Courier New" w:eastAsia="Courier New" w:hAnsi="Courier New"/>
          <w:sz w:val="16"/>
          <w:szCs w:val="16"/>
          <w:color w:val="auto"/>
        </w:rPr>
        <w:t>Rendition</w:t>
      </w:r>
      <w:r>
        <w:rPr>
          <w:sz w:val="20"/>
          <w:szCs w:val="20"/>
          <w:color w:val="auto"/>
        </w:rPr>
        <w:tab/>
      </w:r>
      <w:r>
        <w:rPr>
          <w:rFonts w:ascii="Courier New" w:cs="Courier New" w:eastAsia="Courier New" w:hAnsi="Courier New"/>
          <w:sz w:val="14"/>
          <w:szCs w:val="14"/>
          <w:color w:val="auto"/>
        </w:rPr>
        <w:t>Combined</w:t>
      </w:r>
    </w:p>
    <w:p>
      <w:pPr>
        <w:ind w:left="185" w:hanging="185"/>
        <w:spacing w:after="0" w:line="236" w:lineRule="auto"/>
        <w:tabs>
          <w:tab w:leader="none" w:pos="185"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8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(unaudited)</w:t>
      </w:r>
    </w:p>
    <w:p>
      <w:pPr>
        <w:spacing w:after="0" w:line="177"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260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9"/>
              </w:rPr>
              <w:t>Net sales................</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3,011.9</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13.4</w:t>
            </w:r>
          </w:p>
        </w:tc>
        <w:tc>
          <w:tcPr>
            <w:tcW w:w="42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2"/>
              <w:spacing w:after="0"/>
              <w:rPr>
                <w:sz w:val="20"/>
                <w:szCs w:val="20"/>
                <w:color w:val="auto"/>
              </w:rPr>
            </w:pPr>
            <w:r>
              <w:rPr>
                <w:rFonts w:ascii="Courier New" w:cs="Courier New" w:eastAsia="Courier New" w:hAnsi="Courier New"/>
                <w:sz w:val="16"/>
                <w:szCs w:val="16"/>
                <w:color w:val="auto"/>
              </w:rPr>
              <w:t>3,025.3</w:t>
            </w:r>
          </w:p>
        </w:tc>
      </w:tr>
      <w:tr>
        <w:trPr>
          <w:trHeight w:val="358"/>
        </w:trPr>
        <w:tc>
          <w:tcPr>
            <w:tcW w:w="260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9"/>
              </w:rPr>
              <w:t>Net loss.................</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(233.7)</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(13.4)</w:t>
            </w:r>
          </w:p>
        </w:tc>
        <w:tc>
          <w:tcPr>
            <w:tcW w:w="42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(247.1)</w:t>
            </w:r>
          </w:p>
        </w:tc>
      </w:tr>
      <w:tr>
        <w:trPr>
          <w:trHeight w:val="716"/>
        </w:trPr>
        <w:tc>
          <w:tcPr>
            <w:tcW w:w="260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6"/>
              </w:rPr>
              <w:t>For the year ended 8/27/97</w:t>
            </w:r>
          </w:p>
        </w:tc>
        <w:tc>
          <w:tcPr>
            <w:tcW w:w="320" w:type="dxa"/>
            <w:vAlign w:val="bottom"/>
          </w:tcPr>
          <w:p>
            <w:pPr>
              <w:spacing w:after="0"/>
              <w:rPr>
                <w:sz w:val="24"/>
                <w:szCs w:val="24"/>
                <w:color w:val="auto"/>
              </w:rPr>
            </w:pPr>
          </w:p>
        </w:tc>
        <w:tc>
          <w:tcPr>
            <w:tcW w:w="102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MTI</w:t>
            </w:r>
          </w:p>
        </w:tc>
        <w:tc>
          <w:tcPr>
            <w:tcW w:w="136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Rendition</w:t>
            </w:r>
          </w:p>
        </w:tc>
        <w:tc>
          <w:tcPr>
            <w:tcW w:w="120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Combined</w:t>
            </w:r>
          </w:p>
        </w:tc>
      </w:tr>
    </w:tbl>
    <w:p>
      <w:pPr>
        <w:ind w:left="185" w:hanging="185"/>
        <w:spacing w:after="0" w:line="236" w:lineRule="auto"/>
        <w:tabs>
          <w:tab w:leader="none" w:pos="185"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8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(unaudited)</w:t>
      </w:r>
    </w:p>
    <w:p>
      <w:pPr>
        <w:spacing w:after="0" w:line="177" w:lineRule="exact"/>
        <w:rPr>
          <w:sz w:val="20"/>
          <w:szCs w:val="20"/>
          <w:color w:val="auto"/>
        </w:rPr>
      </w:pPr>
    </w:p>
    <w:tbl>
      <w:tblPr>
        <w:tblLayout w:type="fixed"/>
        <w:tblInd w:w="85" w:type="dxa"/>
        <w:tblCellMar>
          <w:top w:w="0" w:type="dxa"/>
          <w:left w:w="0" w:type="dxa"/>
          <w:bottom w:w="0" w:type="dxa"/>
          <w:right w:w="0" w:type="dxa"/>
        </w:tblCellMar>
      </w:tblPr>
      <w:tr>
        <w:trPr>
          <w:trHeight w:val="181"/>
        </w:trPr>
        <w:tc>
          <w:tcPr>
            <w:tcW w:w="340" w:type="dxa"/>
            <w:vAlign w:val="bottom"/>
          </w:tcPr>
          <w:p>
            <w:pPr>
              <w:spacing w:after="0"/>
              <w:rPr>
                <w:sz w:val="20"/>
                <w:szCs w:val="20"/>
                <w:color w:val="auto"/>
              </w:rPr>
            </w:pPr>
            <w:r>
              <w:rPr>
                <w:rFonts w:ascii="Courier New" w:cs="Courier New" w:eastAsia="Courier New" w:hAnsi="Courier New"/>
                <w:sz w:val="16"/>
                <w:szCs w:val="16"/>
                <w:color w:val="auto"/>
              </w:rPr>
              <w:t>Net</w:t>
            </w:r>
          </w:p>
        </w:tc>
        <w:tc>
          <w:tcPr>
            <w:tcW w:w="2180" w:type="dxa"/>
            <w:vAlign w:val="bottom"/>
          </w:tcPr>
          <w:p>
            <w:pPr>
              <w:ind w:left="40"/>
              <w:spacing w:after="0"/>
              <w:rPr>
                <w:sz w:val="20"/>
                <w:szCs w:val="20"/>
                <w:color w:val="auto"/>
              </w:rPr>
            </w:pPr>
            <w:r>
              <w:rPr>
                <w:rFonts w:ascii="Courier New" w:cs="Courier New" w:eastAsia="Courier New" w:hAnsi="Courier New"/>
                <w:sz w:val="16"/>
                <w:szCs w:val="16"/>
                <w:color w:val="auto"/>
              </w:rPr>
              <w:t>sales................</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3,515.5</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7.7</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3,523.2</w:t>
            </w:r>
          </w:p>
        </w:tc>
      </w:tr>
      <w:tr>
        <w:trPr>
          <w:trHeight w:val="358"/>
        </w:trPr>
        <w:tc>
          <w:tcPr>
            <w:tcW w:w="340" w:type="dxa"/>
            <w:vAlign w:val="bottom"/>
          </w:tcPr>
          <w:p>
            <w:pPr>
              <w:spacing w:after="0"/>
              <w:rPr>
                <w:sz w:val="20"/>
                <w:szCs w:val="20"/>
                <w:color w:val="auto"/>
              </w:rPr>
            </w:pPr>
            <w:r>
              <w:rPr>
                <w:rFonts w:ascii="Courier New" w:cs="Courier New" w:eastAsia="Courier New" w:hAnsi="Courier New"/>
                <w:sz w:val="16"/>
                <w:szCs w:val="16"/>
                <w:color w:val="auto"/>
              </w:rPr>
              <w:t>Net</w:t>
            </w:r>
          </w:p>
        </w:tc>
        <w:tc>
          <w:tcPr>
            <w:tcW w:w="2180" w:type="dxa"/>
            <w:vAlign w:val="bottom"/>
          </w:tcPr>
          <w:p>
            <w:pPr>
              <w:ind w:left="40"/>
              <w:spacing w:after="0"/>
              <w:rPr>
                <w:sz w:val="20"/>
                <w:szCs w:val="20"/>
                <w:color w:val="auto"/>
              </w:rPr>
            </w:pPr>
            <w:r>
              <w:rPr>
                <w:rFonts w:ascii="Courier New" w:cs="Courier New" w:eastAsia="Courier New" w:hAnsi="Courier New"/>
                <w:sz w:val="16"/>
                <w:szCs w:val="16"/>
                <w:color w:val="auto"/>
              </w:rPr>
              <w:t>income (loss)........</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332.2</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(17.2)</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315.0</w:t>
            </w:r>
          </w:p>
        </w:tc>
      </w:tr>
    </w:tbl>
    <w:p>
      <w:pPr>
        <w:spacing w:after="0" w:line="355"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Equity Investment</w:t>
      </w:r>
    </w:p>
    <w:p>
      <w:pPr>
        <w:spacing w:after="0" w:line="183" w:lineRule="exact"/>
        <w:rPr>
          <w:sz w:val="20"/>
          <w:szCs w:val="20"/>
          <w:color w:val="auto"/>
        </w:rPr>
      </w:pPr>
    </w:p>
    <w:p>
      <w:pPr>
        <w:ind w:left="5" w:right="2879" w:firstLine="186"/>
        <w:spacing w:after="0" w:line="236" w:lineRule="auto"/>
        <w:rPr>
          <w:sz w:val="20"/>
          <w:szCs w:val="20"/>
          <w:color w:val="auto"/>
        </w:rPr>
      </w:pPr>
      <w:r>
        <w:rPr>
          <w:rFonts w:ascii="Courier New" w:cs="Courier New" w:eastAsia="Courier New" w:hAnsi="Courier New"/>
          <w:sz w:val="16"/>
          <w:szCs w:val="16"/>
          <w:color w:val="auto"/>
        </w:rPr>
        <w:t>On October 19, 1998, Intel invested $500 million in the Company and as a result now holds approximately 15.8 million shares of MTI's non-voting Class A Common Stock. The Class A Common Stock represented approximately 6% of MTI's outstanding common stock as of September 2, 1999. The Class A Common Stock will automatically be converted into MTI's common stock, subject to certain adjustments, upon a transfer to a holder other than Intel or a 90% owned subsidiary of Intel. As of September 2, 1999, the Class A Common Stock was convertible into common stock on a one-to-one basis. The Class A Common Stock issued to Intel has not been</w:t>
      </w:r>
    </w:p>
    <w:p>
      <w:pPr>
        <w:spacing w:after="0" w:line="179" w:lineRule="exact"/>
        <w:rPr>
          <w:sz w:val="20"/>
          <w:szCs w:val="20"/>
          <w:color w:val="auto"/>
        </w:rPr>
      </w:pPr>
    </w:p>
    <w:p>
      <w:pPr>
        <w:ind w:left="3445"/>
        <w:spacing w:after="0"/>
        <w:rPr>
          <w:sz w:val="20"/>
          <w:szCs w:val="20"/>
          <w:color w:val="auto"/>
        </w:rPr>
      </w:pPr>
      <w:r>
        <w:rPr>
          <w:rFonts w:ascii="Courier New" w:cs="Courier New" w:eastAsia="Courier New" w:hAnsi="Courier New"/>
          <w:sz w:val="16"/>
          <w:szCs w:val="16"/>
          <w:color w:val="auto"/>
        </w:rPr>
        <w:t>45/57</w:t>
      </w:r>
    </w:p>
    <w:p>
      <w:pPr>
        <w:sectPr>
          <w:pgSz w:w="11900" w:h="16838" w:orient="portrait"/>
          <w:cols w:equalWidth="0" w:num="1">
            <w:col w:w="10224"/>
          </w:cols>
          <w:pgMar w:left="235" w:top="648" w:right="1440" w:bottom="238" w:gutter="0" w:footer="0" w:header="0"/>
        </w:sectPr>
      </w:pPr>
    </w:p>
    <w:bookmarkStart w:id="47" w:name="page48"/>
    <w:bookmarkEnd w:id="47"/>
    <w:p>
      <w:pPr>
        <w:ind w:right="2779"/>
        <w:spacing w:after="0" w:line="236" w:lineRule="auto"/>
        <w:rPr>
          <w:sz w:val="20"/>
          <w:szCs w:val="20"/>
          <w:color w:val="auto"/>
        </w:rPr>
      </w:pPr>
      <w:r>
        <w:rPr>
          <w:rFonts w:ascii="Courier New" w:cs="Courier New" w:eastAsia="Courier New" w:hAnsi="Courier New"/>
          <w:sz w:val="16"/>
          <w:szCs w:val="16"/>
          <w:color w:val="auto"/>
        </w:rPr>
        <w:t>registered under the Securities Act of 1933, as amended, and is therefore subject to certain restrictions on resale. MTI and Intel entered into a securities rights and restrictions agreement which provides Intel with certain registration rights and places certain restrictions on Intel's voting rights and other activities with respect to the shares of MTI Class A Common Stock or common stock. Intel also has the right to designate a director nominee, acceptable to MTI, to MTI's Board of Directors.</w:t>
      </w:r>
    </w:p>
    <w:p>
      <w:pPr>
        <w:spacing w:after="0" w:line="184" w:lineRule="exact"/>
        <w:rPr>
          <w:sz w:val="20"/>
          <w:szCs w:val="20"/>
          <w:color w:val="auto"/>
        </w:rPr>
      </w:pPr>
    </w:p>
    <w:p>
      <w:pPr>
        <w:ind w:right="2779" w:firstLine="186"/>
        <w:spacing w:after="0" w:line="272" w:lineRule="auto"/>
        <w:rPr>
          <w:sz w:val="20"/>
          <w:szCs w:val="20"/>
          <w:color w:val="auto"/>
        </w:rPr>
      </w:pPr>
      <w:r>
        <w:rPr>
          <w:rFonts w:ascii="Courier New" w:cs="Courier New" w:eastAsia="Courier New" w:hAnsi="Courier New"/>
          <w:sz w:val="14"/>
          <w:szCs w:val="14"/>
          <w:color w:val="auto"/>
        </w:rPr>
        <w:t>In consideration for Intel's investment, MTI agreed to commit to the development of direct Rambus DRAM ("RDRAM") and to certain production and capital expenditure milestones and to make available to Intel a certain percentage of its semiconductor memory output over a five-year period, subject to certain limitations. The conversion ratio of the Class A Common Stock is subject to adjustment under certain formulae at the election of Intel in the event MTI fails to meet the production or capital expenditure milestones. No adjustment will occur to the conversion ratio under such formulae (i) unless the price of MTI's common stock for a twenty day period ending two days prior to such milestone dates is lower than $31.625 (the market price of MTI's common stock at the time of investment), or (ii) if MTI achieves the production and capital expenditure milestones. In addition, if an adjustment occurs, in no event will MTI be obligated to issue more than: (a) a number of additional shares having a value exceeding $150 million, or (b) 15,810,277 shares.</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Joint Ventures</w:t>
      </w:r>
    </w:p>
    <w:p>
      <w:pPr>
        <w:spacing w:after="0" w:line="183" w:lineRule="exact"/>
        <w:rPr>
          <w:sz w:val="20"/>
          <w:szCs w:val="20"/>
          <w:color w:val="auto"/>
        </w:rPr>
      </w:pPr>
    </w:p>
    <w:p>
      <w:pPr>
        <w:ind w:right="2779" w:firstLine="186"/>
        <w:spacing w:after="0" w:line="274" w:lineRule="auto"/>
        <w:rPr>
          <w:sz w:val="20"/>
          <w:szCs w:val="20"/>
          <w:color w:val="auto"/>
        </w:rPr>
      </w:pPr>
      <w:r>
        <w:rPr>
          <w:rFonts w:ascii="Courier New" w:cs="Courier New" w:eastAsia="Courier New" w:hAnsi="Courier New"/>
          <w:sz w:val="14"/>
          <w:szCs w:val="14"/>
          <w:color w:val="auto"/>
        </w:rPr>
        <w:t>In connection with the acquisition of substantially all of TI's memory operations in September 1998, MTI acquired interests in two joint venture wafer fabrication facilities dedicated to the fabrication of DRAMs. MTI has interests in TECH Semiconductor Singapore Pte. Ltd. ("TECH") and in KMT Semiconductor Limited ("KMT"). TECH, which operates in Singapore, is a joint venture between MTI, the Singapore Economic Development Board, Canon Inc. and Hewlett-Packard Company. KMT, which operates in Japan, is a joint venture between MTI and Kobe Steel, Ltd. TECH and KMT are collectively referred to herein as the "JVs."</w:t>
      </w:r>
    </w:p>
    <w:p>
      <w:pPr>
        <w:spacing w:after="0" w:line="162" w:lineRule="exact"/>
        <w:rPr>
          <w:sz w:val="20"/>
          <w:szCs w:val="20"/>
          <w:color w:val="auto"/>
        </w:rPr>
      </w:pPr>
    </w:p>
    <w:p>
      <w:pPr>
        <w:ind w:right="2779" w:firstLine="186"/>
        <w:spacing w:after="0" w:line="236" w:lineRule="auto"/>
        <w:rPr>
          <w:sz w:val="20"/>
          <w:szCs w:val="20"/>
          <w:color w:val="auto"/>
        </w:rPr>
      </w:pPr>
      <w:r>
        <w:rPr>
          <w:rFonts w:ascii="Courier New" w:cs="Courier New" w:eastAsia="Courier New" w:hAnsi="Courier New"/>
          <w:sz w:val="16"/>
          <w:szCs w:val="16"/>
          <w:color w:val="auto"/>
        </w:rPr>
        <w:t>Subject to certain terms and conditions, MTI has agreed to purchase all of the JV production. MTI purchases semiconductor memory products from the JVs at prices generally determined quarterly based on a discount from MTI's average selling prices. MTI is a party to various agreements with the JVs whereby MTI provides technology, engineering support and training to assist the JVs in establishing and operating advanced wafer fabrication facilities to produce MTI DRAM products. MTI also performs assembly and test services on product manufactured by the JVs. The net cost of products purchased from the JVs, amounting to $186.2 million and $135.3 million for KMT and TECH, respectively in 1999, reflects all transactions with the JVs.</w:t>
      </w:r>
    </w:p>
    <w:p>
      <w:pPr>
        <w:spacing w:after="0" w:line="186" w:lineRule="exact"/>
        <w:rPr>
          <w:sz w:val="20"/>
          <w:szCs w:val="20"/>
          <w:color w:val="auto"/>
        </w:rPr>
      </w:pPr>
    </w:p>
    <w:p>
      <w:pPr>
        <w:ind w:right="2879" w:firstLine="186"/>
        <w:spacing w:after="0" w:line="236" w:lineRule="auto"/>
        <w:rPr>
          <w:sz w:val="20"/>
          <w:szCs w:val="20"/>
          <w:color w:val="auto"/>
        </w:rPr>
      </w:pPr>
      <w:r>
        <w:rPr>
          <w:rFonts w:ascii="Courier New" w:cs="Courier New" w:eastAsia="Courier New" w:hAnsi="Courier New"/>
          <w:sz w:val="16"/>
          <w:szCs w:val="16"/>
          <w:color w:val="auto"/>
        </w:rPr>
        <w:t>MTI is amortizing the purchase price allocated to the JV supply arrangements on a straight-line basis over the remaining contractual life of the shareholder agreements. Amortization expense resulting from the JV supply arrangements, included in the cost of product purchased from the JVs, was $2.6 million for 1999. Receivables from KMT and TECH were $19.1 million and $47.2 million and payables were $24.4 million and $32.0 million, respectively, as of September 2, 1999.</w:t>
      </w: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Asset Sale</w:t>
      </w:r>
    </w:p>
    <w:p>
      <w:pPr>
        <w:spacing w:after="0" w:line="183" w:lineRule="exact"/>
        <w:rPr>
          <w:sz w:val="20"/>
          <w:szCs w:val="20"/>
          <w:color w:val="auto"/>
        </w:rPr>
      </w:pPr>
    </w:p>
    <w:p>
      <w:pPr>
        <w:ind w:right="2879" w:firstLine="186"/>
        <w:spacing w:after="0" w:line="275" w:lineRule="auto"/>
        <w:rPr>
          <w:sz w:val="20"/>
          <w:szCs w:val="20"/>
          <w:color w:val="auto"/>
        </w:rPr>
      </w:pPr>
      <w:r>
        <w:rPr>
          <w:rFonts w:ascii="Courier New" w:cs="Courier New" w:eastAsia="Courier New" w:hAnsi="Courier New"/>
          <w:sz w:val="14"/>
          <w:szCs w:val="14"/>
          <w:color w:val="auto"/>
        </w:rPr>
        <w:t>On May 19, 1999, MTI completed the sale of certain of its flat panel display assets to PixTech, Inc. ("PixTech"). Pursuant to the terms of the transaction, in exchange for the transfer of certain assets (including manufacturing equipment and $4.4 million in cash) and liabilities to PixTech, MTI received 7,133,562 shares of PixTech common stock and warrants to purchase an additional 310,000 shares of PixTech common stock at an exercise price of $2.25. MTI incurred a loss of $15.0 million during the second quarter of 1999 relating to the disposition of its flat panel display assets.</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Operating Segment and Geographic Information</w:t>
      </w:r>
    </w:p>
    <w:p>
      <w:pPr>
        <w:spacing w:after="0" w:line="183" w:lineRule="exact"/>
        <w:rPr>
          <w:sz w:val="20"/>
          <w:szCs w:val="20"/>
          <w:color w:val="auto"/>
        </w:rPr>
      </w:pPr>
    </w:p>
    <w:p>
      <w:pPr>
        <w:ind w:right="2779" w:firstLine="186"/>
        <w:spacing w:after="0" w:line="236" w:lineRule="auto"/>
        <w:rPr>
          <w:sz w:val="20"/>
          <w:szCs w:val="20"/>
          <w:color w:val="auto"/>
        </w:rPr>
      </w:pPr>
      <w:r>
        <w:rPr>
          <w:rFonts w:ascii="Courier New" w:cs="Courier New" w:eastAsia="Courier New" w:hAnsi="Courier New"/>
          <w:sz w:val="16"/>
          <w:szCs w:val="16"/>
          <w:color w:val="auto"/>
        </w:rPr>
        <w:t>The Company adopted SFAS 131, "Disclosures about Segments of an Enterprise and Related Information" in 1999. The Company's reportable segments have been determined based on the nature of its operations and products offered to customers. The Company's two reportable segments are semiconductor operations and PC operations. The semiconductor operations segment's primary product is DRAM. The PC operations segment's primary products include desktop PC systems, notebooks and servers. The "All other" segment, primarily reflects activity of the Company's field emission display, RFID, construction and custom manufacturing businesses. These businesses</w:t>
      </w:r>
    </w:p>
    <w:p>
      <w:pPr>
        <w:spacing w:after="0" w:line="179"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46/57</w:t>
      </w:r>
    </w:p>
    <w:p>
      <w:pPr>
        <w:sectPr>
          <w:pgSz w:w="11900" w:h="16838" w:orient="portrait"/>
          <w:cols w:equalWidth="0" w:num="1">
            <w:col w:w="10219"/>
          </w:cols>
          <w:pgMar w:left="240" w:top="654" w:right="1440" w:bottom="1440" w:gutter="0" w:footer="0" w:header="0"/>
        </w:sectPr>
      </w:pPr>
    </w:p>
    <w:bookmarkStart w:id="48" w:name="page49"/>
    <w:bookmarkEnd w:id="48"/>
    <w:p>
      <w:pPr>
        <w:ind w:right="2779"/>
        <w:spacing w:after="0" w:line="235" w:lineRule="auto"/>
        <w:rPr>
          <w:sz w:val="20"/>
          <w:szCs w:val="20"/>
          <w:color w:val="auto"/>
        </w:rPr>
      </w:pPr>
      <w:r>
        <w:rPr>
          <w:rFonts w:ascii="Courier New" w:cs="Courier New" w:eastAsia="Courier New" w:hAnsi="Courier New"/>
          <w:sz w:val="16"/>
          <w:szCs w:val="16"/>
          <w:color w:val="auto"/>
        </w:rPr>
        <w:t>have been sold or discontinued. Consequently, the reported results and amounts for the all other segment primarily represent historical activity of the discontinued operations plus certain transactions and residual assets associated with their sale or cessation.</w:t>
      </w:r>
    </w:p>
    <w:p>
      <w:pPr>
        <w:spacing w:after="0" w:line="185" w:lineRule="exact"/>
        <w:rPr>
          <w:sz w:val="20"/>
          <w:szCs w:val="20"/>
          <w:color w:val="auto"/>
        </w:rPr>
      </w:pPr>
    </w:p>
    <w:p>
      <w:pPr>
        <w:ind w:right="2779" w:firstLine="186"/>
        <w:spacing w:after="0" w:line="273" w:lineRule="auto"/>
        <w:rPr>
          <w:sz w:val="20"/>
          <w:szCs w:val="20"/>
          <w:color w:val="auto"/>
        </w:rPr>
      </w:pPr>
      <w:r>
        <w:rPr>
          <w:rFonts w:ascii="Courier New" w:cs="Courier New" w:eastAsia="Courier New" w:hAnsi="Courier New"/>
          <w:sz w:val="14"/>
          <w:szCs w:val="14"/>
          <w:color w:val="auto"/>
        </w:rPr>
        <w:t>The accounting policies of the segments are the same as those described in the "Summary of Significant Accounting Policies" note. Segment operating results are measured based on operating income (loss). Intersegment sales are measured based on contract prices as internally reported. Intersegment sales primarily reflect sales of memory products from the semiconductor operations segment to the PC operations segment and, to a lesser extent, sales of computers from the PC operations segment to the semiconductor operations segment. Segment assets consist of assets that are identified to reportable segments and reviewed by the chief operating decision makers. Included in segment assets are cash, investments, accounts receivable, inventory and property, plant and equipment.</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 sales</w:t>
      </w:r>
    </w:p>
    <w:p>
      <w:pPr>
        <w:spacing w:after="0" w:line="236" w:lineRule="auto"/>
        <w:rPr>
          <w:sz w:val="20"/>
          <w:szCs w:val="20"/>
          <w:color w:val="auto"/>
        </w:rPr>
      </w:pPr>
      <w:r>
        <w:rPr>
          <w:rFonts w:ascii="Courier New" w:cs="Courier New" w:eastAsia="Courier New" w:hAnsi="Courier New"/>
          <w:sz w:val="16"/>
          <w:szCs w:val="16"/>
          <w:color w:val="auto"/>
        </w:rPr>
        <w:t>- ---------</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1999</w:t>
            </w:r>
          </w:p>
        </w:tc>
        <w:tc>
          <w:tcPr>
            <w:tcW w:w="110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1998</w:t>
            </w:r>
          </w:p>
        </w:tc>
        <w:tc>
          <w:tcPr>
            <w:tcW w:w="11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1997</w:t>
            </w:r>
          </w:p>
        </w:tc>
      </w:tr>
      <w:tr>
        <w:trPr>
          <w:trHeight w:val="179"/>
        </w:trPr>
        <w:tc>
          <w:tcPr>
            <w:tcW w:w="4140" w:type="dxa"/>
            <w:vAlign w:val="bottom"/>
          </w:tcPr>
          <w:p>
            <w:pPr>
              <w:spacing w:after="0"/>
              <w:rPr>
                <w:sz w:val="15"/>
                <w:szCs w:val="15"/>
                <w:color w:val="auto"/>
              </w:rPr>
            </w:pPr>
          </w:p>
        </w:tc>
        <w:tc>
          <w:tcPr>
            <w:tcW w:w="9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140" w:type="dxa"/>
            <w:vAlign w:val="bottom"/>
          </w:tcPr>
          <w:p>
            <w:pPr>
              <w:spacing w:after="0"/>
              <w:rPr>
                <w:sz w:val="20"/>
                <w:szCs w:val="20"/>
                <w:color w:val="auto"/>
              </w:rPr>
            </w:pPr>
            <w:r>
              <w:rPr>
                <w:rFonts w:ascii="Courier New" w:cs="Courier New" w:eastAsia="Courier New" w:hAnsi="Courier New"/>
                <w:sz w:val="16"/>
                <w:szCs w:val="16"/>
                <w:color w:val="auto"/>
              </w:rPr>
              <w:t>Semiconductor operations</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9"/>
        </w:trPr>
        <w:tc>
          <w:tcPr>
            <w:tcW w:w="41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External..................................</w:t>
            </w:r>
          </w:p>
        </w:tc>
        <w:tc>
          <w:tcPr>
            <w:tcW w:w="9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$2,524.7</w:t>
            </w: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$1,380.5</w:t>
            </w:r>
          </w:p>
        </w:tc>
        <w:tc>
          <w:tcPr>
            <w:tcW w:w="11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$1,680.7</w:t>
            </w:r>
          </w:p>
        </w:tc>
      </w:tr>
      <w:tr>
        <w:trPr>
          <w:trHeight w:val="179"/>
        </w:trPr>
        <w:tc>
          <w:tcPr>
            <w:tcW w:w="41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Intersegment..............................</w:t>
            </w:r>
          </w:p>
        </w:tc>
        <w:tc>
          <w:tcPr>
            <w:tcW w:w="220" w:type="dxa"/>
            <w:vAlign w:val="bottom"/>
          </w:tcPr>
          <w:p>
            <w:pPr>
              <w:spacing w:after="0"/>
              <w:rPr>
                <w:sz w:val="15"/>
                <w:szCs w:val="15"/>
                <w:color w:val="auto"/>
              </w:rPr>
            </w:pPr>
          </w:p>
        </w:tc>
        <w:tc>
          <w:tcPr>
            <w:tcW w:w="7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45.0</w:t>
            </w: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40.7</w:t>
            </w:r>
          </w:p>
        </w:tc>
        <w:tc>
          <w:tcPr>
            <w:tcW w:w="11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91.7</w:t>
            </w:r>
          </w:p>
        </w:tc>
      </w:tr>
      <w:tr>
        <w:trPr>
          <w:trHeight w:val="179"/>
        </w:trPr>
        <w:tc>
          <w:tcPr>
            <w:tcW w:w="4140" w:type="dxa"/>
            <w:vAlign w:val="bottom"/>
          </w:tcPr>
          <w:p>
            <w:pPr>
              <w:spacing w:after="0"/>
              <w:rPr>
                <w:sz w:val="15"/>
                <w:szCs w:val="15"/>
                <w:color w:val="auto"/>
              </w:rPr>
            </w:pPr>
          </w:p>
        </w:tc>
        <w:tc>
          <w:tcPr>
            <w:tcW w:w="9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5"/>
              </w:rPr>
              <w:t>2,569.7</w:t>
            </w: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1,421.2</w:t>
            </w:r>
          </w:p>
        </w:tc>
        <w:tc>
          <w:tcPr>
            <w:tcW w:w="11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1,772.4</w:t>
            </w:r>
          </w:p>
        </w:tc>
      </w:tr>
      <w:tr>
        <w:trPr>
          <w:trHeight w:val="179"/>
        </w:trPr>
        <w:tc>
          <w:tcPr>
            <w:tcW w:w="4140" w:type="dxa"/>
            <w:vAlign w:val="bottom"/>
          </w:tcPr>
          <w:p>
            <w:pPr>
              <w:spacing w:after="0" w:line="179" w:lineRule="exact"/>
              <w:rPr>
                <w:sz w:val="20"/>
                <w:szCs w:val="20"/>
                <w:color w:val="auto"/>
              </w:rPr>
            </w:pPr>
            <w:r>
              <w:rPr>
                <w:rFonts w:ascii="Courier New" w:cs="Courier New" w:eastAsia="Courier New" w:hAnsi="Courier New"/>
                <w:sz w:val="16"/>
                <w:szCs w:val="16"/>
                <w:color w:val="auto"/>
              </w:rPr>
              <w:t>PC operations</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41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External..................................</w:t>
            </w:r>
          </w:p>
        </w:tc>
        <w:tc>
          <w:tcPr>
            <w:tcW w:w="220" w:type="dxa"/>
            <w:vAlign w:val="bottom"/>
          </w:tcPr>
          <w:p>
            <w:pPr>
              <w:spacing w:after="0"/>
              <w:rPr>
                <w:sz w:val="15"/>
                <w:szCs w:val="15"/>
                <w:color w:val="auto"/>
              </w:rPr>
            </w:pPr>
          </w:p>
        </w:tc>
        <w:tc>
          <w:tcPr>
            <w:tcW w:w="7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5"/>
              </w:rPr>
              <w:t>1,234.1</w:t>
            </w: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1,493.8</w:t>
            </w:r>
          </w:p>
        </w:tc>
        <w:tc>
          <w:tcPr>
            <w:tcW w:w="11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1,525.0</w:t>
            </w:r>
          </w:p>
        </w:tc>
      </w:tr>
      <w:tr>
        <w:trPr>
          <w:trHeight w:val="179"/>
        </w:trPr>
        <w:tc>
          <w:tcPr>
            <w:tcW w:w="41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Intersegment..............................</w:t>
            </w:r>
          </w:p>
        </w:tc>
        <w:tc>
          <w:tcPr>
            <w:tcW w:w="220" w:type="dxa"/>
            <w:vAlign w:val="bottom"/>
          </w:tcPr>
          <w:p>
            <w:pPr>
              <w:spacing w:after="0"/>
              <w:rPr>
                <w:sz w:val="15"/>
                <w:szCs w:val="15"/>
                <w:color w:val="auto"/>
              </w:rPr>
            </w:pPr>
          </w:p>
        </w:tc>
        <w:tc>
          <w:tcPr>
            <w:tcW w:w="7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5.8</w:t>
            </w: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3.8</w:t>
            </w:r>
          </w:p>
        </w:tc>
        <w:tc>
          <w:tcPr>
            <w:tcW w:w="11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4.3</w:t>
            </w:r>
          </w:p>
        </w:tc>
      </w:tr>
      <w:tr>
        <w:trPr>
          <w:trHeight w:val="179"/>
        </w:trPr>
        <w:tc>
          <w:tcPr>
            <w:tcW w:w="4140" w:type="dxa"/>
            <w:vAlign w:val="bottom"/>
          </w:tcPr>
          <w:p>
            <w:pPr>
              <w:spacing w:after="0"/>
              <w:rPr>
                <w:sz w:val="15"/>
                <w:szCs w:val="15"/>
                <w:color w:val="auto"/>
              </w:rPr>
            </w:pPr>
          </w:p>
        </w:tc>
        <w:tc>
          <w:tcPr>
            <w:tcW w:w="9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5"/>
              </w:rPr>
              <w:t>1,239.9</w:t>
            </w: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1,497.6</w:t>
            </w:r>
          </w:p>
        </w:tc>
        <w:tc>
          <w:tcPr>
            <w:tcW w:w="11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1,529.3</w:t>
            </w:r>
          </w:p>
        </w:tc>
      </w:tr>
      <w:tr>
        <w:trPr>
          <w:trHeight w:val="179"/>
        </w:trPr>
        <w:tc>
          <w:tcPr>
            <w:tcW w:w="4140" w:type="dxa"/>
            <w:vAlign w:val="bottom"/>
          </w:tcPr>
          <w:p>
            <w:pPr>
              <w:spacing w:after="0" w:line="179" w:lineRule="exact"/>
              <w:rPr>
                <w:sz w:val="20"/>
                <w:szCs w:val="20"/>
                <w:color w:val="auto"/>
              </w:rPr>
            </w:pPr>
            <w:r>
              <w:rPr>
                <w:rFonts w:ascii="Courier New" w:cs="Courier New" w:eastAsia="Courier New" w:hAnsi="Courier New"/>
                <w:sz w:val="16"/>
                <w:szCs w:val="16"/>
                <w:color w:val="auto"/>
              </w:rPr>
              <w:t>All other</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41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External..................................</w:t>
            </w:r>
          </w:p>
        </w:tc>
        <w:tc>
          <w:tcPr>
            <w:tcW w:w="220" w:type="dxa"/>
            <w:vAlign w:val="bottom"/>
          </w:tcPr>
          <w:p>
            <w:pPr>
              <w:spacing w:after="0"/>
              <w:rPr>
                <w:sz w:val="15"/>
                <w:szCs w:val="15"/>
                <w:color w:val="auto"/>
              </w:rPr>
            </w:pPr>
          </w:p>
        </w:tc>
        <w:tc>
          <w:tcPr>
            <w:tcW w:w="7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5.2</w:t>
            </w: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151.0</w:t>
            </w:r>
          </w:p>
        </w:tc>
        <w:tc>
          <w:tcPr>
            <w:tcW w:w="11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317.5</w:t>
            </w:r>
          </w:p>
        </w:tc>
      </w:tr>
      <w:tr>
        <w:trPr>
          <w:trHeight w:val="179"/>
        </w:trPr>
        <w:tc>
          <w:tcPr>
            <w:tcW w:w="41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Intersegment..............................</w:t>
            </w:r>
          </w:p>
        </w:tc>
        <w:tc>
          <w:tcPr>
            <w:tcW w:w="220" w:type="dxa"/>
            <w:vAlign w:val="bottom"/>
          </w:tcPr>
          <w:p>
            <w:pPr>
              <w:spacing w:after="0"/>
              <w:rPr>
                <w:sz w:val="15"/>
                <w:szCs w:val="15"/>
                <w:color w:val="auto"/>
              </w:rPr>
            </w:pPr>
          </w:p>
        </w:tc>
        <w:tc>
          <w:tcPr>
            <w:tcW w:w="7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16.3</w:t>
            </w:r>
          </w:p>
        </w:tc>
        <w:tc>
          <w:tcPr>
            <w:tcW w:w="11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70.3</w:t>
            </w:r>
          </w:p>
        </w:tc>
      </w:tr>
      <w:tr>
        <w:trPr>
          <w:trHeight w:val="179"/>
        </w:trPr>
        <w:tc>
          <w:tcPr>
            <w:tcW w:w="4140" w:type="dxa"/>
            <w:vAlign w:val="bottom"/>
          </w:tcPr>
          <w:p>
            <w:pPr>
              <w:spacing w:after="0"/>
              <w:rPr>
                <w:sz w:val="15"/>
                <w:szCs w:val="15"/>
                <w:color w:val="auto"/>
              </w:rPr>
            </w:pPr>
          </w:p>
        </w:tc>
        <w:tc>
          <w:tcPr>
            <w:tcW w:w="9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5.2</w:t>
            </w: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167.3</w:t>
            </w:r>
          </w:p>
        </w:tc>
        <w:tc>
          <w:tcPr>
            <w:tcW w:w="11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387.8</w:t>
            </w:r>
          </w:p>
        </w:tc>
      </w:tr>
      <w:tr>
        <w:trPr>
          <w:trHeight w:val="358"/>
        </w:trPr>
        <w:tc>
          <w:tcPr>
            <w:tcW w:w="414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6"/>
              </w:rPr>
              <w:t>Total segments.............................</w:t>
            </w:r>
          </w:p>
        </w:tc>
        <w:tc>
          <w:tcPr>
            <w:tcW w:w="220" w:type="dxa"/>
            <w:vAlign w:val="bottom"/>
          </w:tcPr>
          <w:p>
            <w:pPr>
              <w:spacing w:after="0"/>
              <w:rPr>
                <w:sz w:val="24"/>
                <w:szCs w:val="24"/>
                <w:color w:val="auto"/>
              </w:rPr>
            </w:pPr>
          </w:p>
        </w:tc>
        <w:tc>
          <w:tcPr>
            <w:tcW w:w="76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5"/>
              </w:rPr>
              <w:t>3,814.8</w:t>
            </w:r>
          </w:p>
        </w:tc>
        <w:tc>
          <w:tcPr>
            <w:tcW w:w="11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3,086.1</w:t>
            </w:r>
          </w:p>
        </w:tc>
        <w:tc>
          <w:tcPr>
            <w:tcW w:w="1120" w:type="dxa"/>
            <w:vAlign w:val="bottom"/>
          </w:tcPr>
          <w:p>
            <w:pPr>
              <w:jc w:val="right"/>
              <w:ind w:right="2"/>
              <w:spacing w:after="0"/>
              <w:rPr>
                <w:sz w:val="20"/>
                <w:szCs w:val="20"/>
                <w:color w:val="auto"/>
              </w:rPr>
            </w:pPr>
            <w:r>
              <w:rPr>
                <w:rFonts w:ascii="Courier New" w:cs="Courier New" w:eastAsia="Courier New" w:hAnsi="Courier New"/>
                <w:sz w:val="16"/>
                <w:szCs w:val="16"/>
                <w:color w:val="auto"/>
              </w:rPr>
              <w:t>3,689.5</w:t>
            </w:r>
          </w:p>
        </w:tc>
      </w:tr>
      <w:tr>
        <w:trPr>
          <w:trHeight w:val="179"/>
        </w:trPr>
        <w:tc>
          <w:tcPr>
            <w:tcW w:w="41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6"/>
              </w:rPr>
              <w:t>Elimination of intersegment................</w:t>
            </w:r>
          </w:p>
        </w:tc>
        <w:tc>
          <w:tcPr>
            <w:tcW w:w="220" w:type="dxa"/>
            <w:vAlign w:val="bottom"/>
          </w:tcPr>
          <w:p>
            <w:pPr>
              <w:spacing w:after="0"/>
              <w:rPr>
                <w:sz w:val="15"/>
                <w:szCs w:val="15"/>
                <w:color w:val="auto"/>
              </w:rPr>
            </w:pPr>
          </w:p>
        </w:tc>
        <w:tc>
          <w:tcPr>
            <w:tcW w:w="7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(50.8)</w:t>
            </w:r>
          </w:p>
        </w:tc>
        <w:tc>
          <w:tcPr>
            <w:tcW w:w="11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(60.8)</w:t>
            </w: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(166.3)</w:t>
            </w:r>
          </w:p>
        </w:tc>
      </w:tr>
      <w:tr>
        <w:trPr>
          <w:trHeight w:val="179"/>
        </w:trPr>
        <w:tc>
          <w:tcPr>
            <w:tcW w:w="4140" w:type="dxa"/>
            <w:vAlign w:val="bottom"/>
          </w:tcPr>
          <w:p>
            <w:pPr>
              <w:spacing w:after="0"/>
              <w:rPr>
                <w:sz w:val="15"/>
                <w:szCs w:val="15"/>
                <w:color w:val="auto"/>
              </w:rPr>
            </w:pPr>
          </w:p>
        </w:tc>
        <w:tc>
          <w:tcPr>
            <w:tcW w:w="9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1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6"/>
              </w:rPr>
              <w:t>Total consolidated net sales...............</w:t>
            </w:r>
          </w:p>
        </w:tc>
        <w:tc>
          <w:tcPr>
            <w:tcW w:w="9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$3,764.0</w:t>
            </w: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$3,025.3</w:t>
            </w:r>
          </w:p>
        </w:tc>
        <w:tc>
          <w:tcPr>
            <w:tcW w:w="11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$3,523.2</w:t>
            </w:r>
          </w:p>
        </w:tc>
      </w:tr>
      <w:tr>
        <w:trPr>
          <w:trHeight w:val="179"/>
        </w:trPr>
        <w:tc>
          <w:tcPr>
            <w:tcW w:w="4140" w:type="dxa"/>
            <w:vAlign w:val="bottom"/>
          </w:tcPr>
          <w:p>
            <w:pPr>
              <w:spacing w:after="0"/>
              <w:rPr>
                <w:sz w:val="15"/>
                <w:szCs w:val="15"/>
                <w:color w:val="auto"/>
              </w:rPr>
            </w:pPr>
          </w:p>
        </w:tc>
        <w:tc>
          <w:tcPr>
            <w:tcW w:w="9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537"/>
        </w:trPr>
        <w:tc>
          <w:tcPr>
            <w:tcW w:w="4140" w:type="dxa"/>
            <w:vAlign w:val="bottom"/>
          </w:tcPr>
          <w:p>
            <w:pPr>
              <w:spacing w:after="0"/>
              <w:rPr>
                <w:sz w:val="20"/>
                <w:szCs w:val="20"/>
                <w:color w:val="auto"/>
              </w:rPr>
            </w:pPr>
            <w:r>
              <w:rPr>
                <w:rFonts w:ascii="Courier New" w:cs="Courier New" w:eastAsia="Courier New" w:hAnsi="Courier New"/>
                <w:sz w:val="16"/>
                <w:szCs w:val="16"/>
                <w:color w:val="auto"/>
              </w:rPr>
              <w:t>Operating income (loss)</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9"/>
        </w:trPr>
        <w:tc>
          <w:tcPr>
            <w:tcW w:w="414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537"/>
        </w:trPr>
        <w:tc>
          <w:tcPr>
            <w:tcW w:w="4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1999</w:t>
            </w:r>
          </w:p>
        </w:tc>
        <w:tc>
          <w:tcPr>
            <w:tcW w:w="110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1998</w:t>
            </w:r>
          </w:p>
        </w:tc>
        <w:tc>
          <w:tcPr>
            <w:tcW w:w="11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1997</w:t>
            </w:r>
          </w:p>
        </w:tc>
      </w:tr>
      <w:tr>
        <w:trPr>
          <w:trHeight w:val="179"/>
        </w:trPr>
        <w:tc>
          <w:tcPr>
            <w:tcW w:w="4140" w:type="dxa"/>
            <w:vAlign w:val="bottom"/>
          </w:tcPr>
          <w:p>
            <w:pPr>
              <w:spacing w:after="0"/>
              <w:rPr>
                <w:sz w:val="15"/>
                <w:szCs w:val="15"/>
                <w:color w:val="auto"/>
              </w:rPr>
            </w:pPr>
          </w:p>
        </w:tc>
        <w:tc>
          <w:tcPr>
            <w:tcW w:w="9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14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6"/>
              </w:rPr>
              <w:t>Semiconductor operations...................</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42.8</w:t>
            </w:r>
          </w:p>
        </w:tc>
        <w:tc>
          <w:tcPr>
            <w:tcW w:w="1100" w:type="dxa"/>
            <w:vAlign w:val="bottom"/>
          </w:tcPr>
          <w:p>
            <w:pPr>
              <w:jc w:val="right"/>
              <w:ind w:right="2"/>
              <w:spacing w:after="0"/>
              <w:rPr>
                <w:sz w:val="20"/>
                <w:szCs w:val="20"/>
                <w:color w:val="auto"/>
              </w:rPr>
            </w:pPr>
            <w:r>
              <w:rPr>
                <w:rFonts w:ascii="Courier New" w:cs="Courier New" w:eastAsia="Courier New" w:hAnsi="Courier New"/>
                <w:sz w:val="16"/>
                <w:szCs w:val="16"/>
                <w:color w:val="auto"/>
              </w:rPr>
              <w:t>$ (370.6)</w:t>
            </w: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$ 311.7</w:t>
            </w:r>
          </w:p>
        </w:tc>
      </w:tr>
      <w:tr>
        <w:trPr>
          <w:trHeight w:val="179"/>
        </w:trPr>
        <w:tc>
          <w:tcPr>
            <w:tcW w:w="41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6"/>
              </w:rPr>
              <w:t>PC operations..............................</w:t>
            </w:r>
          </w:p>
        </w:tc>
        <w:tc>
          <w:tcPr>
            <w:tcW w:w="220" w:type="dxa"/>
            <w:vAlign w:val="bottom"/>
          </w:tcPr>
          <w:p>
            <w:pPr>
              <w:spacing w:after="0"/>
              <w:rPr>
                <w:sz w:val="15"/>
                <w:szCs w:val="15"/>
                <w:color w:val="auto"/>
              </w:rPr>
            </w:pPr>
          </w:p>
        </w:tc>
        <w:tc>
          <w:tcPr>
            <w:tcW w:w="7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(32.3)</w:t>
            </w:r>
          </w:p>
        </w:tc>
        <w:tc>
          <w:tcPr>
            <w:tcW w:w="11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(108.8)</w:t>
            </w: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76.2</w:t>
            </w:r>
          </w:p>
        </w:tc>
      </w:tr>
      <w:tr>
        <w:trPr>
          <w:trHeight w:val="179"/>
        </w:trPr>
        <w:tc>
          <w:tcPr>
            <w:tcW w:w="41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6"/>
              </w:rPr>
              <w:t>All other..................................</w:t>
            </w:r>
          </w:p>
        </w:tc>
        <w:tc>
          <w:tcPr>
            <w:tcW w:w="220" w:type="dxa"/>
            <w:vAlign w:val="bottom"/>
          </w:tcPr>
          <w:p>
            <w:pPr>
              <w:spacing w:after="0"/>
              <w:rPr>
                <w:sz w:val="15"/>
                <w:szCs w:val="15"/>
                <w:color w:val="auto"/>
              </w:rPr>
            </w:pPr>
          </w:p>
        </w:tc>
        <w:tc>
          <w:tcPr>
            <w:tcW w:w="7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(58.3)</w:t>
            </w:r>
          </w:p>
        </w:tc>
        <w:tc>
          <w:tcPr>
            <w:tcW w:w="11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(36.9)</w:t>
            </w:r>
          </w:p>
        </w:tc>
        <w:tc>
          <w:tcPr>
            <w:tcW w:w="11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(13.8)</w:t>
            </w:r>
          </w:p>
        </w:tc>
      </w:tr>
      <w:tr>
        <w:trPr>
          <w:trHeight w:val="179"/>
        </w:trPr>
        <w:tc>
          <w:tcPr>
            <w:tcW w:w="4140" w:type="dxa"/>
            <w:vAlign w:val="bottom"/>
          </w:tcPr>
          <w:p>
            <w:pPr>
              <w:spacing w:after="0"/>
              <w:rPr>
                <w:sz w:val="15"/>
                <w:szCs w:val="15"/>
                <w:color w:val="auto"/>
              </w:rPr>
            </w:pPr>
          </w:p>
        </w:tc>
        <w:tc>
          <w:tcPr>
            <w:tcW w:w="9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1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6"/>
              </w:rPr>
              <w:t>Total segments.............................</w:t>
            </w:r>
          </w:p>
        </w:tc>
        <w:tc>
          <w:tcPr>
            <w:tcW w:w="220" w:type="dxa"/>
            <w:vAlign w:val="bottom"/>
          </w:tcPr>
          <w:p>
            <w:pPr>
              <w:spacing w:after="0"/>
              <w:rPr>
                <w:sz w:val="15"/>
                <w:szCs w:val="15"/>
                <w:color w:val="auto"/>
              </w:rPr>
            </w:pPr>
          </w:p>
        </w:tc>
        <w:tc>
          <w:tcPr>
            <w:tcW w:w="7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(47.8)</w:t>
            </w:r>
          </w:p>
        </w:tc>
        <w:tc>
          <w:tcPr>
            <w:tcW w:w="11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(516.3)</w:t>
            </w: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374.1</w:t>
            </w:r>
          </w:p>
        </w:tc>
      </w:tr>
      <w:tr>
        <w:trPr>
          <w:trHeight w:val="358"/>
        </w:trPr>
        <w:tc>
          <w:tcPr>
            <w:tcW w:w="414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6"/>
              </w:rPr>
              <w:t>Elimination of intersegment................</w:t>
            </w:r>
          </w:p>
        </w:tc>
        <w:tc>
          <w:tcPr>
            <w:tcW w:w="220" w:type="dxa"/>
            <w:vAlign w:val="bottom"/>
          </w:tcPr>
          <w:p>
            <w:pPr>
              <w:spacing w:after="0"/>
              <w:rPr>
                <w:sz w:val="24"/>
                <w:szCs w:val="24"/>
                <w:color w:val="auto"/>
              </w:rPr>
            </w:pPr>
          </w:p>
        </w:tc>
        <w:tc>
          <w:tcPr>
            <w:tcW w:w="7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0.8</w:t>
            </w:r>
          </w:p>
        </w:tc>
        <w:tc>
          <w:tcPr>
            <w:tcW w:w="1100" w:type="dxa"/>
            <w:vAlign w:val="bottom"/>
          </w:tcPr>
          <w:p>
            <w:pPr>
              <w:jc w:val="right"/>
              <w:ind w:right="2"/>
              <w:spacing w:after="0"/>
              <w:rPr>
                <w:sz w:val="20"/>
                <w:szCs w:val="20"/>
                <w:color w:val="auto"/>
              </w:rPr>
            </w:pPr>
            <w:r>
              <w:rPr>
                <w:rFonts w:ascii="Courier New" w:cs="Courier New" w:eastAsia="Courier New" w:hAnsi="Courier New"/>
                <w:sz w:val="16"/>
                <w:szCs w:val="16"/>
                <w:color w:val="auto"/>
              </w:rPr>
              <w:t>(0.1)</w:t>
            </w: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79"/>
        </w:trPr>
        <w:tc>
          <w:tcPr>
            <w:tcW w:w="4140" w:type="dxa"/>
            <w:vAlign w:val="bottom"/>
          </w:tcPr>
          <w:p>
            <w:pPr>
              <w:spacing w:after="0"/>
              <w:rPr>
                <w:sz w:val="15"/>
                <w:szCs w:val="15"/>
                <w:color w:val="auto"/>
              </w:rPr>
            </w:pPr>
          </w:p>
        </w:tc>
        <w:tc>
          <w:tcPr>
            <w:tcW w:w="9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1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6"/>
              </w:rPr>
              <w:t>Total consolidated operating income (loss).</w:t>
            </w:r>
          </w:p>
        </w:tc>
        <w:tc>
          <w:tcPr>
            <w:tcW w:w="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(47.0)</w:t>
            </w:r>
          </w:p>
        </w:tc>
        <w:tc>
          <w:tcPr>
            <w:tcW w:w="11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 (516.4)</w:t>
            </w: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$ 374.1</w:t>
            </w:r>
          </w:p>
        </w:tc>
      </w:tr>
      <w:tr>
        <w:trPr>
          <w:trHeight w:val="179"/>
        </w:trPr>
        <w:tc>
          <w:tcPr>
            <w:tcW w:w="4140" w:type="dxa"/>
            <w:vAlign w:val="bottom"/>
          </w:tcPr>
          <w:p>
            <w:pPr>
              <w:spacing w:after="0"/>
              <w:rPr>
                <w:sz w:val="15"/>
                <w:szCs w:val="15"/>
                <w:color w:val="auto"/>
              </w:rPr>
            </w:pPr>
          </w:p>
        </w:tc>
        <w:tc>
          <w:tcPr>
            <w:tcW w:w="9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537"/>
        </w:trPr>
        <w:tc>
          <w:tcPr>
            <w:tcW w:w="4140" w:type="dxa"/>
            <w:vAlign w:val="bottom"/>
          </w:tcPr>
          <w:p>
            <w:pPr>
              <w:spacing w:after="0"/>
              <w:rPr>
                <w:sz w:val="20"/>
                <w:szCs w:val="20"/>
                <w:color w:val="auto"/>
              </w:rPr>
            </w:pPr>
            <w:r>
              <w:rPr>
                <w:rFonts w:ascii="Courier New" w:cs="Courier New" w:eastAsia="Courier New" w:hAnsi="Courier New"/>
                <w:sz w:val="16"/>
                <w:szCs w:val="16"/>
                <w:color w:val="auto"/>
              </w:rPr>
              <w:t>Segment assets</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9"/>
        </w:trPr>
        <w:tc>
          <w:tcPr>
            <w:tcW w:w="414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537"/>
        </w:trPr>
        <w:tc>
          <w:tcPr>
            <w:tcW w:w="4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60" w:type="dxa"/>
            <w:vAlign w:val="bottom"/>
            <w:gridSpan w:val="2"/>
          </w:tcPr>
          <w:p>
            <w:pPr>
              <w:jc w:val="right"/>
              <w:ind w:right="742"/>
              <w:spacing w:after="0"/>
              <w:rPr>
                <w:sz w:val="20"/>
                <w:szCs w:val="20"/>
                <w:color w:val="auto"/>
              </w:rPr>
            </w:pPr>
            <w:r>
              <w:rPr>
                <w:rFonts w:ascii="Courier New" w:cs="Courier New" w:eastAsia="Courier New" w:hAnsi="Courier New"/>
                <w:sz w:val="16"/>
                <w:szCs w:val="16"/>
                <w:color w:val="auto"/>
              </w:rPr>
              <w:t>1999</w:t>
            </w:r>
          </w:p>
        </w:tc>
        <w:tc>
          <w:tcPr>
            <w:tcW w:w="112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1998</w:t>
            </w:r>
          </w:p>
        </w:tc>
      </w:tr>
      <w:tr>
        <w:trPr>
          <w:trHeight w:val="179"/>
        </w:trPr>
        <w:tc>
          <w:tcPr>
            <w:tcW w:w="4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60" w:type="dxa"/>
            <w:vAlign w:val="bottom"/>
            <w:gridSpan w:val="2"/>
          </w:tcPr>
          <w:p>
            <w:pPr>
              <w:jc w:val="right"/>
              <w:ind w:right="56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14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6"/>
              </w:rPr>
              <w:t>Semiconductor operations...................</w:t>
            </w:r>
          </w:p>
        </w:tc>
        <w:tc>
          <w:tcPr>
            <w:tcW w:w="220" w:type="dxa"/>
            <w:vAlign w:val="bottom"/>
          </w:tcPr>
          <w:p>
            <w:pPr>
              <w:spacing w:after="0"/>
              <w:rPr>
                <w:sz w:val="24"/>
                <w:szCs w:val="24"/>
                <w:color w:val="auto"/>
              </w:rPr>
            </w:pPr>
          </w:p>
        </w:tc>
        <w:tc>
          <w:tcPr>
            <w:tcW w:w="1860" w:type="dxa"/>
            <w:vAlign w:val="bottom"/>
            <w:gridSpan w:val="2"/>
          </w:tcPr>
          <w:p>
            <w:pPr>
              <w:jc w:val="right"/>
              <w:ind w:right="562"/>
              <w:spacing w:after="0"/>
              <w:rPr>
                <w:sz w:val="20"/>
                <w:szCs w:val="20"/>
                <w:color w:val="auto"/>
              </w:rPr>
            </w:pPr>
            <w:r>
              <w:rPr>
                <w:rFonts w:ascii="Courier New" w:cs="Courier New" w:eastAsia="Courier New" w:hAnsi="Courier New"/>
                <w:sz w:val="16"/>
                <w:szCs w:val="16"/>
                <w:color w:val="auto"/>
              </w:rPr>
              <w:t>$6,001.9</w:t>
            </w: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$3,928.3</w:t>
            </w:r>
          </w:p>
        </w:tc>
      </w:tr>
      <w:tr>
        <w:trPr>
          <w:trHeight w:val="179"/>
        </w:trPr>
        <w:tc>
          <w:tcPr>
            <w:tcW w:w="41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6"/>
              </w:rPr>
              <w:t>PC operations..............................</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0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w w:val="91"/>
              </w:rPr>
              <w:t>533.9</w:t>
            </w: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537.1</w:t>
            </w:r>
          </w:p>
        </w:tc>
      </w:tr>
      <w:tr>
        <w:trPr>
          <w:trHeight w:val="179"/>
        </w:trPr>
        <w:tc>
          <w:tcPr>
            <w:tcW w:w="41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6"/>
              </w:rPr>
              <w:t>All other..................................</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0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rPr>
              <w:t>15.5</w:t>
            </w: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57.2</w:t>
            </w:r>
          </w:p>
        </w:tc>
      </w:tr>
      <w:tr>
        <w:trPr>
          <w:trHeight w:val="179"/>
        </w:trPr>
        <w:tc>
          <w:tcPr>
            <w:tcW w:w="4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60" w:type="dxa"/>
            <w:vAlign w:val="bottom"/>
            <w:gridSpan w:val="2"/>
          </w:tcPr>
          <w:p>
            <w:pPr>
              <w:jc w:val="right"/>
              <w:ind w:right="56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1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Total segment assets......................</w:t>
            </w:r>
          </w:p>
        </w:tc>
        <w:tc>
          <w:tcPr>
            <w:tcW w:w="220" w:type="dxa"/>
            <w:vAlign w:val="bottom"/>
          </w:tcPr>
          <w:p>
            <w:pPr>
              <w:spacing w:after="0"/>
              <w:rPr>
                <w:sz w:val="15"/>
                <w:szCs w:val="15"/>
                <w:color w:val="auto"/>
              </w:rPr>
            </w:pPr>
          </w:p>
        </w:tc>
        <w:tc>
          <w:tcPr>
            <w:tcW w:w="1860" w:type="dxa"/>
            <w:vAlign w:val="bottom"/>
            <w:gridSpan w:val="2"/>
          </w:tcPr>
          <w:p>
            <w:pPr>
              <w:jc w:val="right"/>
              <w:ind w:right="562"/>
              <w:spacing w:after="0" w:line="179" w:lineRule="exact"/>
              <w:rPr>
                <w:sz w:val="20"/>
                <w:szCs w:val="20"/>
                <w:color w:val="auto"/>
              </w:rPr>
            </w:pPr>
            <w:r>
              <w:rPr>
                <w:rFonts w:ascii="Courier New" w:cs="Courier New" w:eastAsia="Courier New" w:hAnsi="Courier New"/>
                <w:sz w:val="16"/>
                <w:szCs w:val="16"/>
                <w:color w:val="auto"/>
              </w:rPr>
              <w:t>6,551.3</w:t>
            </w: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4,522.6</w:t>
            </w:r>
          </w:p>
        </w:tc>
      </w:tr>
      <w:tr>
        <w:trPr>
          <w:trHeight w:val="179"/>
        </w:trPr>
        <w:tc>
          <w:tcPr>
            <w:tcW w:w="41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6"/>
              </w:rPr>
              <w:t>Elimination of intersegment................</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0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w w:val="90"/>
              </w:rPr>
              <w:t>(74.8)</w:t>
            </w:r>
          </w:p>
        </w:tc>
        <w:tc>
          <w:tcPr>
            <w:tcW w:w="11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(50.8)</w:t>
            </w:r>
          </w:p>
        </w:tc>
      </w:tr>
      <w:tr>
        <w:trPr>
          <w:trHeight w:val="179"/>
        </w:trPr>
        <w:tc>
          <w:tcPr>
            <w:tcW w:w="4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60" w:type="dxa"/>
            <w:vAlign w:val="bottom"/>
            <w:gridSpan w:val="2"/>
          </w:tcPr>
          <w:p>
            <w:pPr>
              <w:jc w:val="right"/>
              <w:ind w:right="56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1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Total segment assets......................</w:t>
            </w:r>
          </w:p>
        </w:tc>
        <w:tc>
          <w:tcPr>
            <w:tcW w:w="220" w:type="dxa"/>
            <w:vAlign w:val="bottom"/>
          </w:tcPr>
          <w:p>
            <w:pPr>
              <w:spacing w:after="0"/>
              <w:rPr>
                <w:sz w:val="15"/>
                <w:szCs w:val="15"/>
                <w:color w:val="auto"/>
              </w:rPr>
            </w:pPr>
          </w:p>
        </w:tc>
        <w:tc>
          <w:tcPr>
            <w:tcW w:w="1860" w:type="dxa"/>
            <w:vAlign w:val="bottom"/>
            <w:gridSpan w:val="2"/>
          </w:tcPr>
          <w:p>
            <w:pPr>
              <w:jc w:val="right"/>
              <w:ind w:right="562"/>
              <w:spacing w:after="0" w:line="179" w:lineRule="exact"/>
              <w:rPr>
                <w:sz w:val="20"/>
                <w:szCs w:val="20"/>
                <w:color w:val="auto"/>
              </w:rPr>
            </w:pPr>
            <w:r>
              <w:rPr>
                <w:rFonts w:ascii="Courier New" w:cs="Courier New" w:eastAsia="Courier New" w:hAnsi="Courier New"/>
                <w:sz w:val="16"/>
                <w:szCs w:val="16"/>
                <w:color w:val="auto"/>
              </w:rPr>
              <w:t>$6,476.5</w:t>
            </w: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$4,471.8</w:t>
            </w:r>
          </w:p>
        </w:tc>
      </w:tr>
      <w:tr>
        <w:trPr>
          <w:trHeight w:val="179"/>
        </w:trPr>
        <w:tc>
          <w:tcPr>
            <w:tcW w:w="4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60" w:type="dxa"/>
            <w:vAlign w:val="bottom"/>
            <w:gridSpan w:val="2"/>
          </w:tcPr>
          <w:p>
            <w:pPr>
              <w:jc w:val="right"/>
              <w:ind w:right="56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140" w:type="dxa"/>
            <w:vAlign w:val="bottom"/>
          </w:tcPr>
          <w:p>
            <w:pPr>
              <w:spacing w:after="0"/>
              <w:rPr>
                <w:sz w:val="20"/>
                <w:szCs w:val="20"/>
                <w:color w:val="auto"/>
              </w:rPr>
            </w:pPr>
            <w:r>
              <w:rPr>
                <w:rFonts w:ascii="Courier New" w:cs="Courier New" w:eastAsia="Courier New" w:hAnsi="Courier New"/>
                <w:sz w:val="16"/>
                <w:szCs w:val="16"/>
                <w:color w:val="auto"/>
              </w:rPr>
              <w:t>Reconciliation to total assets:</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9"/>
        </w:trPr>
        <w:tc>
          <w:tcPr>
            <w:tcW w:w="41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6"/>
              </w:rPr>
              <w:t>Total segment assets.......................</w:t>
            </w:r>
          </w:p>
        </w:tc>
        <w:tc>
          <w:tcPr>
            <w:tcW w:w="220" w:type="dxa"/>
            <w:vAlign w:val="bottom"/>
          </w:tcPr>
          <w:p>
            <w:pPr>
              <w:spacing w:after="0"/>
              <w:rPr>
                <w:sz w:val="15"/>
                <w:szCs w:val="15"/>
                <w:color w:val="auto"/>
              </w:rPr>
            </w:pPr>
          </w:p>
        </w:tc>
        <w:tc>
          <w:tcPr>
            <w:tcW w:w="1860" w:type="dxa"/>
            <w:vAlign w:val="bottom"/>
            <w:gridSpan w:val="2"/>
          </w:tcPr>
          <w:p>
            <w:pPr>
              <w:jc w:val="right"/>
              <w:ind w:right="562"/>
              <w:spacing w:after="0" w:line="179" w:lineRule="exact"/>
              <w:rPr>
                <w:sz w:val="20"/>
                <w:szCs w:val="20"/>
                <w:color w:val="auto"/>
              </w:rPr>
            </w:pPr>
            <w:r>
              <w:rPr>
                <w:rFonts w:ascii="Courier New" w:cs="Courier New" w:eastAsia="Courier New" w:hAnsi="Courier New"/>
                <w:sz w:val="16"/>
                <w:szCs w:val="16"/>
                <w:color w:val="auto"/>
              </w:rPr>
              <w:t>$6,476.5</w:t>
            </w: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$4,471.8</w:t>
            </w:r>
          </w:p>
        </w:tc>
      </w:tr>
      <w:tr>
        <w:trPr>
          <w:trHeight w:val="179"/>
        </w:trPr>
        <w:tc>
          <w:tcPr>
            <w:tcW w:w="41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6"/>
              </w:rPr>
              <w:t>Prepaid expenses...........................</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0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rPr>
              <w:t>38.3</w:t>
            </w: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8.5</w:t>
            </w:r>
          </w:p>
        </w:tc>
      </w:tr>
      <w:tr>
        <w:trPr>
          <w:trHeight w:val="179"/>
        </w:trPr>
        <w:tc>
          <w:tcPr>
            <w:tcW w:w="41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6"/>
              </w:rPr>
              <w:t>Deferred taxes.............................</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0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w w:val="91"/>
              </w:rPr>
              <w:t>119.9</w:t>
            </w: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61.7</w:t>
            </w:r>
          </w:p>
        </w:tc>
      </w:tr>
      <w:tr>
        <w:trPr>
          <w:trHeight w:val="179"/>
        </w:trPr>
        <w:tc>
          <w:tcPr>
            <w:tcW w:w="41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6"/>
              </w:rPr>
              <w:t>Product and process technology.............</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0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w w:val="91"/>
              </w:rPr>
              <w:t>212.6</w:t>
            </w: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84.9</w:t>
            </w:r>
          </w:p>
        </w:tc>
      </w:tr>
      <w:tr>
        <w:trPr>
          <w:trHeight w:val="179"/>
        </w:trPr>
        <w:tc>
          <w:tcPr>
            <w:tcW w:w="41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6"/>
              </w:rPr>
              <w:t>Other assets (net of segment assets).......</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0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w w:val="91"/>
              </w:rPr>
              <w:t>117.9</w:t>
            </w: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76.6</w:t>
            </w:r>
          </w:p>
        </w:tc>
      </w:tr>
      <w:tr>
        <w:trPr>
          <w:trHeight w:val="179"/>
        </w:trPr>
        <w:tc>
          <w:tcPr>
            <w:tcW w:w="4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60" w:type="dxa"/>
            <w:vAlign w:val="bottom"/>
            <w:gridSpan w:val="2"/>
          </w:tcPr>
          <w:p>
            <w:pPr>
              <w:jc w:val="right"/>
              <w:ind w:right="56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bl>
    <w:p>
      <w:pPr>
        <w:sectPr>
          <w:pgSz w:w="11900" w:h="16838" w:orient="portrait"/>
          <w:cols w:equalWidth="0" w:num="1">
            <w:col w:w="10219"/>
          </w:cols>
          <w:pgMar w:left="240" w:top="654" w:right="1440" w:bottom="0" w:gutter="0" w:footer="0" w:header="0"/>
        </w:sectPr>
      </w:pPr>
    </w:p>
    <w:bookmarkStart w:id="49" w:name="page50"/>
    <w:bookmarkEnd w:id="4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340" w:type="dxa"/>
            <w:vAlign w:val="bottom"/>
          </w:tcPr>
          <w:p>
            <w:pPr>
              <w:spacing w:after="0"/>
              <w:rPr>
                <w:sz w:val="20"/>
                <w:szCs w:val="20"/>
                <w:color w:val="auto"/>
              </w:rPr>
            </w:pPr>
            <w:r>
              <w:rPr>
                <w:rFonts w:ascii="Courier New" w:cs="Courier New" w:eastAsia="Courier New" w:hAnsi="Courier New"/>
                <w:sz w:val="16"/>
                <w:szCs w:val="16"/>
                <w:color w:val="auto"/>
                <w:w w:val="96"/>
              </w:rPr>
              <w:t>Total consolidated assets</w:t>
            </w:r>
          </w:p>
        </w:tc>
        <w:tc>
          <w:tcPr>
            <w:tcW w:w="3580" w:type="dxa"/>
            <w:vAlign w:val="bottom"/>
          </w:tcPr>
          <w:p>
            <w:pPr>
              <w:jc w:val="right"/>
              <w:ind w:right="358"/>
              <w:spacing w:after="0"/>
              <w:rPr>
                <w:sz w:val="20"/>
                <w:szCs w:val="20"/>
                <w:color w:val="auto"/>
              </w:rPr>
            </w:pPr>
            <w:r>
              <w:rPr>
                <w:rFonts w:ascii="Courier New" w:cs="Courier New" w:eastAsia="Courier New" w:hAnsi="Courier New"/>
                <w:sz w:val="16"/>
                <w:szCs w:val="16"/>
                <w:color w:val="auto"/>
                <w:w w:val="96"/>
              </w:rPr>
              <w:t>.................$6,965.2</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$4,703.5</w:t>
            </w:r>
          </w:p>
        </w:tc>
      </w:tr>
      <w:tr>
        <w:trPr>
          <w:trHeight w:val="179"/>
        </w:trPr>
        <w:tc>
          <w:tcPr>
            <w:tcW w:w="2340" w:type="dxa"/>
            <w:vAlign w:val="bottom"/>
          </w:tcPr>
          <w:p>
            <w:pPr>
              <w:spacing w:after="0"/>
              <w:rPr>
                <w:sz w:val="15"/>
                <w:szCs w:val="15"/>
                <w:color w:val="auto"/>
              </w:rPr>
            </w:pPr>
          </w:p>
        </w:tc>
        <w:tc>
          <w:tcPr>
            <w:tcW w:w="3580" w:type="dxa"/>
            <w:vAlign w:val="bottom"/>
          </w:tcPr>
          <w:p>
            <w:pPr>
              <w:jc w:val="right"/>
              <w:ind w:right="358"/>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2340" w:type="dxa"/>
            <w:vAlign w:val="bottom"/>
          </w:tcPr>
          <w:p>
            <w:pPr>
              <w:spacing w:after="0"/>
              <w:rPr>
                <w:sz w:val="24"/>
                <w:szCs w:val="24"/>
                <w:color w:val="auto"/>
              </w:rPr>
            </w:pPr>
          </w:p>
        </w:tc>
        <w:tc>
          <w:tcPr>
            <w:tcW w:w="3580" w:type="dxa"/>
            <w:vAlign w:val="bottom"/>
          </w:tcPr>
          <w:p>
            <w:pPr>
              <w:jc w:val="right"/>
              <w:ind w:right="2038"/>
              <w:spacing w:after="0"/>
              <w:rPr>
                <w:sz w:val="20"/>
                <w:szCs w:val="20"/>
                <w:color w:val="auto"/>
              </w:rPr>
            </w:pPr>
            <w:r>
              <w:rPr>
                <w:rFonts w:ascii="Courier New" w:cs="Courier New" w:eastAsia="Courier New" w:hAnsi="Courier New"/>
                <w:sz w:val="16"/>
                <w:szCs w:val="16"/>
                <w:color w:val="auto"/>
              </w:rPr>
              <w:t>47/57</w:t>
            </w:r>
          </w:p>
        </w:tc>
        <w:tc>
          <w:tcPr>
            <w:tcW w:w="1160" w:type="dxa"/>
            <w:vAlign w:val="bottom"/>
          </w:tcPr>
          <w:p>
            <w:pPr>
              <w:spacing w:after="0"/>
              <w:rPr>
                <w:sz w:val="24"/>
                <w:szCs w:val="24"/>
                <w:color w:val="auto"/>
              </w:rPr>
            </w:pPr>
          </w:p>
        </w:tc>
      </w:tr>
    </w:tbl>
    <w:p>
      <w:pPr>
        <w:sectPr>
          <w:pgSz w:w="11900" w:h="16838" w:orient="portrait"/>
          <w:cols w:equalWidth="0" w:num="1">
            <w:col w:w="10139"/>
          </w:cols>
          <w:pgMar w:left="320" w:top="135" w:right="1440" w:bottom="1440" w:gutter="0" w:footer="0" w:header="0"/>
        </w:sectPr>
      </w:pPr>
    </w:p>
    <w:bookmarkStart w:id="50" w:name="page51"/>
    <w:bookmarkEnd w:id="50"/>
    <w:p>
      <w:pPr>
        <w:spacing w:after="0"/>
        <w:rPr>
          <w:sz w:val="20"/>
          <w:szCs w:val="20"/>
          <w:color w:val="auto"/>
        </w:rPr>
      </w:pPr>
      <w:r>
        <w:rPr>
          <w:rFonts w:ascii="Courier New" w:cs="Courier New" w:eastAsia="Courier New" w:hAnsi="Courier New"/>
          <w:sz w:val="16"/>
          <w:szCs w:val="16"/>
          <w:color w:val="auto"/>
        </w:rPr>
        <w:t>Capital expenditures for plant, property and equipment</w:t>
      </w:r>
    </w:p>
    <w:p>
      <w:pPr>
        <w:spacing w:after="0" w:line="236" w:lineRule="auto"/>
        <w:rPr>
          <w:sz w:val="20"/>
          <w:szCs w:val="20"/>
          <w:color w:val="auto"/>
        </w:rPr>
      </w:pPr>
      <w:r>
        <w:rPr>
          <w:rFonts w:ascii="Courier New" w:cs="Courier New" w:eastAsia="Courier New" w:hAnsi="Courier New"/>
          <w:sz w:val="16"/>
          <w:szCs w:val="16"/>
          <w:color w:val="auto"/>
        </w:rPr>
        <w:t>- ------------------------------------------------------</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560" w:type="dxa"/>
            <w:vAlign w:val="bottom"/>
          </w:tcPr>
          <w:p>
            <w:pPr>
              <w:spacing w:after="0"/>
              <w:rPr>
                <w:sz w:val="15"/>
                <w:szCs w:val="15"/>
                <w:color w:val="auto"/>
              </w:rPr>
            </w:pPr>
          </w:p>
        </w:tc>
        <w:tc>
          <w:tcPr>
            <w:tcW w:w="10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1999</w:t>
            </w:r>
          </w:p>
        </w:tc>
        <w:tc>
          <w:tcPr>
            <w:tcW w:w="98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1998</w:t>
            </w:r>
          </w:p>
        </w:tc>
        <w:tc>
          <w:tcPr>
            <w:tcW w:w="7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1997</w:t>
            </w:r>
          </w:p>
        </w:tc>
      </w:tr>
      <w:tr>
        <w:trPr>
          <w:trHeight w:val="179"/>
        </w:trPr>
        <w:tc>
          <w:tcPr>
            <w:tcW w:w="4560" w:type="dxa"/>
            <w:vAlign w:val="bottom"/>
          </w:tcPr>
          <w:p>
            <w:pPr>
              <w:spacing w:after="0"/>
              <w:rPr>
                <w:sz w:val="15"/>
                <w:szCs w:val="15"/>
                <w:color w:val="auto"/>
              </w:rPr>
            </w:pP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560" w:type="dxa"/>
            <w:vAlign w:val="bottom"/>
          </w:tcPr>
          <w:p>
            <w:pPr>
              <w:spacing w:after="0"/>
              <w:rPr>
                <w:sz w:val="20"/>
                <w:szCs w:val="20"/>
                <w:color w:val="auto"/>
              </w:rPr>
            </w:pPr>
            <w:r>
              <w:rPr>
                <w:rFonts w:ascii="Courier New" w:cs="Courier New" w:eastAsia="Courier New" w:hAnsi="Courier New"/>
                <w:sz w:val="16"/>
                <w:szCs w:val="16"/>
                <w:color w:val="auto"/>
              </w:rPr>
              <w:t>Semiconductor operations.......................</w:t>
            </w:r>
          </w:p>
        </w:tc>
        <w:tc>
          <w:tcPr>
            <w:tcW w:w="10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$755.5</w:t>
            </w:r>
          </w:p>
        </w:tc>
        <w:tc>
          <w:tcPr>
            <w:tcW w:w="9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$670.2</w:t>
            </w:r>
          </w:p>
        </w:tc>
        <w:tc>
          <w:tcPr>
            <w:tcW w:w="780" w:type="dxa"/>
            <w:vAlign w:val="bottom"/>
          </w:tcPr>
          <w:p>
            <w:pPr>
              <w:jc w:val="right"/>
              <w:ind w:right="2"/>
              <w:spacing w:after="0"/>
              <w:rPr>
                <w:sz w:val="20"/>
                <w:szCs w:val="20"/>
                <w:color w:val="auto"/>
              </w:rPr>
            </w:pPr>
            <w:r>
              <w:rPr>
                <w:rFonts w:ascii="Courier New" w:cs="Courier New" w:eastAsia="Courier New" w:hAnsi="Courier New"/>
                <w:sz w:val="16"/>
                <w:szCs w:val="16"/>
                <w:color w:val="auto"/>
              </w:rPr>
              <w:t>$405.8</w:t>
            </w:r>
          </w:p>
        </w:tc>
      </w:tr>
      <w:tr>
        <w:trPr>
          <w:trHeight w:val="179"/>
        </w:trPr>
        <w:tc>
          <w:tcPr>
            <w:tcW w:w="4560" w:type="dxa"/>
            <w:vAlign w:val="bottom"/>
          </w:tcPr>
          <w:p>
            <w:pPr>
              <w:spacing w:after="0" w:line="179" w:lineRule="exact"/>
              <w:rPr>
                <w:sz w:val="20"/>
                <w:szCs w:val="20"/>
                <w:color w:val="auto"/>
              </w:rPr>
            </w:pPr>
            <w:r>
              <w:rPr>
                <w:rFonts w:ascii="Courier New" w:cs="Courier New" w:eastAsia="Courier New" w:hAnsi="Courier New"/>
                <w:sz w:val="16"/>
                <w:szCs w:val="16"/>
                <w:color w:val="auto"/>
              </w:rPr>
              <w:t>PC operations..................................</w:t>
            </w: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43.3</w:t>
            </w: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13.8</w:t>
            </w:r>
          </w:p>
        </w:tc>
        <w:tc>
          <w:tcPr>
            <w:tcW w:w="7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48.0</w:t>
            </w:r>
          </w:p>
        </w:tc>
      </w:tr>
      <w:tr>
        <w:trPr>
          <w:trHeight w:val="179"/>
        </w:trPr>
        <w:tc>
          <w:tcPr>
            <w:tcW w:w="4560" w:type="dxa"/>
            <w:vAlign w:val="bottom"/>
          </w:tcPr>
          <w:p>
            <w:pPr>
              <w:spacing w:after="0" w:line="179" w:lineRule="exact"/>
              <w:rPr>
                <w:sz w:val="20"/>
                <w:szCs w:val="20"/>
                <w:color w:val="auto"/>
              </w:rPr>
            </w:pPr>
            <w:r>
              <w:rPr>
                <w:rFonts w:ascii="Courier New" w:cs="Courier New" w:eastAsia="Courier New" w:hAnsi="Courier New"/>
                <w:sz w:val="16"/>
                <w:szCs w:val="16"/>
                <w:color w:val="auto"/>
              </w:rPr>
              <w:t>All other......................................</w:t>
            </w: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5.3</w:t>
            </w: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22.3</w:t>
            </w:r>
          </w:p>
        </w:tc>
        <w:tc>
          <w:tcPr>
            <w:tcW w:w="7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72.3</w:t>
            </w:r>
          </w:p>
        </w:tc>
      </w:tr>
      <w:tr>
        <w:trPr>
          <w:trHeight w:val="179"/>
        </w:trPr>
        <w:tc>
          <w:tcPr>
            <w:tcW w:w="4560" w:type="dxa"/>
            <w:vAlign w:val="bottom"/>
          </w:tcPr>
          <w:p>
            <w:pPr>
              <w:spacing w:after="0"/>
              <w:rPr>
                <w:sz w:val="15"/>
                <w:szCs w:val="15"/>
                <w:color w:val="auto"/>
              </w:rPr>
            </w:pP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560" w:type="dxa"/>
            <w:vAlign w:val="bottom"/>
          </w:tcPr>
          <w:p>
            <w:pPr>
              <w:spacing w:after="0" w:line="179" w:lineRule="exact"/>
              <w:rPr>
                <w:sz w:val="20"/>
                <w:szCs w:val="20"/>
                <w:color w:val="auto"/>
              </w:rPr>
            </w:pPr>
            <w:r>
              <w:rPr>
                <w:rFonts w:ascii="Courier New" w:cs="Courier New" w:eastAsia="Courier New" w:hAnsi="Courier New"/>
                <w:sz w:val="16"/>
                <w:szCs w:val="16"/>
                <w:color w:val="auto"/>
              </w:rPr>
              <w:t>Total segments.................................</w:t>
            </w: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804.1</w:t>
            </w: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706.3</w:t>
            </w:r>
          </w:p>
        </w:tc>
        <w:tc>
          <w:tcPr>
            <w:tcW w:w="7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526.1</w:t>
            </w:r>
          </w:p>
        </w:tc>
      </w:tr>
      <w:tr>
        <w:trPr>
          <w:trHeight w:val="358"/>
        </w:trPr>
        <w:tc>
          <w:tcPr>
            <w:tcW w:w="4560" w:type="dxa"/>
            <w:vAlign w:val="bottom"/>
          </w:tcPr>
          <w:p>
            <w:pPr>
              <w:spacing w:after="0"/>
              <w:rPr>
                <w:sz w:val="20"/>
                <w:szCs w:val="20"/>
                <w:color w:val="auto"/>
              </w:rPr>
            </w:pPr>
            <w:r>
              <w:rPr>
                <w:rFonts w:ascii="Courier New" w:cs="Courier New" w:eastAsia="Courier New" w:hAnsi="Courier New"/>
                <w:sz w:val="16"/>
                <w:szCs w:val="16"/>
                <w:color w:val="auto"/>
              </w:rPr>
              <w:t>Elimination of intersegment....................</w:t>
            </w: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(0.2)</w:t>
            </w:r>
          </w:p>
        </w:tc>
        <w:tc>
          <w:tcPr>
            <w:tcW w:w="9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0.8</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(9.2)</w:t>
            </w:r>
          </w:p>
        </w:tc>
      </w:tr>
      <w:tr>
        <w:trPr>
          <w:trHeight w:val="179"/>
        </w:trPr>
        <w:tc>
          <w:tcPr>
            <w:tcW w:w="4560" w:type="dxa"/>
            <w:vAlign w:val="bottom"/>
          </w:tcPr>
          <w:p>
            <w:pPr>
              <w:spacing w:after="0"/>
              <w:rPr>
                <w:sz w:val="15"/>
                <w:szCs w:val="15"/>
                <w:color w:val="auto"/>
              </w:rPr>
            </w:pP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560" w:type="dxa"/>
            <w:vAlign w:val="bottom"/>
          </w:tcPr>
          <w:p>
            <w:pPr>
              <w:spacing w:after="0" w:line="179" w:lineRule="exact"/>
              <w:rPr>
                <w:sz w:val="20"/>
                <w:szCs w:val="20"/>
                <w:color w:val="auto"/>
              </w:rPr>
            </w:pPr>
            <w:r>
              <w:rPr>
                <w:rFonts w:ascii="Courier New" w:cs="Courier New" w:eastAsia="Courier New" w:hAnsi="Courier New"/>
                <w:sz w:val="16"/>
                <w:szCs w:val="16"/>
                <w:color w:val="auto"/>
              </w:rPr>
              <w:t>Total consolidated capital expenditures........</w:t>
            </w: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$803.9</w:t>
            </w: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$707.1</w:t>
            </w:r>
          </w:p>
        </w:tc>
        <w:tc>
          <w:tcPr>
            <w:tcW w:w="7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$516.9</w:t>
            </w:r>
          </w:p>
        </w:tc>
      </w:tr>
      <w:tr>
        <w:trPr>
          <w:trHeight w:val="179"/>
        </w:trPr>
        <w:tc>
          <w:tcPr>
            <w:tcW w:w="4560" w:type="dxa"/>
            <w:vAlign w:val="bottom"/>
          </w:tcPr>
          <w:p>
            <w:pPr>
              <w:spacing w:after="0"/>
              <w:rPr>
                <w:sz w:val="15"/>
                <w:szCs w:val="15"/>
                <w:color w:val="auto"/>
              </w:rPr>
            </w:pP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537"/>
        </w:trPr>
        <w:tc>
          <w:tcPr>
            <w:tcW w:w="4560" w:type="dxa"/>
            <w:vAlign w:val="bottom"/>
          </w:tcPr>
          <w:p>
            <w:pPr>
              <w:spacing w:after="0"/>
              <w:rPr>
                <w:sz w:val="20"/>
                <w:szCs w:val="20"/>
                <w:color w:val="auto"/>
              </w:rPr>
            </w:pPr>
            <w:r>
              <w:rPr>
                <w:rFonts w:ascii="Courier New" w:cs="Courier New" w:eastAsia="Courier New" w:hAnsi="Courier New"/>
                <w:sz w:val="16"/>
                <w:szCs w:val="16"/>
                <w:color w:val="auto"/>
              </w:rPr>
              <w:t>Depreciation and amortization expense</w:t>
            </w:r>
          </w:p>
        </w:tc>
        <w:tc>
          <w:tcPr>
            <w:tcW w:w="1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9"/>
        </w:trPr>
        <w:tc>
          <w:tcPr>
            <w:tcW w:w="456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10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537"/>
        </w:trPr>
        <w:tc>
          <w:tcPr>
            <w:tcW w:w="4560" w:type="dxa"/>
            <w:vAlign w:val="bottom"/>
          </w:tcPr>
          <w:p>
            <w:pPr>
              <w:spacing w:after="0"/>
              <w:rPr>
                <w:sz w:val="24"/>
                <w:szCs w:val="24"/>
                <w:color w:val="auto"/>
              </w:rPr>
            </w:pPr>
          </w:p>
        </w:tc>
        <w:tc>
          <w:tcPr>
            <w:tcW w:w="10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1999</w:t>
            </w:r>
          </w:p>
        </w:tc>
        <w:tc>
          <w:tcPr>
            <w:tcW w:w="98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1998</w:t>
            </w:r>
          </w:p>
        </w:tc>
        <w:tc>
          <w:tcPr>
            <w:tcW w:w="780" w:type="dxa"/>
            <w:vAlign w:val="bottom"/>
          </w:tcPr>
          <w:p>
            <w:pPr>
              <w:jc w:val="right"/>
              <w:ind w:right="2"/>
              <w:spacing w:after="0"/>
              <w:rPr>
                <w:sz w:val="20"/>
                <w:szCs w:val="20"/>
                <w:color w:val="auto"/>
              </w:rPr>
            </w:pPr>
            <w:r>
              <w:rPr>
                <w:rFonts w:ascii="Courier New" w:cs="Courier New" w:eastAsia="Courier New" w:hAnsi="Courier New"/>
                <w:sz w:val="16"/>
                <w:szCs w:val="16"/>
                <w:color w:val="auto"/>
              </w:rPr>
              <w:t>1997</w:t>
            </w:r>
          </w:p>
        </w:tc>
      </w:tr>
      <w:tr>
        <w:trPr>
          <w:trHeight w:val="179"/>
        </w:trPr>
        <w:tc>
          <w:tcPr>
            <w:tcW w:w="4560" w:type="dxa"/>
            <w:vAlign w:val="bottom"/>
          </w:tcPr>
          <w:p>
            <w:pPr>
              <w:spacing w:after="0"/>
              <w:rPr>
                <w:sz w:val="15"/>
                <w:szCs w:val="15"/>
                <w:color w:val="auto"/>
              </w:rPr>
            </w:pP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560" w:type="dxa"/>
            <w:vAlign w:val="bottom"/>
          </w:tcPr>
          <w:p>
            <w:pPr>
              <w:spacing w:after="0"/>
              <w:rPr>
                <w:sz w:val="20"/>
                <w:szCs w:val="20"/>
                <w:color w:val="auto"/>
              </w:rPr>
            </w:pPr>
            <w:r>
              <w:rPr>
                <w:rFonts w:ascii="Courier New" w:cs="Courier New" w:eastAsia="Courier New" w:hAnsi="Courier New"/>
                <w:sz w:val="16"/>
                <w:szCs w:val="16"/>
                <w:color w:val="auto"/>
              </w:rPr>
              <w:t>Semiconductor operations.......................</w:t>
            </w:r>
          </w:p>
        </w:tc>
        <w:tc>
          <w:tcPr>
            <w:tcW w:w="10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$816.0</w:t>
            </w:r>
          </w:p>
        </w:tc>
        <w:tc>
          <w:tcPr>
            <w:tcW w:w="9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$565.6</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$449.6</w:t>
            </w:r>
          </w:p>
        </w:tc>
      </w:tr>
      <w:tr>
        <w:trPr>
          <w:trHeight w:val="179"/>
        </w:trPr>
        <w:tc>
          <w:tcPr>
            <w:tcW w:w="4560" w:type="dxa"/>
            <w:vAlign w:val="bottom"/>
          </w:tcPr>
          <w:p>
            <w:pPr>
              <w:spacing w:after="0" w:line="179" w:lineRule="exact"/>
              <w:rPr>
                <w:sz w:val="20"/>
                <w:szCs w:val="20"/>
                <w:color w:val="auto"/>
              </w:rPr>
            </w:pPr>
            <w:r>
              <w:rPr>
                <w:rFonts w:ascii="Courier New" w:cs="Courier New" w:eastAsia="Courier New" w:hAnsi="Courier New"/>
                <w:sz w:val="16"/>
                <w:szCs w:val="16"/>
                <w:color w:val="auto"/>
              </w:rPr>
              <w:t>PC operations..................................</w:t>
            </w: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16.1</w:t>
            </w: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21.0</w:t>
            </w:r>
          </w:p>
        </w:tc>
        <w:tc>
          <w:tcPr>
            <w:tcW w:w="7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12.1</w:t>
            </w:r>
          </w:p>
        </w:tc>
      </w:tr>
      <w:tr>
        <w:trPr>
          <w:trHeight w:val="179"/>
        </w:trPr>
        <w:tc>
          <w:tcPr>
            <w:tcW w:w="4560" w:type="dxa"/>
            <w:vAlign w:val="bottom"/>
          </w:tcPr>
          <w:p>
            <w:pPr>
              <w:spacing w:after="0" w:line="179" w:lineRule="exact"/>
              <w:rPr>
                <w:sz w:val="20"/>
                <w:szCs w:val="20"/>
                <w:color w:val="auto"/>
              </w:rPr>
            </w:pPr>
            <w:r>
              <w:rPr>
                <w:rFonts w:ascii="Courier New" w:cs="Courier New" w:eastAsia="Courier New" w:hAnsi="Courier New"/>
                <w:sz w:val="16"/>
                <w:szCs w:val="16"/>
                <w:color w:val="auto"/>
              </w:rPr>
              <w:t>All other......................................</w:t>
            </w: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12.9</w:t>
            </w: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21.6</w:t>
            </w:r>
          </w:p>
        </w:tc>
        <w:tc>
          <w:tcPr>
            <w:tcW w:w="7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14.3</w:t>
            </w:r>
          </w:p>
        </w:tc>
      </w:tr>
      <w:tr>
        <w:trPr>
          <w:trHeight w:val="179"/>
        </w:trPr>
        <w:tc>
          <w:tcPr>
            <w:tcW w:w="4560" w:type="dxa"/>
            <w:vAlign w:val="bottom"/>
          </w:tcPr>
          <w:p>
            <w:pPr>
              <w:spacing w:after="0"/>
              <w:rPr>
                <w:sz w:val="15"/>
                <w:szCs w:val="15"/>
                <w:color w:val="auto"/>
              </w:rPr>
            </w:pP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560" w:type="dxa"/>
            <w:vAlign w:val="bottom"/>
          </w:tcPr>
          <w:p>
            <w:pPr>
              <w:spacing w:after="0" w:line="179" w:lineRule="exact"/>
              <w:rPr>
                <w:sz w:val="20"/>
                <w:szCs w:val="20"/>
                <w:color w:val="auto"/>
              </w:rPr>
            </w:pPr>
            <w:r>
              <w:rPr>
                <w:rFonts w:ascii="Courier New" w:cs="Courier New" w:eastAsia="Courier New" w:hAnsi="Courier New"/>
                <w:sz w:val="16"/>
                <w:szCs w:val="16"/>
                <w:color w:val="auto"/>
              </w:rPr>
              <w:t>Total segments.................................</w:t>
            </w: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845.0</w:t>
            </w: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608.2</w:t>
            </w:r>
          </w:p>
        </w:tc>
        <w:tc>
          <w:tcPr>
            <w:tcW w:w="7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476.0</w:t>
            </w:r>
          </w:p>
        </w:tc>
      </w:tr>
      <w:tr>
        <w:trPr>
          <w:trHeight w:val="358"/>
        </w:trPr>
        <w:tc>
          <w:tcPr>
            <w:tcW w:w="4560" w:type="dxa"/>
            <w:vAlign w:val="bottom"/>
          </w:tcPr>
          <w:p>
            <w:pPr>
              <w:spacing w:after="0"/>
              <w:rPr>
                <w:sz w:val="20"/>
                <w:szCs w:val="20"/>
                <w:color w:val="auto"/>
              </w:rPr>
            </w:pPr>
            <w:r>
              <w:rPr>
                <w:rFonts w:ascii="Courier New" w:cs="Courier New" w:eastAsia="Courier New" w:hAnsi="Courier New"/>
                <w:sz w:val="16"/>
                <w:szCs w:val="16"/>
                <w:color w:val="auto"/>
              </w:rPr>
              <w:t>Elimination of intersegment....................</w:t>
            </w: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(1.7)</w:t>
            </w:r>
          </w:p>
        </w:tc>
        <w:tc>
          <w:tcPr>
            <w:tcW w:w="9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(1.6)</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0.3</w:t>
            </w:r>
          </w:p>
        </w:tc>
      </w:tr>
      <w:tr>
        <w:trPr>
          <w:trHeight w:val="179"/>
        </w:trPr>
        <w:tc>
          <w:tcPr>
            <w:tcW w:w="4560" w:type="dxa"/>
            <w:vAlign w:val="bottom"/>
          </w:tcPr>
          <w:p>
            <w:pPr>
              <w:spacing w:after="0"/>
              <w:rPr>
                <w:sz w:val="15"/>
                <w:szCs w:val="15"/>
                <w:color w:val="auto"/>
              </w:rPr>
            </w:pP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560" w:type="dxa"/>
            <w:vAlign w:val="bottom"/>
          </w:tcPr>
          <w:p>
            <w:pPr>
              <w:spacing w:after="0" w:line="179" w:lineRule="exact"/>
              <w:rPr>
                <w:sz w:val="20"/>
                <w:szCs w:val="20"/>
                <w:color w:val="auto"/>
              </w:rPr>
            </w:pPr>
            <w:r>
              <w:rPr>
                <w:rFonts w:ascii="Courier New" w:cs="Courier New" w:eastAsia="Courier New" w:hAnsi="Courier New"/>
                <w:sz w:val="16"/>
                <w:szCs w:val="16"/>
                <w:color w:val="auto"/>
              </w:rPr>
              <w:t>Total consolidated capital expenditures........</w:t>
            </w: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$843.3</w:t>
            </w: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$606.6</w:t>
            </w:r>
          </w:p>
        </w:tc>
        <w:tc>
          <w:tcPr>
            <w:tcW w:w="7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$476.3</w:t>
            </w:r>
          </w:p>
        </w:tc>
      </w:tr>
      <w:tr>
        <w:trPr>
          <w:trHeight w:val="179"/>
        </w:trPr>
        <w:tc>
          <w:tcPr>
            <w:tcW w:w="4560" w:type="dxa"/>
            <w:vAlign w:val="bottom"/>
          </w:tcPr>
          <w:p>
            <w:pPr>
              <w:spacing w:after="0"/>
              <w:rPr>
                <w:sz w:val="15"/>
                <w:szCs w:val="15"/>
                <w:color w:val="auto"/>
              </w:rPr>
            </w:pP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Investment in Equity Method Investees</w:t>
      </w:r>
    </w:p>
    <w:p>
      <w:pPr>
        <w:spacing w:after="0" w:line="236" w:lineRule="auto"/>
        <w:rPr>
          <w:sz w:val="20"/>
          <w:szCs w:val="20"/>
          <w:color w:val="auto"/>
        </w:rPr>
      </w:pPr>
      <w:r>
        <w:rPr>
          <w:rFonts w:ascii="Courier New" w:cs="Courier New" w:eastAsia="Courier New" w:hAnsi="Courier New"/>
          <w:sz w:val="16"/>
          <w:szCs w:val="16"/>
          <w:color w:val="auto"/>
        </w:rPr>
        <w:t>- -------------------------------------</w:t>
      </w:r>
    </w:p>
    <w:p>
      <w:pPr>
        <w:spacing w:after="0" w:line="183" w:lineRule="exact"/>
        <w:rPr>
          <w:sz w:val="20"/>
          <w:szCs w:val="20"/>
          <w:color w:val="auto"/>
        </w:rPr>
      </w:pPr>
    </w:p>
    <w:p>
      <w:pPr>
        <w:ind w:right="2779" w:firstLine="186"/>
        <w:spacing w:after="0" w:line="235" w:lineRule="auto"/>
        <w:rPr>
          <w:sz w:val="20"/>
          <w:szCs w:val="20"/>
          <w:color w:val="auto"/>
        </w:rPr>
      </w:pPr>
      <w:r>
        <w:rPr>
          <w:rFonts w:ascii="Courier New" w:cs="Courier New" w:eastAsia="Courier New" w:hAnsi="Courier New"/>
          <w:sz w:val="16"/>
          <w:szCs w:val="16"/>
          <w:color w:val="auto"/>
        </w:rPr>
        <w:t>At September 2, 1999, the Company had $10.7 million in investments accounted for by the equity method. These investments were held by non-reportable segments included in the "All Other" segments category. The Company recorded losses totaling $4.3 million on these investments in 1999. The Company held no equity investments in 1998 or 1997.</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Major Customers</w:t>
      </w:r>
    </w:p>
    <w:p>
      <w:pPr>
        <w:spacing w:after="0" w:line="236" w:lineRule="auto"/>
        <w:rPr>
          <w:sz w:val="20"/>
          <w:szCs w:val="20"/>
          <w:color w:val="auto"/>
        </w:rPr>
      </w:pPr>
      <w:r>
        <w:rPr>
          <w:rFonts w:ascii="Courier New" w:cs="Courier New" w:eastAsia="Courier New" w:hAnsi="Courier New"/>
          <w:sz w:val="16"/>
          <w:szCs w:val="16"/>
          <w:color w:val="auto"/>
        </w:rPr>
        <w:t>- ---------------</w:t>
      </w:r>
    </w:p>
    <w:p>
      <w:pPr>
        <w:spacing w:after="0" w:line="183" w:lineRule="exact"/>
        <w:rPr>
          <w:sz w:val="20"/>
          <w:szCs w:val="20"/>
          <w:color w:val="auto"/>
        </w:rPr>
      </w:pPr>
    </w:p>
    <w:p>
      <w:pPr>
        <w:ind w:right="2879" w:firstLine="186"/>
        <w:spacing w:after="0" w:line="234" w:lineRule="auto"/>
        <w:rPr>
          <w:sz w:val="20"/>
          <w:szCs w:val="20"/>
          <w:color w:val="auto"/>
        </w:rPr>
      </w:pPr>
      <w:r>
        <w:rPr>
          <w:rFonts w:ascii="Courier New" w:cs="Courier New" w:eastAsia="Courier New" w:hAnsi="Courier New"/>
          <w:sz w:val="16"/>
          <w:szCs w:val="16"/>
          <w:color w:val="auto"/>
        </w:rPr>
        <w:t>No customer individually accounted for 10% or more of the Company's total net sales in 1999, 1998 or 1997.</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Geographic area net sales revenue</w:t>
      </w:r>
    </w:p>
    <w:p>
      <w:pPr>
        <w:spacing w:after="0" w:line="236" w:lineRule="auto"/>
        <w:rPr>
          <w:sz w:val="20"/>
          <w:szCs w:val="20"/>
          <w:color w:val="auto"/>
        </w:rPr>
      </w:pPr>
      <w:r>
        <w:rPr>
          <w:rFonts w:ascii="Courier New" w:cs="Courier New" w:eastAsia="Courier New" w:hAnsi="Courier New"/>
          <w:sz w:val="16"/>
          <w:szCs w:val="16"/>
          <w:color w:val="auto"/>
        </w:rPr>
        <w:t>- ---------------------------------</w:t>
      </w:r>
    </w:p>
    <w:p>
      <w:pPr>
        <w:spacing w:after="0" w:line="237" w:lineRule="auto"/>
        <w:rPr>
          <w:sz w:val="20"/>
          <w:szCs w:val="20"/>
          <w:color w:val="auto"/>
        </w:rPr>
      </w:pPr>
      <w:r>
        <w:rPr>
          <w:rFonts w:ascii="Courier New" w:cs="Courier New" w:eastAsia="Courier New" w:hAnsi="Courier New"/>
          <w:sz w:val="16"/>
          <w:szCs w:val="16"/>
          <w:color w:val="auto"/>
        </w:rPr>
        <w:t>(Based on customer location)</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200" w:type="dxa"/>
            <w:vAlign w:val="bottom"/>
          </w:tcPr>
          <w:p>
            <w:pPr>
              <w:spacing w:after="0"/>
              <w:rPr>
                <w:sz w:val="15"/>
                <w:szCs w:val="15"/>
                <w:color w:val="auto"/>
              </w:rPr>
            </w:pPr>
          </w:p>
        </w:tc>
        <w:tc>
          <w:tcPr>
            <w:tcW w:w="39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1999</w:t>
            </w:r>
          </w:p>
        </w:tc>
        <w:tc>
          <w:tcPr>
            <w:tcW w:w="110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1998</w:t>
            </w: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1997</w:t>
            </w:r>
          </w:p>
        </w:tc>
      </w:tr>
      <w:tr>
        <w:trPr>
          <w:trHeight w:val="179"/>
        </w:trPr>
        <w:tc>
          <w:tcPr>
            <w:tcW w:w="1200" w:type="dxa"/>
            <w:vAlign w:val="bottom"/>
          </w:tcPr>
          <w:p>
            <w:pPr>
              <w:spacing w:after="0"/>
              <w:rPr>
                <w:sz w:val="15"/>
                <w:szCs w:val="15"/>
                <w:color w:val="auto"/>
              </w:rPr>
            </w:pPr>
          </w:p>
        </w:tc>
        <w:tc>
          <w:tcPr>
            <w:tcW w:w="39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w w:val="94"/>
              </w:rPr>
              <w:t>United States</w:t>
            </w:r>
          </w:p>
        </w:tc>
        <w:tc>
          <w:tcPr>
            <w:tcW w:w="3920" w:type="dxa"/>
            <w:vAlign w:val="bottom"/>
          </w:tcPr>
          <w:p>
            <w:pPr>
              <w:jc w:val="right"/>
              <w:ind w:right="122"/>
              <w:spacing w:after="0"/>
              <w:rPr>
                <w:sz w:val="20"/>
                <w:szCs w:val="20"/>
                <w:color w:val="auto"/>
              </w:rPr>
            </w:pPr>
            <w:r>
              <w:rPr>
                <w:rFonts w:ascii="Courier New" w:cs="Courier New" w:eastAsia="Courier New" w:hAnsi="Courier New"/>
                <w:sz w:val="16"/>
                <w:szCs w:val="16"/>
                <w:color w:val="auto"/>
                <w:w w:val="96"/>
              </w:rPr>
              <w:t>.............................   $2,685.8</w:t>
            </w:r>
          </w:p>
        </w:tc>
        <w:tc>
          <w:tcPr>
            <w:tcW w:w="11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$2,425.9</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$2,814.9</w:t>
            </w:r>
          </w:p>
        </w:tc>
      </w:tr>
      <w:tr>
        <w:trPr>
          <w:trHeight w:val="179"/>
        </w:trPr>
        <w:tc>
          <w:tcPr>
            <w:tcW w:w="1200" w:type="dxa"/>
            <w:vAlign w:val="bottom"/>
          </w:tcPr>
          <w:p>
            <w:pPr>
              <w:jc w:val="right"/>
              <w:spacing w:after="0"/>
              <w:rPr>
                <w:sz w:val="20"/>
                <w:szCs w:val="20"/>
                <w:color w:val="auto"/>
              </w:rPr>
            </w:pPr>
            <w:r>
              <w:rPr>
                <w:rFonts w:ascii="Courier New" w:cs="Courier New" w:eastAsia="Courier New" w:hAnsi="Courier New"/>
                <w:sz w:val="6"/>
                <w:szCs w:val="6"/>
                <w:color w:val="auto"/>
                <w:w w:val="78"/>
              </w:rPr>
              <w:t>Europe....................................</w:t>
            </w:r>
          </w:p>
        </w:tc>
        <w:tc>
          <w:tcPr>
            <w:tcW w:w="39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464.1</w:t>
            </w: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275.3</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293.4</w:t>
            </w:r>
          </w:p>
        </w:tc>
      </w:tr>
      <w:tr>
        <w:trPr>
          <w:trHeight w:val="179"/>
        </w:trPr>
        <w:tc>
          <w:tcPr>
            <w:tcW w:w="1200" w:type="dxa"/>
            <w:vAlign w:val="bottom"/>
          </w:tcPr>
          <w:p>
            <w:pPr>
              <w:jc w:val="right"/>
              <w:spacing w:after="0"/>
              <w:rPr>
                <w:sz w:val="20"/>
                <w:szCs w:val="20"/>
                <w:color w:val="auto"/>
              </w:rPr>
            </w:pPr>
            <w:r>
              <w:rPr>
                <w:rFonts w:ascii="Courier New" w:cs="Courier New" w:eastAsia="Courier New" w:hAnsi="Courier New"/>
                <w:sz w:val="6"/>
                <w:szCs w:val="6"/>
                <w:color w:val="auto"/>
                <w:w w:val="78"/>
              </w:rPr>
              <w:t>Asia Pacific..............................</w:t>
            </w:r>
          </w:p>
        </w:tc>
        <w:tc>
          <w:tcPr>
            <w:tcW w:w="39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420.4</w:t>
            </w: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180.3</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242.7</w:t>
            </w:r>
          </w:p>
        </w:tc>
      </w:tr>
      <w:tr>
        <w:trPr>
          <w:trHeight w:val="179"/>
        </w:trPr>
        <w:tc>
          <w:tcPr>
            <w:tcW w:w="1200" w:type="dxa"/>
            <w:vAlign w:val="bottom"/>
          </w:tcPr>
          <w:p>
            <w:pPr>
              <w:jc w:val="right"/>
              <w:spacing w:after="0"/>
              <w:rPr>
                <w:sz w:val="20"/>
                <w:szCs w:val="20"/>
                <w:color w:val="auto"/>
              </w:rPr>
            </w:pPr>
            <w:r>
              <w:rPr>
                <w:rFonts w:ascii="Courier New" w:cs="Courier New" w:eastAsia="Courier New" w:hAnsi="Courier New"/>
                <w:sz w:val="6"/>
                <w:szCs w:val="6"/>
                <w:color w:val="auto"/>
                <w:w w:val="78"/>
              </w:rPr>
              <w:t>Japan.....................................</w:t>
            </w:r>
          </w:p>
        </w:tc>
        <w:tc>
          <w:tcPr>
            <w:tcW w:w="39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81.8</w:t>
            </w: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42.9</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51.6</w:t>
            </w:r>
          </w:p>
        </w:tc>
      </w:tr>
      <w:tr>
        <w:trPr>
          <w:trHeight w:val="179"/>
        </w:trPr>
        <w:tc>
          <w:tcPr>
            <w:tcW w:w="1200" w:type="dxa"/>
            <w:vAlign w:val="bottom"/>
          </w:tcPr>
          <w:p>
            <w:pPr>
              <w:jc w:val="right"/>
              <w:spacing w:after="0"/>
              <w:rPr>
                <w:sz w:val="20"/>
                <w:szCs w:val="20"/>
                <w:color w:val="auto"/>
              </w:rPr>
            </w:pPr>
            <w:r>
              <w:rPr>
                <w:rFonts w:ascii="Courier New" w:cs="Courier New" w:eastAsia="Courier New" w:hAnsi="Courier New"/>
                <w:sz w:val="6"/>
                <w:szCs w:val="6"/>
                <w:color w:val="auto"/>
                <w:w w:val="78"/>
              </w:rPr>
              <w:t>Canada....................................</w:t>
            </w:r>
          </w:p>
        </w:tc>
        <w:tc>
          <w:tcPr>
            <w:tcW w:w="39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32.5</w:t>
            </w: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47.4</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65.1</w:t>
            </w:r>
          </w:p>
        </w:tc>
      </w:tr>
      <w:tr>
        <w:trPr>
          <w:trHeight w:val="179"/>
        </w:trPr>
        <w:tc>
          <w:tcPr>
            <w:tcW w:w="1200" w:type="dxa"/>
            <w:vAlign w:val="bottom"/>
          </w:tcPr>
          <w:p>
            <w:pPr>
              <w:jc w:val="right"/>
              <w:spacing w:after="0"/>
              <w:rPr>
                <w:sz w:val="20"/>
                <w:szCs w:val="20"/>
                <w:color w:val="auto"/>
              </w:rPr>
            </w:pPr>
            <w:r>
              <w:rPr>
                <w:rFonts w:ascii="Courier New" w:cs="Courier New" w:eastAsia="Courier New" w:hAnsi="Courier New"/>
                <w:sz w:val="6"/>
                <w:szCs w:val="6"/>
                <w:color w:val="auto"/>
                <w:w w:val="78"/>
              </w:rPr>
              <w:t>Other.....................................</w:t>
            </w:r>
          </w:p>
        </w:tc>
        <w:tc>
          <w:tcPr>
            <w:tcW w:w="39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79.4</w:t>
            </w: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53.5</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55.5</w:t>
            </w:r>
          </w:p>
        </w:tc>
      </w:tr>
      <w:tr>
        <w:trPr>
          <w:trHeight w:val="179"/>
        </w:trPr>
        <w:tc>
          <w:tcPr>
            <w:tcW w:w="1200" w:type="dxa"/>
            <w:vAlign w:val="bottom"/>
          </w:tcPr>
          <w:p>
            <w:pPr>
              <w:spacing w:after="0"/>
              <w:rPr>
                <w:sz w:val="15"/>
                <w:szCs w:val="15"/>
                <w:color w:val="auto"/>
              </w:rPr>
            </w:pPr>
          </w:p>
        </w:tc>
        <w:tc>
          <w:tcPr>
            <w:tcW w:w="39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1200" w:type="dxa"/>
            <w:vAlign w:val="bottom"/>
          </w:tcPr>
          <w:p>
            <w:pPr>
              <w:jc w:val="right"/>
              <w:spacing w:after="0"/>
              <w:rPr>
                <w:sz w:val="20"/>
                <w:szCs w:val="20"/>
                <w:color w:val="auto"/>
              </w:rPr>
            </w:pPr>
            <w:r>
              <w:rPr>
                <w:rFonts w:ascii="Courier New" w:cs="Courier New" w:eastAsia="Courier New" w:hAnsi="Courier New"/>
                <w:sz w:val="6"/>
                <w:szCs w:val="6"/>
                <w:color w:val="auto"/>
                <w:w w:val="79"/>
              </w:rPr>
              <w:t>Totals...................................</w:t>
            </w:r>
          </w:p>
        </w:tc>
        <w:tc>
          <w:tcPr>
            <w:tcW w:w="39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$3,764.0</w:t>
            </w: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$3,025.3</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$3,523.2</w:t>
            </w:r>
          </w:p>
        </w:tc>
      </w:tr>
      <w:tr>
        <w:trPr>
          <w:trHeight w:val="179"/>
        </w:trPr>
        <w:tc>
          <w:tcPr>
            <w:tcW w:w="1200" w:type="dxa"/>
            <w:vAlign w:val="bottom"/>
          </w:tcPr>
          <w:p>
            <w:pPr>
              <w:spacing w:after="0"/>
              <w:rPr>
                <w:sz w:val="15"/>
                <w:szCs w:val="15"/>
                <w:color w:val="auto"/>
              </w:rPr>
            </w:pPr>
          </w:p>
        </w:tc>
        <w:tc>
          <w:tcPr>
            <w:tcW w:w="39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537"/>
        </w:trPr>
        <w:tc>
          <w:tcPr>
            <w:tcW w:w="5120" w:type="dxa"/>
            <w:vAlign w:val="bottom"/>
            <w:gridSpan w:val="2"/>
          </w:tcPr>
          <w:p>
            <w:pPr>
              <w:jc w:val="right"/>
              <w:ind w:right="302"/>
              <w:spacing w:after="0"/>
              <w:rPr>
                <w:sz w:val="20"/>
                <w:szCs w:val="20"/>
                <w:color w:val="auto"/>
              </w:rPr>
            </w:pPr>
            <w:r>
              <w:rPr>
                <w:rFonts w:ascii="Courier New" w:cs="Courier New" w:eastAsia="Courier New" w:hAnsi="Courier New"/>
                <w:sz w:val="16"/>
                <w:szCs w:val="16"/>
                <w:color w:val="auto"/>
                <w:w w:val="96"/>
              </w:rPr>
              <w:t>Geographic area property, plant and equipment (net)</w:t>
            </w:r>
          </w:p>
        </w:tc>
        <w:tc>
          <w:tcPr>
            <w:tcW w:w="11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9"/>
        </w:trPr>
        <w:tc>
          <w:tcPr>
            <w:tcW w:w="512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w w:val="96"/>
              </w:rPr>
              <w:t>- ---------------------------------------------------</w:t>
            </w:r>
          </w:p>
        </w:tc>
        <w:tc>
          <w:tcPr>
            <w:tcW w:w="11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537"/>
        </w:trPr>
        <w:tc>
          <w:tcPr>
            <w:tcW w:w="1200" w:type="dxa"/>
            <w:vAlign w:val="bottom"/>
          </w:tcPr>
          <w:p>
            <w:pPr>
              <w:spacing w:after="0"/>
              <w:rPr>
                <w:sz w:val="24"/>
                <w:szCs w:val="24"/>
                <w:color w:val="auto"/>
              </w:rPr>
            </w:pPr>
          </w:p>
        </w:tc>
        <w:tc>
          <w:tcPr>
            <w:tcW w:w="39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1999</w:t>
            </w:r>
          </w:p>
        </w:tc>
        <w:tc>
          <w:tcPr>
            <w:tcW w:w="110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1998</w:t>
            </w: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1997</w:t>
            </w:r>
          </w:p>
        </w:tc>
      </w:tr>
      <w:tr>
        <w:trPr>
          <w:trHeight w:val="179"/>
        </w:trPr>
        <w:tc>
          <w:tcPr>
            <w:tcW w:w="1200" w:type="dxa"/>
            <w:vAlign w:val="bottom"/>
          </w:tcPr>
          <w:p>
            <w:pPr>
              <w:spacing w:after="0"/>
              <w:rPr>
                <w:sz w:val="15"/>
                <w:szCs w:val="15"/>
                <w:color w:val="auto"/>
              </w:rPr>
            </w:pPr>
          </w:p>
        </w:tc>
        <w:tc>
          <w:tcPr>
            <w:tcW w:w="39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w w:val="94"/>
              </w:rPr>
              <w:t>United States</w:t>
            </w:r>
          </w:p>
        </w:tc>
        <w:tc>
          <w:tcPr>
            <w:tcW w:w="3920" w:type="dxa"/>
            <w:vAlign w:val="bottom"/>
          </w:tcPr>
          <w:p>
            <w:pPr>
              <w:jc w:val="right"/>
              <w:ind w:right="122"/>
              <w:spacing w:after="0"/>
              <w:rPr>
                <w:sz w:val="20"/>
                <w:szCs w:val="20"/>
                <w:color w:val="auto"/>
              </w:rPr>
            </w:pPr>
            <w:r>
              <w:rPr>
                <w:rFonts w:ascii="Courier New" w:cs="Courier New" w:eastAsia="Courier New" w:hAnsi="Courier New"/>
                <w:sz w:val="16"/>
                <w:szCs w:val="16"/>
                <w:color w:val="auto"/>
                <w:w w:val="96"/>
              </w:rPr>
              <w:t>.............................   $3,034.8</w:t>
            </w:r>
          </w:p>
        </w:tc>
        <w:tc>
          <w:tcPr>
            <w:tcW w:w="11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$3,031.1</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$2,461.9</w:t>
            </w:r>
          </w:p>
        </w:tc>
      </w:tr>
      <w:tr>
        <w:trPr>
          <w:trHeight w:val="179"/>
        </w:trPr>
        <w:tc>
          <w:tcPr>
            <w:tcW w:w="1200" w:type="dxa"/>
            <w:vAlign w:val="bottom"/>
          </w:tcPr>
          <w:p>
            <w:pPr>
              <w:jc w:val="right"/>
              <w:spacing w:after="0"/>
              <w:rPr>
                <w:sz w:val="20"/>
                <w:szCs w:val="20"/>
                <w:color w:val="auto"/>
              </w:rPr>
            </w:pPr>
            <w:r>
              <w:rPr>
                <w:rFonts w:ascii="Courier New" w:cs="Courier New" w:eastAsia="Courier New" w:hAnsi="Courier New"/>
                <w:sz w:val="6"/>
                <w:szCs w:val="6"/>
                <w:color w:val="auto"/>
                <w:w w:val="78"/>
              </w:rPr>
              <w:t>Singapore.................................</w:t>
            </w:r>
          </w:p>
        </w:tc>
        <w:tc>
          <w:tcPr>
            <w:tcW w:w="39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461.6</w:t>
            </w: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1200" w:type="dxa"/>
            <w:vAlign w:val="bottom"/>
          </w:tcPr>
          <w:p>
            <w:pPr>
              <w:jc w:val="right"/>
              <w:spacing w:after="0"/>
              <w:rPr>
                <w:sz w:val="20"/>
                <w:szCs w:val="20"/>
                <w:color w:val="auto"/>
              </w:rPr>
            </w:pPr>
            <w:r>
              <w:rPr>
                <w:rFonts w:ascii="Courier New" w:cs="Courier New" w:eastAsia="Courier New" w:hAnsi="Courier New"/>
                <w:sz w:val="6"/>
                <w:szCs w:val="6"/>
                <w:color w:val="auto"/>
                <w:w w:val="78"/>
              </w:rPr>
              <w:t>Italy.....................................</w:t>
            </w:r>
          </w:p>
        </w:tc>
        <w:tc>
          <w:tcPr>
            <w:tcW w:w="39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299.3</w:t>
            </w: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1200" w:type="dxa"/>
            <w:vAlign w:val="bottom"/>
          </w:tcPr>
          <w:p>
            <w:pPr>
              <w:jc w:val="right"/>
              <w:spacing w:after="0"/>
              <w:rPr>
                <w:sz w:val="20"/>
                <w:szCs w:val="20"/>
                <w:color w:val="auto"/>
              </w:rPr>
            </w:pPr>
            <w:r>
              <w:rPr>
                <w:rFonts w:ascii="Courier New" w:cs="Courier New" w:eastAsia="Courier New" w:hAnsi="Courier New"/>
                <w:sz w:val="6"/>
                <w:szCs w:val="6"/>
                <w:color w:val="auto"/>
                <w:w w:val="78"/>
              </w:rPr>
              <w:t>Other.....................................</w:t>
            </w:r>
          </w:p>
        </w:tc>
        <w:tc>
          <w:tcPr>
            <w:tcW w:w="39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3.9</w:t>
            </w: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4.2</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2.1</w:t>
            </w:r>
          </w:p>
        </w:tc>
      </w:tr>
      <w:tr>
        <w:trPr>
          <w:trHeight w:val="179"/>
        </w:trPr>
        <w:tc>
          <w:tcPr>
            <w:tcW w:w="1200" w:type="dxa"/>
            <w:vAlign w:val="bottom"/>
          </w:tcPr>
          <w:p>
            <w:pPr>
              <w:spacing w:after="0"/>
              <w:rPr>
                <w:sz w:val="15"/>
                <w:szCs w:val="15"/>
                <w:color w:val="auto"/>
              </w:rPr>
            </w:pPr>
          </w:p>
        </w:tc>
        <w:tc>
          <w:tcPr>
            <w:tcW w:w="39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1200" w:type="dxa"/>
            <w:vAlign w:val="bottom"/>
          </w:tcPr>
          <w:p>
            <w:pPr>
              <w:jc w:val="right"/>
              <w:spacing w:after="0"/>
              <w:rPr>
                <w:sz w:val="20"/>
                <w:szCs w:val="20"/>
                <w:color w:val="auto"/>
              </w:rPr>
            </w:pPr>
            <w:r>
              <w:rPr>
                <w:rFonts w:ascii="Courier New" w:cs="Courier New" w:eastAsia="Courier New" w:hAnsi="Courier New"/>
                <w:sz w:val="6"/>
                <w:szCs w:val="6"/>
                <w:color w:val="auto"/>
                <w:w w:val="79"/>
              </w:rPr>
              <w:t>Totals...................................</w:t>
            </w:r>
          </w:p>
        </w:tc>
        <w:tc>
          <w:tcPr>
            <w:tcW w:w="39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$3,799.6</w:t>
            </w: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$3,035.3</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$2,464.0</w:t>
            </w:r>
          </w:p>
        </w:tc>
      </w:tr>
      <w:tr>
        <w:trPr>
          <w:trHeight w:val="179"/>
        </w:trPr>
        <w:tc>
          <w:tcPr>
            <w:tcW w:w="1200" w:type="dxa"/>
            <w:vAlign w:val="bottom"/>
          </w:tcPr>
          <w:p>
            <w:pPr>
              <w:spacing w:after="0"/>
              <w:rPr>
                <w:sz w:val="15"/>
                <w:szCs w:val="15"/>
                <w:color w:val="auto"/>
              </w:rPr>
            </w:pPr>
          </w:p>
        </w:tc>
        <w:tc>
          <w:tcPr>
            <w:tcW w:w="39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537"/>
        </w:trPr>
        <w:tc>
          <w:tcPr>
            <w:tcW w:w="1200" w:type="dxa"/>
            <w:vAlign w:val="bottom"/>
          </w:tcPr>
          <w:p>
            <w:pPr>
              <w:spacing w:after="0"/>
              <w:rPr>
                <w:sz w:val="24"/>
                <w:szCs w:val="24"/>
                <w:color w:val="auto"/>
              </w:rPr>
            </w:pPr>
          </w:p>
        </w:tc>
        <w:tc>
          <w:tcPr>
            <w:tcW w:w="3920" w:type="dxa"/>
            <w:vAlign w:val="bottom"/>
          </w:tcPr>
          <w:p>
            <w:pPr>
              <w:jc w:val="right"/>
              <w:ind w:right="1142"/>
              <w:spacing w:after="0"/>
              <w:rPr>
                <w:sz w:val="20"/>
                <w:szCs w:val="20"/>
                <w:color w:val="auto"/>
              </w:rPr>
            </w:pPr>
            <w:r>
              <w:rPr>
                <w:rFonts w:ascii="Courier New" w:cs="Courier New" w:eastAsia="Courier New" w:hAnsi="Courier New"/>
                <w:sz w:val="16"/>
                <w:szCs w:val="16"/>
                <w:color w:val="auto"/>
              </w:rPr>
              <w:t>48/57</w:t>
            </w:r>
          </w:p>
        </w:tc>
        <w:tc>
          <w:tcPr>
            <w:tcW w:w="110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0219"/>
          </w:cols>
          <w:pgMar w:left="240" w:top="648" w:right="1440" w:bottom="0" w:gutter="0" w:footer="0" w:header="0"/>
        </w:sectPr>
      </w:pPr>
    </w:p>
    <w:bookmarkStart w:id="51" w:name="page52"/>
    <w:bookmarkEnd w:id="51"/>
    <w:p>
      <w:pPr>
        <w:spacing w:after="0"/>
        <w:rPr>
          <w:sz w:val="20"/>
          <w:szCs w:val="20"/>
          <w:color w:val="auto"/>
        </w:rPr>
      </w:pPr>
      <w:r>
        <w:rPr>
          <w:rFonts w:ascii="Courier New" w:cs="Courier New" w:eastAsia="Courier New" w:hAnsi="Courier New"/>
          <w:sz w:val="16"/>
          <w:szCs w:val="16"/>
          <w:color w:val="auto"/>
        </w:rPr>
        <w:t>Commitments and Contingencies</w:t>
      </w:r>
    </w:p>
    <w:p>
      <w:pPr>
        <w:spacing w:after="0" w:line="183" w:lineRule="exact"/>
        <w:rPr>
          <w:sz w:val="20"/>
          <w:szCs w:val="20"/>
          <w:color w:val="auto"/>
        </w:rPr>
      </w:pPr>
    </w:p>
    <w:p>
      <w:pPr>
        <w:ind w:right="3159" w:firstLine="186"/>
        <w:spacing w:after="0" w:line="295" w:lineRule="auto"/>
        <w:rPr>
          <w:sz w:val="20"/>
          <w:szCs w:val="20"/>
          <w:color w:val="auto"/>
        </w:rPr>
      </w:pPr>
      <w:r>
        <w:rPr>
          <w:rFonts w:ascii="Courier New" w:cs="Courier New" w:eastAsia="Courier New" w:hAnsi="Courier New"/>
          <w:sz w:val="14"/>
          <w:szCs w:val="14"/>
          <w:color w:val="auto"/>
        </w:rPr>
        <w:t>As of September 2, 1999, the Company had commitments of $719.4 million for equipment purchases and $40.4 million for the construction of buildings.</w:t>
      </w:r>
    </w:p>
    <w:p>
      <w:pPr>
        <w:spacing w:after="0" w:line="147" w:lineRule="exact"/>
        <w:rPr>
          <w:sz w:val="20"/>
          <w:szCs w:val="20"/>
          <w:color w:val="auto"/>
        </w:rPr>
      </w:pPr>
    </w:p>
    <w:p>
      <w:pPr>
        <w:ind w:right="2779" w:firstLine="186"/>
        <w:spacing w:after="0" w:line="236" w:lineRule="auto"/>
        <w:rPr>
          <w:sz w:val="20"/>
          <w:szCs w:val="20"/>
          <w:color w:val="auto"/>
        </w:rPr>
      </w:pPr>
      <w:r>
        <w:rPr>
          <w:rFonts w:ascii="Courier New" w:cs="Courier New" w:eastAsia="Courier New" w:hAnsi="Courier New"/>
          <w:sz w:val="16"/>
          <w:szCs w:val="16"/>
          <w:color w:val="auto"/>
        </w:rPr>
        <w:t>The Company has from time to time received, and may in the future receive, communications alleging that its products or its processes may infringe on product or process technology rights held by others. The Company has accrued a liability and charged operations for the estimated costs of settlement or adjudication of asserted and unasserted claims for alleged infringement prior to the balance sheet date. Determination that the Company's manufacture of products has infringed on valid rights held by others could have a material adverse effect on the Company's financial position, results of operations or cash flows and could require changes in production processes and products.</w:t>
      </w:r>
    </w:p>
    <w:p>
      <w:pPr>
        <w:spacing w:after="0" w:line="185" w:lineRule="exact"/>
        <w:rPr>
          <w:sz w:val="20"/>
          <w:szCs w:val="20"/>
          <w:color w:val="auto"/>
        </w:rPr>
      </w:pPr>
    </w:p>
    <w:p>
      <w:pPr>
        <w:ind w:right="2779" w:firstLine="186"/>
        <w:spacing w:after="0" w:line="235" w:lineRule="auto"/>
        <w:rPr>
          <w:sz w:val="20"/>
          <w:szCs w:val="20"/>
          <w:color w:val="auto"/>
        </w:rPr>
      </w:pPr>
      <w:r>
        <w:rPr>
          <w:rFonts w:ascii="Courier New" w:cs="Courier New" w:eastAsia="Courier New" w:hAnsi="Courier New"/>
          <w:sz w:val="16"/>
          <w:szCs w:val="16"/>
          <w:color w:val="auto"/>
        </w:rPr>
        <w:t>The Company is currently a party to various other legal actions arising out of the normal course of business, none of which are expected to have a material effect on the Company's financial position or results of operations.</w:t>
      </w:r>
    </w:p>
    <w:p>
      <w:pPr>
        <w:spacing w:after="0" w:line="177"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49/57</w:t>
      </w:r>
    </w:p>
    <w:p>
      <w:pPr>
        <w:sectPr>
          <w:pgSz w:w="11900" w:h="16838" w:orient="portrait"/>
          <w:cols w:equalWidth="0" w:num="1">
            <w:col w:w="10219"/>
          </w:cols>
          <w:pgMar w:left="240" w:top="648" w:right="1440" w:bottom="1440" w:gutter="0" w:footer="0" w:header="0"/>
        </w:sectPr>
      </w:pPr>
    </w:p>
    <w:bookmarkStart w:id="52" w:name="page53"/>
    <w:bookmarkEnd w:id="52"/>
    <w:p>
      <w:pPr>
        <w:jc w:val="center"/>
        <w:ind w:right="4080"/>
        <w:spacing w:after="0"/>
        <w:rPr>
          <w:sz w:val="20"/>
          <w:szCs w:val="20"/>
          <w:color w:val="auto"/>
        </w:rPr>
      </w:pPr>
      <w:r>
        <w:rPr>
          <w:rFonts w:ascii="Courier New" w:cs="Courier New" w:eastAsia="Courier New" w:hAnsi="Courier New"/>
          <w:sz w:val="16"/>
          <w:szCs w:val="16"/>
          <w:color w:val="auto"/>
        </w:rPr>
        <w:t>Quarterly Financial and Market Information (Unaudited)</w:t>
      </w:r>
    </w:p>
    <w:p>
      <w:pPr>
        <w:jc w:val="center"/>
        <w:ind w:right="4080"/>
        <w:spacing w:after="0" w:line="236" w:lineRule="auto"/>
        <w:rPr>
          <w:sz w:val="20"/>
          <w:szCs w:val="20"/>
          <w:color w:val="auto"/>
        </w:rPr>
      </w:pPr>
      <w:r>
        <w:rPr>
          <w:rFonts w:ascii="Courier New" w:cs="Courier New" w:eastAsia="Courier New" w:hAnsi="Courier New"/>
          <w:sz w:val="16"/>
          <w:szCs w:val="16"/>
          <w:color w:val="auto"/>
        </w:rPr>
        <w:t>(Dollars in millions, except for per share data)</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340" w:type="dxa"/>
            <w:vAlign w:val="bottom"/>
          </w:tcPr>
          <w:p>
            <w:pPr>
              <w:spacing w:after="0"/>
              <w:rPr>
                <w:sz w:val="20"/>
                <w:szCs w:val="20"/>
                <w:color w:val="auto"/>
              </w:rPr>
            </w:pPr>
            <w:r>
              <w:rPr>
                <w:rFonts w:ascii="Courier New" w:cs="Courier New" w:eastAsia="Courier New" w:hAnsi="Courier New"/>
                <w:sz w:val="16"/>
                <w:szCs w:val="16"/>
                <w:color w:val="auto"/>
              </w:rPr>
              <w:t>1999 Quarter</w:t>
            </w:r>
          </w:p>
        </w:tc>
        <w:tc>
          <w:tcPr>
            <w:tcW w:w="158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1st</w:t>
            </w:r>
          </w:p>
        </w:tc>
        <w:tc>
          <w:tcPr>
            <w:tcW w:w="1580" w:type="dxa"/>
            <w:vAlign w:val="bottom"/>
            <w:gridSpan w:val="2"/>
          </w:tcPr>
          <w:p>
            <w:pPr>
              <w:ind w:left="620"/>
              <w:spacing w:after="0"/>
              <w:rPr>
                <w:sz w:val="20"/>
                <w:szCs w:val="20"/>
                <w:color w:val="auto"/>
              </w:rPr>
            </w:pPr>
            <w:r>
              <w:rPr>
                <w:rFonts w:ascii="Courier New" w:cs="Courier New" w:eastAsia="Courier New" w:hAnsi="Courier New"/>
                <w:sz w:val="16"/>
                <w:szCs w:val="16"/>
                <w:color w:val="auto"/>
              </w:rPr>
              <w:t>2nd</w:t>
            </w:r>
          </w:p>
        </w:tc>
        <w:tc>
          <w:tcPr>
            <w:tcW w:w="1580" w:type="dxa"/>
            <w:vAlign w:val="bottom"/>
          </w:tcPr>
          <w:p>
            <w:pPr>
              <w:jc w:val="right"/>
              <w:ind w:right="602"/>
              <w:spacing w:after="0"/>
              <w:rPr>
                <w:sz w:val="20"/>
                <w:szCs w:val="20"/>
                <w:color w:val="auto"/>
              </w:rPr>
            </w:pPr>
            <w:r>
              <w:rPr>
                <w:rFonts w:ascii="Courier New" w:cs="Courier New" w:eastAsia="Courier New" w:hAnsi="Courier New"/>
                <w:sz w:val="16"/>
                <w:szCs w:val="16"/>
                <w:color w:val="auto"/>
              </w:rPr>
              <w:t>3rd</w:t>
            </w:r>
          </w:p>
        </w:tc>
        <w:tc>
          <w:tcPr>
            <w:tcW w:w="1440" w:type="dxa"/>
            <w:vAlign w:val="bottom"/>
            <w:gridSpan w:val="2"/>
          </w:tcPr>
          <w:p>
            <w:pPr>
              <w:ind w:left="620"/>
              <w:spacing w:after="0"/>
              <w:rPr>
                <w:sz w:val="20"/>
                <w:szCs w:val="20"/>
                <w:color w:val="auto"/>
              </w:rPr>
            </w:pPr>
            <w:r>
              <w:rPr>
                <w:rFonts w:ascii="Courier New" w:cs="Courier New" w:eastAsia="Courier New" w:hAnsi="Courier New"/>
                <w:sz w:val="16"/>
                <w:szCs w:val="16"/>
                <w:color w:val="auto"/>
              </w:rPr>
              <w:t>4th</w:t>
            </w:r>
          </w:p>
        </w:tc>
      </w:tr>
      <w:tr>
        <w:trPr>
          <w:trHeight w:val="179"/>
        </w:trPr>
        <w:tc>
          <w:tcPr>
            <w:tcW w:w="5340" w:type="dxa"/>
            <w:vAlign w:val="bottom"/>
          </w:tcPr>
          <w:p>
            <w:pPr>
              <w:spacing w:after="0"/>
              <w:rPr>
                <w:sz w:val="15"/>
                <w:szCs w:val="15"/>
                <w:color w:val="auto"/>
              </w:rPr>
            </w:pPr>
          </w:p>
        </w:tc>
        <w:tc>
          <w:tcPr>
            <w:tcW w:w="15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5340" w:type="dxa"/>
            <w:vAlign w:val="bottom"/>
          </w:tcPr>
          <w:p>
            <w:pPr>
              <w:spacing w:after="0"/>
              <w:rPr>
                <w:sz w:val="20"/>
                <w:szCs w:val="20"/>
                <w:color w:val="auto"/>
              </w:rPr>
            </w:pPr>
            <w:r>
              <w:rPr>
                <w:rFonts w:ascii="Courier New" w:cs="Courier New" w:eastAsia="Courier New" w:hAnsi="Courier New"/>
                <w:sz w:val="16"/>
                <w:szCs w:val="16"/>
                <w:color w:val="auto"/>
                <w:w w:val="98"/>
              </w:rPr>
              <w:t>Net sales...............................................</w:t>
            </w:r>
          </w:p>
        </w:tc>
        <w:tc>
          <w:tcPr>
            <w:tcW w:w="15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$ 793.6</w:t>
            </w:r>
          </w:p>
        </w:tc>
        <w:tc>
          <w:tcPr>
            <w:tcW w:w="1580" w:type="dxa"/>
            <w:vAlign w:val="bottom"/>
            <w:gridSpan w:val="2"/>
          </w:tcPr>
          <w:p>
            <w:pPr>
              <w:jc w:val="right"/>
              <w:ind w:right="142"/>
              <w:spacing w:after="0"/>
              <w:rPr>
                <w:sz w:val="20"/>
                <w:szCs w:val="20"/>
                <w:color w:val="auto"/>
              </w:rPr>
            </w:pPr>
            <w:r>
              <w:rPr>
                <w:rFonts w:ascii="Courier New" w:cs="Courier New" w:eastAsia="Courier New" w:hAnsi="Courier New"/>
                <w:sz w:val="16"/>
                <w:szCs w:val="16"/>
                <w:color w:val="auto"/>
              </w:rPr>
              <w:t>$1,025.8</w:t>
            </w:r>
          </w:p>
        </w:tc>
        <w:tc>
          <w:tcPr>
            <w:tcW w:w="15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$ 863.8</w:t>
            </w:r>
          </w:p>
        </w:tc>
        <w:tc>
          <w:tcPr>
            <w:tcW w:w="144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$1,080.8</w:t>
            </w:r>
          </w:p>
        </w:tc>
      </w:tr>
      <w:tr>
        <w:trPr>
          <w:trHeight w:val="179"/>
        </w:trPr>
        <w:tc>
          <w:tcPr>
            <w:tcW w:w="5340" w:type="dxa"/>
            <w:vAlign w:val="bottom"/>
          </w:tcPr>
          <w:p>
            <w:pPr>
              <w:spacing w:after="0" w:line="179" w:lineRule="exact"/>
              <w:rPr>
                <w:sz w:val="20"/>
                <w:szCs w:val="20"/>
                <w:color w:val="auto"/>
              </w:rPr>
            </w:pPr>
            <w:r>
              <w:rPr>
                <w:rFonts w:ascii="Courier New" w:cs="Courier New" w:eastAsia="Courier New" w:hAnsi="Courier New"/>
                <w:sz w:val="16"/>
                <w:szCs w:val="16"/>
                <w:color w:val="auto"/>
              </w:rPr>
              <w:t>Costs and expenses:</w:t>
            </w:r>
          </w:p>
        </w:tc>
        <w:tc>
          <w:tcPr>
            <w:tcW w:w="15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53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Cost of goods sold....................................</w:t>
            </w:r>
          </w:p>
        </w:tc>
        <w:tc>
          <w:tcPr>
            <w:tcW w:w="15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677.7</w:t>
            </w:r>
          </w:p>
        </w:tc>
        <w:tc>
          <w:tcPr>
            <w:tcW w:w="740" w:type="dxa"/>
            <w:vAlign w:val="bottom"/>
          </w:tcPr>
          <w:p>
            <w:pPr>
              <w:spacing w:after="0"/>
              <w:rPr>
                <w:sz w:val="15"/>
                <w:szCs w:val="15"/>
                <w:color w:val="auto"/>
              </w:rPr>
            </w:pPr>
          </w:p>
        </w:tc>
        <w:tc>
          <w:tcPr>
            <w:tcW w:w="8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745.1</w:t>
            </w:r>
          </w:p>
        </w:tc>
        <w:tc>
          <w:tcPr>
            <w:tcW w:w="15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674.8</w:t>
            </w:r>
          </w:p>
        </w:tc>
        <w:tc>
          <w:tcPr>
            <w:tcW w:w="70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852.8</w:t>
            </w:r>
          </w:p>
        </w:tc>
      </w:tr>
      <w:tr>
        <w:trPr>
          <w:trHeight w:val="179"/>
        </w:trPr>
        <w:tc>
          <w:tcPr>
            <w:tcW w:w="53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Selling, general and administrative...................</w:t>
            </w:r>
          </w:p>
        </w:tc>
        <w:tc>
          <w:tcPr>
            <w:tcW w:w="15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103.0</w:t>
            </w:r>
          </w:p>
        </w:tc>
        <w:tc>
          <w:tcPr>
            <w:tcW w:w="740" w:type="dxa"/>
            <w:vAlign w:val="bottom"/>
          </w:tcPr>
          <w:p>
            <w:pPr>
              <w:spacing w:after="0"/>
              <w:rPr>
                <w:sz w:val="15"/>
                <w:szCs w:val="15"/>
                <w:color w:val="auto"/>
              </w:rPr>
            </w:pPr>
          </w:p>
        </w:tc>
        <w:tc>
          <w:tcPr>
            <w:tcW w:w="8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125.5</w:t>
            </w:r>
          </w:p>
        </w:tc>
        <w:tc>
          <w:tcPr>
            <w:tcW w:w="15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124.1</w:t>
            </w:r>
          </w:p>
        </w:tc>
        <w:tc>
          <w:tcPr>
            <w:tcW w:w="70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133.4</w:t>
            </w:r>
          </w:p>
        </w:tc>
      </w:tr>
      <w:tr>
        <w:trPr>
          <w:trHeight w:val="179"/>
        </w:trPr>
        <w:tc>
          <w:tcPr>
            <w:tcW w:w="53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Research and development..............................</w:t>
            </w:r>
          </w:p>
        </w:tc>
        <w:tc>
          <w:tcPr>
            <w:tcW w:w="15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67.7</w:t>
            </w:r>
          </w:p>
        </w:tc>
        <w:tc>
          <w:tcPr>
            <w:tcW w:w="740" w:type="dxa"/>
            <w:vAlign w:val="bottom"/>
          </w:tcPr>
          <w:p>
            <w:pPr>
              <w:spacing w:after="0"/>
              <w:rPr>
                <w:sz w:val="15"/>
                <w:szCs w:val="15"/>
                <w:color w:val="auto"/>
              </w:rPr>
            </w:pPr>
          </w:p>
        </w:tc>
        <w:tc>
          <w:tcPr>
            <w:tcW w:w="8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85.5</w:t>
            </w:r>
          </w:p>
        </w:tc>
        <w:tc>
          <w:tcPr>
            <w:tcW w:w="15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81.6</w:t>
            </w:r>
          </w:p>
        </w:tc>
        <w:tc>
          <w:tcPr>
            <w:tcW w:w="70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87.3</w:t>
            </w:r>
          </w:p>
        </w:tc>
      </w:tr>
      <w:tr>
        <w:trPr>
          <w:trHeight w:val="179"/>
        </w:trPr>
        <w:tc>
          <w:tcPr>
            <w:tcW w:w="53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Other operating expense, net..........................</w:t>
            </w:r>
          </w:p>
        </w:tc>
        <w:tc>
          <w:tcPr>
            <w:tcW w:w="15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7.8</w:t>
            </w:r>
          </w:p>
        </w:tc>
        <w:tc>
          <w:tcPr>
            <w:tcW w:w="740" w:type="dxa"/>
            <w:vAlign w:val="bottom"/>
          </w:tcPr>
          <w:p>
            <w:pPr>
              <w:spacing w:after="0"/>
              <w:rPr>
                <w:sz w:val="15"/>
                <w:szCs w:val="15"/>
                <w:color w:val="auto"/>
              </w:rPr>
            </w:pPr>
          </w:p>
        </w:tc>
        <w:tc>
          <w:tcPr>
            <w:tcW w:w="8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18.4</w:t>
            </w:r>
          </w:p>
        </w:tc>
        <w:tc>
          <w:tcPr>
            <w:tcW w:w="15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11.1</w:t>
            </w:r>
          </w:p>
        </w:tc>
        <w:tc>
          <w:tcPr>
            <w:tcW w:w="70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15.2</w:t>
            </w:r>
          </w:p>
        </w:tc>
      </w:tr>
      <w:tr>
        <w:trPr>
          <w:trHeight w:val="179"/>
        </w:trPr>
        <w:tc>
          <w:tcPr>
            <w:tcW w:w="5340" w:type="dxa"/>
            <w:vAlign w:val="bottom"/>
          </w:tcPr>
          <w:p>
            <w:pPr>
              <w:spacing w:after="0"/>
              <w:rPr>
                <w:sz w:val="15"/>
                <w:szCs w:val="15"/>
                <w:color w:val="auto"/>
              </w:rPr>
            </w:pPr>
          </w:p>
        </w:tc>
        <w:tc>
          <w:tcPr>
            <w:tcW w:w="15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3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Total costs and expenses...........................</w:t>
            </w:r>
          </w:p>
        </w:tc>
        <w:tc>
          <w:tcPr>
            <w:tcW w:w="15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856.2</w:t>
            </w:r>
          </w:p>
        </w:tc>
        <w:tc>
          <w:tcPr>
            <w:tcW w:w="740" w:type="dxa"/>
            <w:vAlign w:val="bottom"/>
          </w:tcPr>
          <w:p>
            <w:pPr>
              <w:spacing w:after="0"/>
              <w:rPr>
                <w:sz w:val="15"/>
                <w:szCs w:val="15"/>
                <w:color w:val="auto"/>
              </w:rPr>
            </w:pPr>
          </w:p>
        </w:tc>
        <w:tc>
          <w:tcPr>
            <w:tcW w:w="8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974.5</w:t>
            </w:r>
          </w:p>
        </w:tc>
        <w:tc>
          <w:tcPr>
            <w:tcW w:w="15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891.6</w:t>
            </w:r>
          </w:p>
        </w:tc>
        <w:tc>
          <w:tcPr>
            <w:tcW w:w="70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5"/>
              </w:rPr>
              <w:t>1,088.7</w:t>
            </w:r>
          </w:p>
        </w:tc>
      </w:tr>
      <w:tr>
        <w:trPr>
          <w:trHeight w:val="179"/>
        </w:trPr>
        <w:tc>
          <w:tcPr>
            <w:tcW w:w="5340" w:type="dxa"/>
            <w:vAlign w:val="bottom"/>
          </w:tcPr>
          <w:p>
            <w:pPr>
              <w:spacing w:after="0"/>
              <w:rPr>
                <w:sz w:val="15"/>
                <w:szCs w:val="15"/>
                <w:color w:val="auto"/>
              </w:rPr>
            </w:pPr>
          </w:p>
        </w:tc>
        <w:tc>
          <w:tcPr>
            <w:tcW w:w="15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534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6"/>
              </w:rPr>
              <w:t>Operating income (loss).................................</w:t>
            </w:r>
          </w:p>
        </w:tc>
        <w:tc>
          <w:tcPr>
            <w:tcW w:w="15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(62.6)</w:t>
            </w:r>
          </w:p>
        </w:tc>
        <w:tc>
          <w:tcPr>
            <w:tcW w:w="740" w:type="dxa"/>
            <w:vAlign w:val="bottom"/>
          </w:tcPr>
          <w:p>
            <w:pPr>
              <w:spacing w:after="0"/>
              <w:rPr>
                <w:sz w:val="24"/>
                <w:szCs w:val="24"/>
                <w:color w:val="auto"/>
              </w:rPr>
            </w:pPr>
          </w:p>
        </w:tc>
        <w:tc>
          <w:tcPr>
            <w:tcW w:w="84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51.3</w:t>
            </w:r>
          </w:p>
        </w:tc>
        <w:tc>
          <w:tcPr>
            <w:tcW w:w="15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(27.8)</w:t>
            </w:r>
          </w:p>
        </w:tc>
        <w:tc>
          <w:tcPr>
            <w:tcW w:w="7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(7.9)</w:t>
            </w:r>
          </w:p>
        </w:tc>
      </w:tr>
      <w:tr>
        <w:trPr>
          <w:trHeight w:val="179"/>
        </w:trPr>
        <w:tc>
          <w:tcPr>
            <w:tcW w:w="5340" w:type="dxa"/>
            <w:vAlign w:val="bottom"/>
          </w:tcPr>
          <w:p>
            <w:pPr>
              <w:spacing w:after="0" w:line="179" w:lineRule="exact"/>
              <w:rPr>
                <w:sz w:val="20"/>
                <w:szCs w:val="20"/>
                <w:color w:val="auto"/>
              </w:rPr>
            </w:pPr>
            <w:r>
              <w:rPr>
                <w:rFonts w:ascii="Courier New" w:cs="Courier New" w:eastAsia="Courier New" w:hAnsi="Courier New"/>
                <w:sz w:val="16"/>
                <w:szCs w:val="16"/>
                <w:color w:val="auto"/>
              </w:rPr>
              <w:t>Loss on sale of investments and subsidiary</w:t>
            </w:r>
          </w:p>
        </w:tc>
        <w:tc>
          <w:tcPr>
            <w:tcW w:w="15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53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stock, net.............................................</w:t>
            </w:r>
          </w:p>
        </w:tc>
        <w:tc>
          <w:tcPr>
            <w:tcW w:w="15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(0.1)</w:t>
            </w:r>
          </w:p>
        </w:tc>
        <w:tc>
          <w:tcPr>
            <w:tcW w:w="740" w:type="dxa"/>
            <w:vAlign w:val="bottom"/>
          </w:tcPr>
          <w:p>
            <w:pPr>
              <w:spacing w:after="0"/>
              <w:rPr>
                <w:sz w:val="15"/>
                <w:szCs w:val="15"/>
                <w:color w:val="auto"/>
              </w:rPr>
            </w:pPr>
          </w:p>
        </w:tc>
        <w:tc>
          <w:tcPr>
            <w:tcW w:w="8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70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3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6"/>
              </w:rPr>
              <w:t>Gain on issuance of subsidiary stock, net...............</w:t>
            </w:r>
          </w:p>
        </w:tc>
        <w:tc>
          <w:tcPr>
            <w:tcW w:w="15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1.1</w:t>
            </w:r>
          </w:p>
        </w:tc>
        <w:tc>
          <w:tcPr>
            <w:tcW w:w="740" w:type="dxa"/>
            <w:vAlign w:val="bottom"/>
          </w:tcPr>
          <w:p>
            <w:pPr>
              <w:spacing w:after="0"/>
              <w:rPr>
                <w:sz w:val="15"/>
                <w:szCs w:val="15"/>
                <w:color w:val="auto"/>
              </w:rPr>
            </w:pPr>
          </w:p>
        </w:tc>
        <w:tc>
          <w:tcPr>
            <w:tcW w:w="8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0.4</w:t>
            </w:r>
          </w:p>
        </w:tc>
        <w:tc>
          <w:tcPr>
            <w:tcW w:w="15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70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0.6</w:t>
            </w:r>
          </w:p>
        </w:tc>
      </w:tr>
      <w:tr>
        <w:trPr>
          <w:trHeight w:val="179"/>
        </w:trPr>
        <w:tc>
          <w:tcPr>
            <w:tcW w:w="53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6"/>
              </w:rPr>
              <w:t>Interest expense, net...................................</w:t>
            </w:r>
          </w:p>
        </w:tc>
        <w:tc>
          <w:tcPr>
            <w:tcW w:w="15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(7.9)</w:t>
            </w:r>
          </w:p>
        </w:tc>
        <w:tc>
          <w:tcPr>
            <w:tcW w:w="740" w:type="dxa"/>
            <w:vAlign w:val="bottom"/>
          </w:tcPr>
          <w:p>
            <w:pPr>
              <w:spacing w:after="0"/>
              <w:rPr>
                <w:sz w:val="15"/>
                <w:szCs w:val="15"/>
                <w:color w:val="auto"/>
              </w:rPr>
            </w:pPr>
          </w:p>
        </w:tc>
        <w:tc>
          <w:tcPr>
            <w:tcW w:w="8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(11.7)</w:t>
            </w:r>
          </w:p>
        </w:tc>
        <w:tc>
          <w:tcPr>
            <w:tcW w:w="15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(14.4)</w:t>
            </w:r>
          </w:p>
        </w:tc>
        <w:tc>
          <w:tcPr>
            <w:tcW w:w="700" w:type="dxa"/>
            <w:vAlign w:val="bottom"/>
          </w:tcPr>
          <w:p>
            <w:pPr>
              <w:spacing w:after="0"/>
              <w:rPr>
                <w:sz w:val="15"/>
                <w:szCs w:val="15"/>
                <w:color w:val="auto"/>
              </w:rPr>
            </w:pP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(12.5)</w:t>
            </w:r>
          </w:p>
        </w:tc>
      </w:tr>
      <w:tr>
        <w:trPr>
          <w:trHeight w:val="179"/>
        </w:trPr>
        <w:tc>
          <w:tcPr>
            <w:tcW w:w="5340" w:type="dxa"/>
            <w:vAlign w:val="bottom"/>
          </w:tcPr>
          <w:p>
            <w:pPr>
              <w:spacing w:after="0"/>
              <w:rPr>
                <w:sz w:val="15"/>
                <w:szCs w:val="15"/>
                <w:color w:val="auto"/>
              </w:rPr>
            </w:pPr>
          </w:p>
        </w:tc>
        <w:tc>
          <w:tcPr>
            <w:tcW w:w="15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3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6"/>
              </w:rPr>
              <w:t>Income (loss) before income taxes.......................</w:t>
            </w:r>
          </w:p>
        </w:tc>
        <w:tc>
          <w:tcPr>
            <w:tcW w:w="15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(69.5)</w:t>
            </w:r>
          </w:p>
        </w:tc>
        <w:tc>
          <w:tcPr>
            <w:tcW w:w="740" w:type="dxa"/>
            <w:vAlign w:val="bottom"/>
          </w:tcPr>
          <w:p>
            <w:pPr>
              <w:spacing w:after="0"/>
              <w:rPr>
                <w:sz w:val="15"/>
                <w:szCs w:val="15"/>
                <w:color w:val="auto"/>
              </w:rPr>
            </w:pPr>
          </w:p>
        </w:tc>
        <w:tc>
          <w:tcPr>
            <w:tcW w:w="8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40.0</w:t>
            </w:r>
          </w:p>
        </w:tc>
        <w:tc>
          <w:tcPr>
            <w:tcW w:w="15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(42.2)</w:t>
            </w:r>
          </w:p>
        </w:tc>
        <w:tc>
          <w:tcPr>
            <w:tcW w:w="700" w:type="dxa"/>
            <w:vAlign w:val="bottom"/>
          </w:tcPr>
          <w:p>
            <w:pPr>
              <w:spacing w:after="0"/>
              <w:rPr>
                <w:sz w:val="15"/>
                <w:szCs w:val="15"/>
                <w:color w:val="auto"/>
              </w:rPr>
            </w:pP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(19.8)</w:t>
            </w:r>
          </w:p>
        </w:tc>
      </w:tr>
      <w:tr>
        <w:trPr>
          <w:trHeight w:val="358"/>
        </w:trPr>
        <w:tc>
          <w:tcPr>
            <w:tcW w:w="534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6"/>
              </w:rPr>
              <w:t>Income tax benefit (provision)..........................</w:t>
            </w:r>
          </w:p>
        </w:tc>
        <w:tc>
          <w:tcPr>
            <w:tcW w:w="15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27.6</w:t>
            </w:r>
          </w:p>
        </w:tc>
        <w:tc>
          <w:tcPr>
            <w:tcW w:w="740" w:type="dxa"/>
            <w:vAlign w:val="bottom"/>
          </w:tcPr>
          <w:p>
            <w:pPr>
              <w:spacing w:after="0"/>
              <w:rPr>
                <w:sz w:val="24"/>
                <w:szCs w:val="24"/>
                <w:color w:val="auto"/>
              </w:rPr>
            </w:pPr>
          </w:p>
        </w:tc>
        <w:tc>
          <w:tcPr>
            <w:tcW w:w="8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(16.1)</w:t>
            </w:r>
          </w:p>
        </w:tc>
        <w:tc>
          <w:tcPr>
            <w:tcW w:w="15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17.1</w:t>
            </w:r>
          </w:p>
        </w:tc>
        <w:tc>
          <w:tcPr>
            <w:tcW w:w="700" w:type="dxa"/>
            <w:vAlign w:val="bottom"/>
          </w:tcPr>
          <w:p>
            <w:pPr>
              <w:spacing w:after="0"/>
              <w:rPr>
                <w:sz w:val="24"/>
                <w:szCs w:val="24"/>
                <w:color w:val="auto"/>
              </w:rPr>
            </w:pPr>
          </w:p>
        </w:tc>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rPr>
              <w:t>7.4</w:t>
            </w:r>
          </w:p>
        </w:tc>
      </w:tr>
      <w:tr>
        <w:trPr>
          <w:trHeight w:val="179"/>
        </w:trPr>
        <w:tc>
          <w:tcPr>
            <w:tcW w:w="53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6"/>
              </w:rPr>
              <w:t>Minority interests......................................</w:t>
            </w:r>
          </w:p>
        </w:tc>
        <w:tc>
          <w:tcPr>
            <w:tcW w:w="15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(4.3)</w:t>
            </w:r>
          </w:p>
        </w:tc>
        <w:tc>
          <w:tcPr>
            <w:tcW w:w="740" w:type="dxa"/>
            <w:vAlign w:val="bottom"/>
          </w:tcPr>
          <w:p>
            <w:pPr>
              <w:spacing w:after="0"/>
              <w:rPr>
                <w:sz w:val="15"/>
                <w:szCs w:val="15"/>
                <w:color w:val="auto"/>
              </w:rPr>
            </w:pPr>
          </w:p>
        </w:tc>
        <w:tc>
          <w:tcPr>
            <w:tcW w:w="8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(1.5)</w:t>
            </w:r>
          </w:p>
        </w:tc>
        <w:tc>
          <w:tcPr>
            <w:tcW w:w="15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(2.6)</w:t>
            </w:r>
          </w:p>
        </w:tc>
        <w:tc>
          <w:tcPr>
            <w:tcW w:w="700" w:type="dxa"/>
            <w:vAlign w:val="bottom"/>
          </w:tcPr>
          <w:p>
            <w:pPr>
              <w:spacing w:after="0"/>
              <w:rPr>
                <w:sz w:val="15"/>
                <w:szCs w:val="15"/>
                <w:color w:val="auto"/>
              </w:rPr>
            </w:pP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(5.0)</w:t>
            </w:r>
          </w:p>
        </w:tc>
      </w:tr>
      <w:tr>
        <w:trPr>
          <w:trHeight w:val="179"/>
        </w:trPr>
        <w:tc>
          <w:tcPr>
            <w:tcW w:w="5340" w:type="dxa"/>
            <w:vAlign w:val="bottom"/>
          </w:tcPr>
          <w:p>
            <w:pPr>
              <w:spacing w:after="0"/>
              <w:rPr>
                <w:sz w:val="15"/>
                <w:szCs w:val="15"/>
                <w:color w:val="auto"/>
              </w:rPr>
            </w:pPr>
          </w:p>
        </w:tc>
        <w:tc>
          <w:tcPr>
            <w:tcW w:w="15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3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6"/>
              </w:rPr>
              <w:t>Net income (loss).......................................</w:t>
            </w:r>
          </w:p>
        </w:tc>
        <w:tc>
          <w:tcPr>
            <w:tcW w:w="15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 (46.2)</w:t>
            </w:r>
          </w:p>
        </w:tc>
        <w:tc>
          <w:tcPr>
            <w:tcW w:w="740" w:type="dxa"/>
            <w:vAlign w:val="bottom"/>
          </w:tcPr>
          <w:p>
            <w:pPr>
              <w:ind w:left="620"/>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22.4</w:t>
            </w:r>
          </w:p>
        </w:tc>
        <w:tc>
          <w:tcPr>
            <w:tcW w:w="15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 (27.7)</w:t>
            </w:r>
          </w:p>
        </w:tc>
        <w:tc>
          <w:tcPr>
            <w:tcW w:w="700" w:type="dxa"/>
            <w:vAlign w:val="bottom"/>
          </w:tcPr>
          <w:p>
            <w:pPr>
              <w:ind w:left="620"/>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(17.4)</w:t>
            </w:r>
          </w:p>
        </w:tc>
      </w:tr>
      <w:tr>
        <w:trPr>
          <w:trHeight w:val="179"/>
        </w:trPr>
        <w:tc>
          <w:tcPr>
            <w:tcW w:w="5340" w:type="dxa"/>
            <w:vAlign w:val="bottom"/>
          </w:tcPr>
          <w:p>
            <w:pPr>
              <w:spacing w:after="0"/>
              <w:rPr>
                <w:sz w:val="15"/>
                <w:szCs w:val="15"/>
                <w:color w:val="auto"/>
              </w:rPr>
            </w:pPr>
          </w:p>
        </w:tc>
        <w:tc>
          <w:tcPr>
            <w:tcW w:w="15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3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6"/>
              </w:rPr>
              <w:t>Diluted earnings (loss) per share.......................</w:t>
            </w:r>
          </w:p>
        </w:tc>
        <w:tc>
          <w:tcPr>
            <w:tcW w:w="15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 (0.19)</w:t>
            </w:r>
          </w:p>
        </w:tc>
        <w:tc>
          <w:tcPr>
            <w:tcW w:w="740" w:type="dxa"/>
            <w:vAlign w:val="bottom"/>
          </w:tcPr>
          <w:p>
            <w:pPr>
              <w:ind w:left="620"/>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0.08</w:t>
            </w:r>
          </w:p>
        </w:tc>
        <w:tc>
          <w:tcPr>
            <w:tcW w:w="15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 (0.10)</w:t>
            </w:r>
          </w:p>
        </w:tc>
        <w:tc>
          <w:tcPr>
            <w:tcW w:w="700" w:type="dxa"/>
            <w:vAlign w:val="bottom"/>
          </w:tcPr>
          <w:p>
            <w:pPr>
              <w:ind w:left="620"/>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(0.07)</w:t>
            </w:r>
          </w:p>
        </w:tc>
      </w:tr>
      <w:tr>
        <w:trPr>
          <w:trHeight w:val="179"/>
        </w:trPr>
        <w:tc>
          <w:tcPr>
            <w:tcW w:w="5340" w:type="dxa"/>
            <w:vAlign w:val="bottom"/>
          </w:tcPr>
          <w:p>
            <w:pPr>
              <w:spacing w:after="0" w:line="179" w:lineRule="exact"/>
              <w:rPr>
                <w:sz w:val="20"/>
                <w:szCs w:val="20"/>
                <w:color w:val="auto"/>
              </w:rPr>
            </w:pPr>
            <w:r>
              <w:rPr>
                <w:rFonts w:ascii="Courier New" w:cs="Courier New" w:eastAsia="Courier New" w:hAnsi="Courier New"/>
                <w:sz w:val="16"/>
                <w:szCs w:val="16"/>
                <w:color w:val="auto"/>
              </w:rPr>
              <w:t>Quarterly stock price:</w:t>
            </w:r>
          </w:p>
        </w:tc>
        <w:tc>
          <w:tcPr>
            <w:tcW w:w="15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53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High..................................................</w:t>
            </w:r>
          </w:p>
        </w:tc>
        <w:tc>
          <w:tcPr>
            <w:tcW w:w="15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$47.625</w:t>
            </w:r>
          </w:p>
        </w:tc>
        <w:tc>
          <w:tcPr>
            <w:tcW w:w="158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$ 79.500</w:t>
            </w:r>
          </w:p>
        </w:tc>
        <w:tc>
          <w:tcPr>
            <w:tcW w:w="15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$59.937</w:t>
            </w:r>
          </w:p>
        </w:tc>
        <w:tc>
          <w:tcPr>
            <w:tcW w:w="144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$ 75.250</w:t>
            </w:r>
          </w:p>
        </w:tc>
      </w:tr>
      <w:tr>
        <w:trPr>
          <w:trHeight w:val="179"/>
        </w:trPr>
        <w:tc>
          <w:tcPr>
            <w:tcW w:w="53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Low...................................................</w:t>
            </w:r>
          </w:p>
        </w:tc>
        <w:tc>
          <w:tcPr>
            <w:tcW w:w="15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25.062</w:t>
            </w:r>
          </w:p>
        </w:tc>
        <w:tc>
          <w:tcPr>
            <w:tcW w:w="740" w:type="dxa"/>
            <w:vAlign w:val="bottom"/>
          </w:tcPr>
          <w:p>
            <w:pPr>
              <w:spacing w:after="0"/>
              <w:rPr>
                <w:sz w:val="15"/>
                <w:szCs w:val="15"/>
                <w:color w:val="auto"/>
              </w:rPr>
            </w:pPr>
          </w:p>
        </w:tc>
        <w:tc>
          <w:tcPr>
            <w:tcW w:w="8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46.875</w:t>
            </w:r>
          </w:p>
        </w:tc>
        <w:tc>
          <w:tcPr>
            <w:tcW w:w="15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34.500</w:t>
            </w:r>
          </w:p>
        </w:tc>
        <w:tc>
          <w:tcPr>
            <w:tcW w:w="70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38.063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340" w:type="dxa"/>
            <w:vAlign w:val="bottom"/>
          </w:tcPr>
          <w:p>
            <w:pPr>
              <w:spacing w:after="0"/>
              <w:rPr>
                <w:sz w:val="20"/>
                <w:szCs w:val="20"/>
                <w:color w:val="auto"/>
              </w:rPr>
            </w:pPr>
            <w:r>
              <w:rPr>
                <w:rFonts w:ascii="Courier New" w:cs="Courier New" w:eastAsia="Courier New" w:hAnsi="Courier New"/>
                <w:sz w:val="16"/>
                <w:szCs w:val="16"/>
                <w:color w:val="auto"/>
              </w:rPr>
              <w:t>1998 Quarter</w:t>
            </w:r>
          </w:p>
        </w:tc>
        <w:tc>
          <w:tcPr>
            <w:tcW w:w="1580" w:type="dxa"/>
            <w:vAlign w:val="bottom"/>
            <w:gridSpan w:val="2"/>
          </w:tcPr>
          <w:p>
            <w:pPr>
              <w:jc w:val="center"/>
              <w:ind w:right="22"/>
              <w:spacing w:after="0"/>
              <w:rPr>
                <w:sz w:val="20"/>
                <w:szCs w:val="20"/>
                <w:color w:val="auto"/>
              </w:rPr>
            </w:pPr>
            <w:r>
              <w:rPr>
                <w:rFonts w:ascii="Courier New" w:cs="Courier New" w:eastAsia="Courier New" w:hAnsi="Courier New"/>
                <w:sz w:val="16"/>
                <w:szCs w:val="16"/>
                <w:color w:val="auto"/>
                <w:w w:val="97"/>
              </w:rPr>
              <w:t>1st</w:t>
            </w:r>
          </w:p>
        </w:tc>
        <w:tc>
          <w:tcPr>
            <w:tcW w:w="1580" w:type="dxa"/>
            <w:vAlign w:val="bottom"/>
            <w:gridSpan w:val="2"/>
          </w:tcPr>
          <w:p>
            <w:pPr>
              <w:ind w:left="620"/>
              <w:spacing w:after="0"/>
              <w:rPr>
                <w:sz w:val="20"/>
                <w:szCs w:val="20"/>
                <w:color w:val="auto"/>
              </w:rPr>
            </w:pPr>
            <w:r>
              <w:rPr>
                <w:rFonts w:ascii="Courier New" w:cs="Courier New" w:eastAsia="Courier New" w:hAnsi="Courier New"/>
                <w:sz w:val="16"/>
                <w:szCs w:val="16"/>
                <w:color w:val="auto"/>
              </w:rPr>
              <w:t>2nd</w:t>
            </w:r>
          </w:p>
        </w:tc>
        <w:tc>
          <w:tcPr>
            <w:tcW w:w="1580" w:type="dxa"/>
            <w:vAlign w:val="bottom"/>
            <w:gridSpan w:val="2"/>
          </w:tcPr>
          <w:p>
            <w:pPr>
              <w:ind w:left="620"/>
              <w:spacing w:after="0"/>
              <w:rPr>
                <w:sz w:val="20"/>
                <w:szCs w:val="20"/>
                <w:color w:val="auto"/>
              </w:rPr>
            </w:pPr>
            <w:r>
              <w:rPr>
                <w:rFonts w:ascii="Courier New" w:cs="Courier New" w:eastAsia="Courier New" w:hAnsi="Courier New"/>
                <w:sz w:val="16"/>
                <w:szCs w:val="16"/>
                <w:color w:val="auto"/>
              </w:rPr>
              <w:t>3rd</w:t>
            </w:r>
          </w:p>
        </w:tc>
        <w:tc>
          <w:tcPr>
            <w:tcW w:w="1440" w:type="dxa"/>
            <w:vAlign w:val="bottom"/>
            <w:gridSpan w:val="2"/>
          </w:tcPr>
          <w:p>
            <w:pPr>
              <w:ind w:left="620"/>
              <w:spacing w:after="0"/>
              <w:rPr>
                <w:sz w:val="20"/>
                <w:szCs w:val="20"/>
                <w:color w:val="auto"/>
              </w:rPr>
            </w:pPr>
            <w:r>
              <w:rPr>
                <w:rFonts w:ascii="Courier New" w:cs="Courier New" w:eastAsia="Courier New" w:hAnsi="Courier New"/>
                <w:sz w:val="16"/>
                <w:szCs w:val="16"/>
                <w:color w:val="auto"/>
              </w:rPr>
              <w:t>4th</w:t>
            </w:r>
          </w:p>
        </w:tc>
      </w:tr>
      <w:tr>
        <w:trPr>
          <w:trHeight w:val="179"/>
        </w:trPr>
        <w:tc>
          <w:tcPr>
            <w:tcW w:w="5340" w:type="dxa"/>
            <w:vAlign w:val="bottom"/>
          </w:tcPr>
          <w:p>
            <w:pPr>
              <w:spacing w:after="0"/>
              <w:rPr>
                <w:sz w:val="15"/>
                <w:szCs w:val="15"/>
                <w:color w:val="auto"/>
              </w:rPr>
            </w:pPr>
          </w:p>
        </w:tc>
        <w:tc>
          <w:tcPr>
            <w:tcW w:w="15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5340" w:type="dxa"/>
            <w:vAlign w:val="bottom"/>
          </w:tcPr>
          <w:p>
            <w:pPr>
              <w:spacing w:after="0"/>
              <w:rPr>
                <w:sz w:val="20"/>
                <w:szCs w:val="20"/>
                <w:color w:val="auto"/>
              </w:rPr>
            </w:pPr>
            <w:r>
              <w:rPr>
                <w:rFonts w:ascii="Courier New" w:cs="Courier New" w:eastAsia="Courier New" w:hAnsi="Courier New"/>
                <w:sz w:val="16"/>
                <w:szCs w:val="16"/>
                <w:color w:val="auto"/>
                <w:w w:val="98"/>
              </w:rPr>
              <w:t>Net sales...............................................</w:t>
            </w:r>
          </w:p>
        </w:tc>
        <w:tc>
          <w:tcPr>
            <w:tcW w:w="1580" w:type="dxa"/>
            <w:vAlign w:val="bottom"/>
            <w:gridSpan w:val="2"/>
          </w:tcPr>
          <w:p>
            <w:pPr>
              <w:jc w:val="right"/>
              <w:ind w:right="142"/>
              <w:spacing w:after="0"/>
              <w:rPr>
                <w:sz w:val="20"/>
                <w:szCs w:val="20"/>
                <w:color w:val="auto"/>
              </w:rPr>
            </w:pPr>
            <w:r>
              <w:rPr>
                <w:rFonts w:ascii="Courier New" w:cs="Courier New" w:eastAsia="Courier New" w:hAnsi="Courier New"/>
                <w:sz w:val="16"/>
                <w:szCs w:val="16"/>
                <w:color w:val="auto"/>
              </w:rPr>
              <w:t>$ 957.3</w:t>
            </w:r>
          </w:p>
        </w:tc>
        <w:tc>
          <w:tcPr>
            <w:tcW w:w="740" w:type="dxa"/>
            <w:vAlign w:val="bottom"/>
          </w:tcPr>
          <w:p>
            <w:pPr>
              <w:ind w:left="620"/>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763.2</w:t>
            </w:r>
          </w:p>
        </w:tc>
        <w:tc>
          <w:tcPr>
            <w:tcW w:w="760" w:type="dxa"/>
            <w:vAlign w:val="bottom"/>
          </w:tcPr>
          <w:p>
            <w:pPr>
              <w:ind w:left="620"/>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612.7</w:t>
            </w:r>
          </w:p>
        </w:tc>
        <w:tc>
          <w:tcPr>
            <w:tcW w:w="760" w:type="dxa"/>
            <w:vAlign w:val="bottom"/>
          </w:tcPr>
          <w:p>
            <w:pPr>
              <w:ind w:left="620"/>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2"/>
              <w:spacing w:after="0"/>
              <w:rPr>
                <w:sz w:val="20"/>
                <w:szCs w:val="20"/>
                <w:color w:val="auto"/>
              </w:rPr>
            </w:pPr>
            <w:r>
              <w:rPr>
                <w:rFonts w:ascii="Courier New" w:cs="Courier New" w:eastAsia="Courier New" w:hAnsi="Courier New"/>
                <w:sz w:val="16"/>
                <w:szCs w:val="16"/>
                <w:color w:val="auto"/>
              </w:rPr>
              <w:t>692.1</w:t>
            </w:r>
          </w:p>
        </w:tc>
      </w:tr>
      <w:tr>
        <w:trPr>
          <w:trHeight w:val="179"/>
        </w:trPr>
        <w:tc>
          <w:tcPr>
            <w:tcW w:w="5340" w:type="dxa"/>
            <w:vAlign w:val="bottom"/>
          </w:tcPr>
          <w:p>
            <w:pPr>
              <w:spacing w:after="0" w:line="179" w:lineRule="exact"/>
              <w:rPr>
                <w:sz w:val="20"/>
                <w:szCs w:val="20"/>
                <w:color w:val="auto"/>
              </w:rPr>
            </w:pPr>
            <w:r>
              <w:rPr>
                <w:rFonts w:ascii="Courier New" w:cs="Courier New" w:eastAsia="Courier New" w:hAnsi="Courier New"/>
                <w:sz w:val="16"/>
                <w:szCs w:val="16"/>
                <w:color w:val="auto"/>
              </w:rPr>
              <w:t>Costs and expenses:</w:t>
            </w: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9"/>
        </w:trPr>
        <w:tc>
          <w:tcPr>
            <w:tcW w:w="53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Cost of goods sold....................................</w:t>
            </w:r>
          </w:p>
        </w:tc>
        <w:tc>
          <w:tcPr>
            <w:tcW w:w="800" w:type="dxa"/>
            <w:vAlign w:val="bottom"/>
          </w:tcPr>
          <w:p>
            <w:pPr>
              <w:spacing w:after="0"/>
              <w:rPr>
                <w:sz w:val="15"/>
                <w:szCs w:val="15"/>
                <w:color w:val="auto"/>
              </w:rPr>
            </w:pPr>
          </w:p>
        </w:tc>
        <w:tc>
          <w:tcPr>
            <w:tcW w:w="7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747.1</w:t>
            </w:r>
          </w:p>
        </w:tc>
        <w:tc>
          <w:tcPr>
            <w:tcW w:w="740" w:type="dxa"/>
            <w:vAlign w:val="bottom"/>
          </w:tcPr>
          <w:p>
            <w:pPr>
              <w:spacing w:after="0"/>
              <w:rPr>
                <w:sz w:val="15"/>
                <w:szCs w:val="15"/>
                <w:color w:val="auto"/>
              </w:rPr>
            </w:pPr>
          </w:p>
        </w:tc>
        <w:tc>
          <w:tcPr>
            <w:tcW w:w="8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740.5</w:t>
            </w:r>
          </w:p>
        </w:tc>
        <w:tc>
          <w:tcPr>
            <w:tcW w:w="760" w:type="dxa"/>
            <w:vAlign w:val="bottom"/>
          </w:tcPr>
          <w:p>
            <w:pPr>
              <w:spacing w:after="0"/>
              <w:rPr>
                <w:sz w:val="15"/>
                <w:szCs w:val="15"/>
                <w:color w:val="auto"/>
              </w:rPr>
            </w:pPr>
          </w:p>
        </w:tc>
        <w:tc>
          <w:tcPr>
            <w:tcW w:w="8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606.0</w:t>
            </w:r>
          </w:p>
        </w:tc>
        <w:tc>
          <w:tcPr>
            <w:tcW w:w="760" w:type="dxa"/>
            <w:vAlign w:val="bottom"/>
          </w:tcPr>
          <w:p>
            <w:pPr>
              <w:spacing w:after="0"/>
              <w:rPr>
                <w:sz w:val="15"/>
                <w:szCs w:val="15"/>
                <w:color w:val="auto"/>
              </w:rPr>
            </w:pPr>
          </w:p>
        </w:tc>
        <w:tc>
          <w:tcPr>
            <w:tcW w:w="6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651.3</w:t>
            </w:r>
          </w:p>
        </w:tc>
      </w:tr>
      <w:tr>
        <w:trPr>
          <w:trHeight w:val="179"/>
        </w:trPr>
        <w:tc>
          <w:tcPr>
            <w:tcW w:w="53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Selling, general and administrative...................</w:t>
            </w:r>
          </w:p>
        </w:tc>
        <w:tc>
          <w:tcPr>
            <w:tcW w:w="800" w:type="dxa"/>
            <w:vAlign w:val="bottom"/>
          </w:tcPr>
          <w:p>
            <w:pPr>
              <w:spacing w:after="0"/>
              <w:rPr>
                <w:sz w:val="15"/>
                <w:szCs w:val="15"/>
                <w:color w:val="auto"/>
              </w:rPr>
            </w:pPr>
          </w:p>
        </w:tc>
        <w:tc>
          <w:tcPr>
            <w:tcW w:w="7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126.0</w:t>
            </w:r>
          </w:p>
        </w:tc>
        <w:tc>
          <w:tcPr>
            <w:tcW w:w="740" w:type="dxa"/>
            <w:vAlign w:val="bottom"/>
          </w:tcPr>
          <w:p>
            <w:pPr>
              <w:spacing w:after="0"/>
              <w:rPr>
                <w:sz w:val="15"/>
                <w:szCs w:val="15"/>
                <w:color w:val="auto"/>
              </w:rPr>
            </w:pPr>
          </w:p>
        </w:tc>
        <w:tc>
          <w:tcPr>
            <w:tcW w:w="8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138.6</w:t>
            </w:r>
          </w:p>
        </w:tc>
        <w:tc>
          <w:tcPr>
            <w:tcW w:w="760" w:type="dxa"/>
            <w:vAlign w:val="bottom"/>
          </w:tcPr>
          <w:p>
            <w:pPr>
              <w:spacing w:after="0"/>
              <w:rPr>
                <w:sz w:val="15"/>
                <w:szCs w:val="15"/>
                <w:color w:val="auto"/>
              </w:rPr>
            </w:pPr>
          </w:p>
        </w:tc>
        <w:tc>
          <w:tcPr>
            <w:tcW w:w="8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111.4</w:t>
            </w:r>
          </w:p>
        </w:tc>
        <w:tc>
          <w:tcPr>
            <w:tcW w:w="760" w:type="dxa"/>
            <w:vAlign w:val="bottom"/>
          </w:tcPr>
          <w:p>
            <w:pPr>
              <w:spacing w:after="0"/>
              <w:rPr>
                <w:sz w:val="15"/>
                <w:szCs w:val="15"/>
                <w:color w:val="auto"/>
              </w:rPr>
            </w:pPr>
          </w:p>
        </w:tc>
        <w:tc>
          <w:tcPr>
            <w:tcW w:w="6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100.1</w:t>
            </w:r>
          </w:p>
        </w:tc>
      </w:tr>
      <w:tr>
        <w:trPr>
          <w:trHeight w:val="179"/>
        </w:trPr>
        <w:tc>
          <w:tcPr>
            <w:tcW w:w="53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Research and development..............................</w:t>
            </w:r>
          </w:p>
        </w:tc>
        <w:tc>
          <w:tcPr>
            <w:tcW w:w="800" w:type="dxa"/>
            <w:vAlign w:val="bottom"/>
          </w:tcPr>
          <w:p>
            <w:pPr>
              <w:spacing w:after="0"/>
              <w:rPr>
                <w:sz w:val="15"/>
                <w:szCs w:val="15"/>
                <w:color w:val="auto"/>
              </w:rPr>
            </w:pPr>
          </w:p>
        </w:tc>
        <w:tc>
          <w:tcPr>
            <w:tcW w:w="7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67.2</w:t>
            </w:r>
          </w:p>
        </w:tc>
        <w:tc>
          <w:tcPr>
            <w:tcW w:w="740" w:type="dxa"/>
            <w:vAlign w:val="bottom"/>
          </w:tcPr>
          <w:p>
            <w:pPr>
              <w:spacing w:after="0"/>
              <w:rPr>
                <w:sz w:val="15"/>
                <w:szCs w:val="15"/>
                <w:color w:val="auto"/>
              </w:rPr>
            </w:pPr>
          </w:p>
        </w:tc>
        <w:tc>
          <w:tcPr>
            <w:tcW w:w="8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72.0</w:t>
            </w:r>
          </w:p>
        </w:tc>
        <w:tc>
          <w:tcPr>
            <w:tcW w:w="760" w:type="dxa"/>
            <w:vAlign w:val="bottom"/>
          </w:tcPr>
          <w:p>
            <w:pPr>
              <w:spacing w:after="0"/>
              <w:rPr>
                <w:sz w:val="15"/>
                <w:szCs w:val="15"/>
                <w:color w:val="auto"/>
              </w:rPr>
            </w:pPr>
          </w:p>
        </w:tc>
        <w:tc>
          <w:tcPr>
            <w:tcW w:w="8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70.7</w:t>
            </w:r>
          </w:p>
        </w:tc>
        <w:tc>
          <w:tcPr>
            <w:tcW w:w="760" w:type="dxa"/>
            <w:vAlign w:val="bottom"/>
          </w:tcPr>
          <w:p>
            <w:pPr>
              <w:spacing w:after="0"/>
              <w:rPr>
                <w:sz w:val="15"/>
                <w:szCs w:val="15"/>
                <w:color w:val="auto"/>
              </w:rPr>
            </w:pPr>
          </w:p>
        </w:tc>
        <w:tc>
          <w:tcPr>
            <w:tcW w:w="6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76.5</w:t>
            </w:r>
          </w:p>
        </w:tc>
      </w:tr>
      <w:tr>
        <w:trPr>
          <w:trHeight w:val="179"/>
        </w:trPr>
        <w:tc>
          <w:tcPr>
            <w:tcW w:w="53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Other operating expense, net..........................</w:t>
            </w:r>
          </w:p>
        </w:tc>
        <w:tc>
          <w:tcPr>
            <w:tcW w:w="800" w:type="dxa"/>
            <w:vAlign w:val="bottom"/>
          </w:tcPr>
          <w:p>
            <w:pPr>
              <w:spacing w:after="0"/>
              <w:rPr>
                <w:sz w:val="15"/>
                <w:szCs w:val="15"/>
                <w:color w:val="auto"/>
              </w:rPr>
            </w:pPr>
          </w:p>
        </w:tc>
        <w:tc>
          <w:tcPr>
            <w:tcW w:w="7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4.6</w:t>
            </w:r>
          </w:p>
        </w:tc>
        <w:tc>
          <w:tcPr>
            <w:tcW w:w="740" w:type="dxa"/>
            <w:vAlign w:val="bottom"/>
          </w:tcPr>
          <w:p>
            <w:pPr>
              <w:spacing w:after="0"/>
              <w:rPr>
                <w:sz w:val="15"/>
                <w:szCs w:val="15"/>
                <w:color w:val="auto"/>
              </w:rPr>
            </w:pPr>
          </w:p>
        </w:tc>
        <w:tc>
          <w:tcPr>
            <w:tcW w:w="8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24.2</w:t>
            </w:r>
          </w:p>
        </w:tc>
        <w:tc>
          <w:tcPr>
            <w:tcW w:w="760" w:type="dxa"/>
            <w:vAlign w:val="bottom"/>
          </w:tcPr>
          <w:p>
            <w:pPr>
              <w:spacing w:after="0"/>
              <w:rPr>
                <w:sz w:val="15"/>
                <w:szCs w:val="15"/>
                <w:color w:val="auto"/>
              </w:rPr>
            </w:pPr>
          </w:p>
        </w:tc>
        <w:tc>
          <w:tcPr>
            <w:tcW w:w="8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3.4</w:t>
            </w:r>
          </w:p>
        </w:tc>
        <w:tc>
          <w:tcPr>
            <w:tcW w:w="760" w:type="dxa"/>
            <w:vAlign w:val="bottom"/>
          </w:tcPr>
          <w:p>
            <w:pPr>
              <w:spacing w:after="0"/>
              <w:rPr>
                <w:sz w:val="15"/>
                <w:szCs w:val="15"/>
                <w:color w:val="auto"/>
              </w:rPr>
            </w:pPr>
          </w:p>
        </w:tc>
        <w:tc>
          <w:tcPr>
            <w:tcW w:w="6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2.1</w:t>
            </w:r>
          </w:p>
        </w:tc>
      </w:tr>
      <w:tr>
        <w:trPr>
          <w:trHeight w:val="179"/>
        </w:trPr>
        <w:tc>
          <w:tcPr>
            <w:tcW w:w="5340" w:type="dxa"/>
            <w:vAlign w:val="bottom"/>
          </w:tcPr>
          <w:p>
            <w:pPr>
              <w:spacing w:after="0"/>
              <w:rPr>
                <w:sz w:val="15"/>
                <w:szCs w:val="15"/>
                <w:color w:val="auto"/>
              </w:rPr>
            </w:pPr>
          </w:p>
        </w:tc>
        <w:tc>
          <w:tcPr>
            <w:tcW w:w="158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3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Total costs and expenses...........................</w:t>
            </w:r>
          </w:p>
        </w:tc>
        <w:tc>
          <w:tcPr>
            <w:tcW w:w="800" w:type="dxa"/>
            <w:vAlign w:val="bottom"/>
          </w:tcPr>
          <w:p>
            <w:pPr>
              <w:spacing w:after="0"/>
              <w:rPr>
                <w:sz w:val="15"/>
                <w:szCs w:val="15"/>
                <w:color w:val="auto"/>
              </w:rPr>
            </w:pPr>
          </w:p>
        </w:tc>
        <w:tc>
          <w:tcPr>
            <w:tcW w:w="7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944.9</w:t>
            </w:r>
          </w:p>
        </w:tc>
        <w:tc>
          <w:tcPr>
            <w:tcW w:w="740" w:type="dxa"/>
            <w:vAlign w:val="bottom"/>
          </w:tcPr>
          <w:p>
            <w:pPr>
              <w:spacing w:after="0"/>
              <w:rPr>
                <w:sz w:val="15"/>
                <w:szCs w:val="15"/>
                <w:color w:val="auto"/>
              </w:rPr>
            </w:pPr>
          </w:p>
        </w:tc>
        <w:tc>
          <w:tcPr>
            <w:tcW w:w="8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975.3</w:t>
            </w:r>
          </w:p>
        </w:tc>
        <w:tc>
          <w:tcPr>
            <w:tcW w:w="760" w:type="dxa"/>
            <w:vAlign w:val="bottom"/>
          </w:tcPr>
          <w:p>
            <w:pPr>
              <w:spacing w:after="0"/>
              <w:rPr>
                <w:sz w:val="15"/>
                <w:szCs w:val="15"/>
                <w:color w:val="auto"/>
              </w:rPr>
            </w:pPr>
          </w:p>
        </w:tc>
        <w:tc>
          <w:tcPr>
            <w:tcW w:w="8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791.5</w:t>
            </w:r>
          </w:p>
        </w:tc>
        <w:tc>
          <w:tcPr>
            <w:tcW w:w="760" w:type="dxa"/>
            <w:vAlign w:val="bottom"/>
          </w:tcPr>
          <w:p>
            <w:pPr>
              <w:spacing w:after="0"/>
              <w:rPr>
                <w:sz w:val="15"/>
                <w:szCs w:val="15"/>
                <w:color w:val="auto"/>
              </w:rPr>
            </w:pPr>
          </w:p>
        </w:tc>
        <w:tc>
          <w:tcPr>
            <w:tcW w:w="6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830.0</w:t>
            </w:r>
          </w:p>
        </w:tc>
      </w:tr>
      <w:tr>
        <w:trPr>
          <w:trHeight w:val="179"/>
        </w:trPr>
        <w:tc>
          <w:tcPr>
            <w:tcW w:w="5340" w:type="dxa"/>
            <w:vAlign w:val="bottom"/>
          </w:tcPr>
          <w:p>
            <w:pPr>
              <w:spacing w:after="0"/>
              <w:rPr>
                <w:sz w:val="15"/>
                <w:szCs w:val="15"/>
                <w:color w:val="auto"/>
              </w:rPr>
            </w:pPr>
          </w:p>
        </w:tc>
        <w:tc>
          <w:tcPr>
            <w:tcW w:w="158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534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6"/>
              </w:rPr>
              <w:t>Operating income (loss).................................</w:t>
            </w:r>
          </w:p>
        </w:tc>
        <w:tc>
          <w:tcPr>
            <w:tcW w:w="800" w:type="dxa"/>
            <w:vAlign w:val="bottom"/>
          </w:tcPr>
          <w:p>
            <w:pPr>
              <w:spacing w:after="0"/>
              <w:rPr>
                <w:sz w:val="24"/>
                <w:szCs w:val="24"/>
                <w:color w:val="auto"/>
              </w:rPr>
            </w:pPr>
          </w:p>
        </w:tc>
        <w:tc>
          <w:tcPr>
            <w:tcW w:w="7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12.4</w:t>
            </w:r>
          </w:p>
        </w:tc>
        <w:tc>
          <w:tcPr>
            <w:tcW w:w="740" w:type="dxa"/>
            <w:vAlign w:val="bottom"/>
          </w:tcPr>
          <w:p>
            <w:pPr>
              <w:spacing w:after="0"/>
              <w:rPr>
                <w:sz w:val="24"/>
                <w:szCs w:val="24"/>
                <w:color w:val="auto"/>
              </w:rPr>
            </w:pPr>
          </w:p>
        </w:tc>
        <w:tc>
          <w:tcPr>
            <w:tcW w:w="8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(212.1)</w:t>
            </w:r>
          </w:p>
        </w:tc>
        <w:tc>
          <w:tcPr>
            <w:tcW w:w="760" w:type="dxa"/>
            <w:vAlign w:val="bottom"/>
          </w:tcPr>
          <w:p>
            <w:pPr>
              <w:spacing w:after="0"/>
              <w:rPr>
                <w:sz w:val="24"/>
                <w:szCs w:val="24"/>
                <w:color w:val="auto"/>
              </w:rPr>
            </w:pPr>
          </w:p>
        </w:tc>
        <w:tc>
          <w:tcPr>
            <w:tcW w:w="82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8"/>
              </w:rPr>
              <w:t>(178.8)</w:t>
            </w:r>
          </w:p>
        </w:tc>
        <w:tc>
          <w:tcPr>
            <w:tcW w:w="7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w w:val="98"/>
              </w:rPr>
              <w:t>(137.9)</w:t>
            </w:r>
          </w:p>
        </w:tc>
      </w:tr>
      <w:tr>
        <w:trPr>
          <w:trHeight w:val="179"/>
        </w:trPr>
        <w:tc>
          <w:tcPr>
            <w:tcW w:w="5340" w:type="dxa"/>
            <w:vAlign w:val="bottom"/>
          </w:tcPr>
          <w:p>
            <w:pPr>
              <w:spacing w:after="0" w:line="179" w:lineRule="exact"/>
              <w:rPr>
                <w:sz w:val="20"/>
                <w:szCs w:val="20"/>
                <w:color w:val="auto"/>
              </w:rPr>
            </w:pPr>
            <w:r>
              <w:rPr>
                <w:rFonts w:ascii="Courier New" w:cs="Courier New" w:eastAsia="Courier New" w:hAnsi="Courier New"/>
                <w:sz w:val="16"/>
                <w:szCs w:val="16"/>
                <w:color w:val="auto"/>
              </w:rPr>
              <w:t>Gain (loss) on sale of investments and subsidiary</w:t>
            </w: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9"/>
        </w:trPr>
        <w:tc>
          <w:tcPr>
            <w:tcW w:w="53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stock, net.............................................</w:t>
            </w:r>
          </w:p>
        </w:tc>
        <w:tc>
          <w:tcPr>
            <w:tcW w:w="800" w:type="dxa"/>
            <w:vAlign w:val="bottom"/>
          </w:tcPr>
          <w:p>
            <w:pPr>
              <w:spacing w:after="0"/>
              <w:rPr>
                <w:sz w:val="15"/>
                <w:szCs w:val="15"/>
                <w:color w:val="auto"/>
              </w:rPr>
            </w:pPr>
          </w:p>
        </w:tc>
        <w:tc>
          <w:tcPr>
            <w:tcW w:w="7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spacing w:after="0"/>
              <w:rPr>
                <w:sz w:val="15"/>
                <w:szCs w:val="15"/>
                <w:color w:val="auto"/>
              </w:rPr>
            </w:pPr>
          </w:p>
        </w:tc>
        <w:tc>
          <w:tcPr>
            <w:tcW w:w="8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157.1</w:t>
            </w:r>
          </w:p>
        </w:tc>
        <w:tc>
          <w:tcPr>
            <w:tcW w:w="760" w:type="dxa"/>
            <w:vAlign w:val="bottom"/>
          </w:tcPr>
          <w:p>
            <w:pPr>
              <w:spacing w:after="0"/>
              <w:rPr>
                <w:sz w:val="15"/>
                <w:szCs w:val="15"/>
                <w:color w:val="auto"/>
              </w:rPr>
            </w:pPr>
          </w:p>
        </w:tc>
        <w:tc>
          <w:tcPr>
            <w:tcW w:w="8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760" w:type="dxa"/>
            <w:vAlign w:val="bottom"/>
          </w:tcPr>
          <w:p>
            <w:pPr>
              <w:spacing w:after="0"/>
              <w:rPr>
                <w:sz w:val="15"/>
                <w:szCs w:val="15"/>
                <w:color w:val="auto"/>
              </w:rPr>
            </w:pPr>
          </w:p>
        </w:tc>
        <w:tc>
          <w:tcPr>
            <w:tcW w:w="6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(0.1)</w:t>
            </w:r>
          </w:p>
        </w:tc>
      </w:tr>
      <w:tr>
        <w:trPr>
          <w:trHeight w:val="179"/>
        </w:trPr>
        <w:tc>
          <w:tcPr>
            <w:tcW w:w="53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6"/>
              </w:rPr>
              <w:t>Gain on issuance of subsidiary stock, net...............</w:t>
            </w:r>
          </w:p>
        </w:tc>
        <w:tc>
          <w:tcPr>
            <w:tcW w:w="800" w:type="dxa"/>
            <w:vAlign w:val="bottom"/>
          </w:tcPr>
          <w:p>
            <w:pPr>
              <w:spacing w:after="0"/>
              <w:rPr>
                <w:sz w:val="15"/>
                <w:szCs w:val="15"/>
                <w:color w:val="auto"/>
              </w:rPr>
            </w:pPr>
          </w:p>
        </w:tc>
        <w:tc>
          <w:tcPr>
            <w:tcW w:w="7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0.1</w:t>
            </w:r>
          </w:p>
        </w:tc>
        <w:tc>
          <w:tcPr>
            <w:tcW w:w="740" w:type="dxa"/>
            <w:vAlign w:val="bottom"/>
          </w:tcPr>
          <w:p>
            <w:pPr>
              <w:spacing w:after="0"/>
              <w:rPr>
                <w:sz w:val="15"/>
                <w:szCs w:val="15"/>
                <w:color w:val="auto"/>
              </w:rPr>
            </w:pPr>
          </w:p>
        </w:tc>
        <w:tc>
          <w:tcPr>
            <w:tcW w:w="8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0.5</w:t>
            </w:r>
          </w:p>
        </w:tc>
        <w:tc>
          <w:tcPr>
            <w:tcW w:w="760" w:type="dxa"/>
            <w:vAlign w:val="bottom"/>
          </w:tcPr>
          <w:p>
            <w:pPr>
              <w:spacing w:after="0"/>
              <w:rPr>
                <w:sz w:val="15"/>
                <w:szCs w:val="15"/>
                <w:color w:val="auto"/>
              </w:rPr>
            </w:pPr>
          </w:p>
        </w:tc>
        <w:tc>
          <w:tcPr>
            <w:tcW w:w="8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0.2</w:t>
            </w:r>
          </w:p>
        </w:tc>
        <w:tc>
          <w:tcPr>
            <w:tcW w:w="760" w:type="dxa"/>
            <w:vAlign w:val="bottom"/>
          </w:tcPr>
          <w:p>
            <w:pPr>
              <w:spacing w:after="0"/>
              <w:rPr>
                <w:sz w:val="15"/>
                <w:szCs w:val="15"/>
                <w:color w:val="auto"/>
              </w:rPr>
            </w:pPr>
          </w:p>
        </w:tc>
        <w:tc>
          <w:tcPr>
            <w:tcW w:w="6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0.5</w:t>
            </w:r>
          </w:p>
        </w:tc>
      </w:tr>
      <w:tr>
        <w:trPr>
          <w:trHeight w:val="179"/>
        </w:trPr>
        <w:tc>
          <w:tcPr>
            <w:tcW w:w="53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6"/>
              </w:rPr>
              <w:t>Interest income (expense), net..........................</w:t>
            </w:r>
          </w:p>
        </w:tc>
        <w:tc>
          <w:tcPr>
            <w:tcW w:w="80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(1.3)</w:t>
            </w:r>
          </w:p>
        </w:tc>
        <w:tc>
          <w:tcPr>
            <w:tcW w:w="740" w:type="dxa"/>
            <w:vAlign w:val="bottom"/>
          </w:tcPr>
          <w:p>
            <w:pPr>
              <w:spacing w:after="0"/>
              <w:rPr>
                <w:sz w:val="15"/>
                <w:szCs w:val="15"/>
                <w:color w:val="auto"/>
              </w:rPr>
            </w:pPr>
          </w:p>
        </w:tc>
        <w:tc>
          <w:tcPr>
            <w:tcW w:w="8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1.8</w:t>
            </w:r>
          </w:p>
        </w:tc>
        <w:tc>
          <w:tcPr>
            <w:tcW w:w="760" w:type="dxa"/>
            <w:vAlign w:val="bottom"/>
          </w:tcPr>
          <w:p>
            <w:pPr>
              <w:spacing w:after="0"/>
              <w:rPr>
                <w:sz w:val="15"/>
                <w:szCs w:val="15"/>
                <w:color w:val="auto"/>
              </w:rPr>
            </w:pPr>
          </w:p>
        </w:tc>
        <w:tc>
          <w:tcPr>
            <w:tcW w:w="8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0.5</w:t>
            </w:r>
          </w:p>
        </w:tc>
        <w:tc>
          <w:tcPr>
            <w:tcW w:w="760" w:type="dxa"/>
            <w:vAlign w:val="bottom"/>
          </w:tcPr>
          <w:p>
            <w:pPr>
              <w:spacing w:after="0"/>
              <w:rPr>
                <w:sz w:val="15"/>
                <w:szCs w:val="15"/>
                <w:color w:val="auto"/>
              </w:rPr>
            </w:pPr>
          </w:p>
        </w:tc>
        <w:tc>
          <w:tcPr>
            <w:tcW w:w="6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(1.8)</w:t>
            </w:r>
          </w:p>
        </w:tc>
      </w:tr>
      <w:tr>
        <w:trPr>
          <w:trHeight w:val="179"/>
        </w:trPr>
        <w:tc>
          <w:tcPr>
            <w:tcW w:w="5340" w:type="dxa"/>
            <w:vAlign w:val="bottom"/>
          </w:tcPr>
          <w:p>
            <w:pPr>
              <w:spacing w:after="0"/>
              <w:rPr>
                <w:sz w:val="15"/>
                <w:szCs w:val="15"/>
                <w:color w:val="auto"/>
              </w:rPr>
            </w:pPr>
          </w:p>
        </w:tc>
        <w:tc>
          <w:tcPr>
            <w:tcW w:w="158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3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6"/>
              </w:rPr>
              <w:t>Income (loss) before income taxes.......................</w:t>
            </w:r>
          </w:p>
        </w:tc>
        <w:tc>
          <w:tcPr>
            <w:tcW w:w="800" w:type="dxa"/>
            <w:vAlign w:val="bottom"/>
          </w:tcPr>
          <w:p>
            <w:pPr>
              <w:spacing w:after="0"/>
              <w:rPr>
                <w:sz w:val="15"/>
                <w:szCs w:val="15"/>
                <w:color w:val="auto"/>
              </w:rPr>
            </w:pPr>
          </w:p>
        </w:tc>
        <w:tc>
          <w:tcPr>
            <w:tcW w:w="7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11.2</w:t>
            </w:r>
          </w:p>
        </w:tc>
        <w:tc>
          <w:tcPr>
            <w:tcW w:w="740" w:type="dxa"/>
            <w:vAlign w:val="bottom"/>
          </w:tcPr>
          <w:p>
            <w:pPr>
              <w:spacing w:after="0"/>
              <w:rPr>
                <w:sz w:val="15"/>
                <w:szCs w:val="15"/>
                <w:color w:val="auto"/>
              </w:rPr>
            </w:pPr>
          </w:p>
        </w:tc>
        <w:tc>
          <w:tcPr>
            <w:tcW w:w="8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(52.7)</w:t>
            </w:r>
          </w:p>
        </w:tc>
        <w:tc>
          <w:tcPr>
            <w:tcW w:w="760" w:type="dxa"/>
            <w:vAlign w:val="bottom"/>
          </w:tcPr>
          <w:p>
            <w:pPr>
              <w:spacing w:after="0"/>
              <w:rPr>
                <w:sz w:val="15"/>
                <w:szCs w:val="15"/>
                <w:color w:val="auto"/>
              </w:rPr>
            </w:pPr>
          </w:p>
        </w:tc>
        <w:tc>
          <w:tcPr>
            <w:tcW w:w="8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(178.1)</w:t>
            </w:r>
          </w:p>
        </w:tc>
        <w:tc>
          <w:tcPr>
            <w:tcW w:w="760" w:type="dxa"/>
            <w:vAlign w:val="bottom"/>
          </w:tcPr>
          <w:p>
            <w:pPr>
              <w:spacing w:after="0"/>
              <w:rPr>
                <w:sz w:val="15"/>
                <w:szCs w:val="15"/>
                <w:color w:val="auto"/>
              </w:rPr>
            </w:pPr>
          </w:p>
        </w:tc>
        <w:tc>
          <w:tcPr>
            <w:tcW w:w="6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8"/>
              </w:rPr>
              <w:t>(139.3)</w:t>
            </w:r>
          </w:p>
        </w:tc>
      </w:tr>
      <w:tr>
        <w:trPr>
          <w:trHeight w:val="358"/>
        </w:trPr>
        <w:tc>
          <w:tcPr>
            <w:tcW w:w="534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6"/>
              </w:rPr>
              <w:t>Income tax benefit (provision)..........................</w:t>
            </w:r>
          </w:p>
        </w:tc>
        <w:tc>
          <w:tcPr>
            <w:tcW w:w="800" w:type="dxa"/>
            <w:vAlign w:val="bottom"/>
          </w:tcPr>
          <w:p>
            <w:pPr>
              <w:spacing w:after="0"/>
              <w:rPr>
                <w:sz w:val="24"/>
                <w:szCs w:val="24"/>
                <w:color w:val="auto"/>
              </w:rPr>
            </w:pPr>
          </w:p>
        </w:tc>
        <w:tc>
          <w:tcPr>
            <w:tcW w:w="7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(4.5)</w:t>
            </w:r>
          </w:p>
        </w:tc>
        <w:tc>
          <w:tcPr>
            <w:tcW w:w="740" w:type="dxa"/>
            <w:vAlign w:val="bottom"/>
          </w:tcPr>
          <w:p>
            <w:pPr>
              <w:spacing w:after="0"/>
              <w:rPr>
                <w:sz w:val="24"/>
                <w:szCs w:val="24"/>
                <w:color w:val="auto"/>
              </w:rPr>
            </w:pPr>
          </w:p>
        </w:tc>
        <w:tc>
          <w:tcPr>
            <w:tcW w:w="84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10.8</w:t>
            </w:r>
          </w:p>
        </w:tc>
        <w:tc>
          <w:tcPr>
            <w:tcW w:w="760" w:type="dxa"/>
            <w:vAlign w:val="bottom"/>
          </w:tcPr>
          <w:p>
            <w:pPr>
              <w:spacing w:after="0"/>
              <w:rPr>
                <w:sz w:val="24"/>
                <w:szCs w:val="24"/>
                <w:color w:val="auto"/>
              </w:rPr>
            </w:pPr>
          </w:p>
        </w:tc>
        <w:tc>
          <w:tcPr>
            <w:tcW w:w="82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70.8</w:t>
            </w:r>
          </w:p>
        </w:tc>
        <w:tc>
          <w:tcPr>
            <w:tcW w:w="760" w:type="dxa"/>
            <w:vAlign w:val="bottom"/>
          </w:tcPr>
          <w:p>
            <w:pPr>
              <w:spacing w:after="0"/>
              <w:rPr>
                <w:sz w:val="24"/>
                <w:szCs w:val="24"/>
                <w:color w:val="auto"/>
              </w:rPr>
            </w:pPr>
          </w:p>
        </w:tc>
        <w:tc>
          <w:tcPr>
            <w:tcW w:w="680" w:type="dxa"/>
            <w:vAlign w:val="bottom"/>
          </w:tcPr>
          <w:p>
            <w:pPr>
              <w:jc w:val="right"/>
              <w:ind w:right="2"/>
              <w:spacing w:after="0"/>
              <w:rPr>
                <w:sz w:val="20"/>
                <w:szCs w:val="20"/>
                <w:color w:val="auto"/>
              </w:rPr>
            </w:pPr>
            <w:r>
              <w:rPr>
                <w:rFonts w:ascii="Courier New" w:cs="Courier New" w:eastAsia="Courier New" w:hAnsi="Courier New"/>
                <w:sz w:val="16"/>
                <w:szCs w:val="16"/>
                <w:color w:val="auto"/>
              </w:rPr>
              <w:t>52.0</w:t>
            </w:r>
          </w:p>
        </w:tc>
      </w:tr>
      <w:tr>
        <w:trPr>
          <w:trHeight w:val="179"/>
        </w:trPr>
        <w:tc>
          <w:tcPr>
            <w:tcW w:w="53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6"/>
              </w:rPr>
              <w:t>Minority interests......................................</w:t>
            </w:r>
          </w:p>
        </w:tc>
        <w:tc>
          <w:tcPr>
            <w:tcW w:w="80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(0.2)</w:t>
            </w:r>
          </w:p>
        </w:tc>
        <w:tc>
          <w:tcPr>
            <w:tcW w:w="740" w:type="dxa"/>
            <w:vAlign w:val="bottom"/>
          </w:tcPr>
          <w:p>
            <w:pPr>
              <w:spacing w:after="0"/>
              <w:rPr>
                <w:sz w:val="15"/>
                <w:szCs w:val="15"/>
                <w:color w:val="auto"/>
              </w:rPr>
            </w:pPr>
          </w:p>
        </w:tc>
        <w:tc>
          <w:tcPr>
            <w:tcW w:w="8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(9.0)</w:t>
            </w:r>
          </w:p>
        </w:tc>
        <w:tc>
          <w:tcPr>
            <w:tcW w:w="760" w:type="dxa"/>
            <w:vAlign w:val="bottom"/>
          </w:tcPr>
          <w:p>
            <w:pPr>
              <w:spacing w:after="0"/>
              <w:rPr>
                <w:sz w:val="15"/>
                <w:szCs w:val="15"/>
                <w:color w:val="auto"/>
              </w:rPr>
            </w:pPr>
          </w:p>
        </w:tc>
        <w:tc>
          <w:tcPr>
            <w:tcW w:w="8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(2.1)</w:t>
            </w:r>
          </w:p>
        </w:tc>
        <w:tc>
          <w:tcPr>
            <w:tcW w:w="760" w:type="dxa"/>
            <w:vAlign w:val="bottom"/>
          </w:tcPr>
          <w:p>
            <w:pPr>
              <w:spacing w:after="0"/>
              <w:rPr>
                <w:sz w:val="15"/>
                <w:szCs w:val="15"/>
                <w:color w:val="auto"/>
              </w:rPr>
            </w:pPr>
          </w:p>
        </w:tc>
        <w:tc>
          <w:tcPr>
            <w:tcW w:w="6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(6.0)</w:t>
            </w:r>
          </w:p>
        </w:tc>
      </w:tr>
      <w:tr>
        <w:trPr>
          <w:trHeight w:val="179"/>
        </w:trPr>
        <w:tc>
          <w:tcPr>
            <w:tcW w:w="5340" w:type="dxa"/>
            <w:vAlign w:val="bottom"/>
          </w:tcPr>
          <w:p>
            <w:pPr>
              <w:spacing w:after="0"/>
              <w:rPr>
                <w:sz w:val="15"/>
                <w:szCs w:val="15"/>
                <w:color w:val="auto"/>
              </w:rPr>
            </w:pPr>
          </w:p>
        </w:tc>
        <w:tc>
          <w:tcPr>
            <w:tcW w:w="158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3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6"/>
              </w:rPr>
              <w:t>Net income (loss).......................................</w:t>
            </w:r>
          </w:p>
        </w:tc>
        <w:tc>
          <w:tcPr>
            <w:tcW w:w="800" w:type="dxa"/>
            <w:vAlign w:val="bottom"/>
          </w:tcPr>
          <w:p>
            <w:pPr>
              <w:jc w:val="center"/>
              <w:ind w:left="622"/>
              <w:spacing w:after="0" w:line="179" w:lineRule="exact"/>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6.5</w:t>
            </w:r>
          </w:p>
        </w:tc>
        <w:tc>
          <w:tcPr>
            <w:tcW w:w="740" w:type="dxa"/>
            <w:vAlign w:val="bottom"/>
          </w:tcPr>
          <w:p>
            <w:pPr>
              <w:ind w:left="620"/>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(50.9)</w:t>
            </w:r>
          </w:p>
        </w:tc>
        <w:tc>
          <w:tcPr>
            <w:tcW w:w="15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 (109.4)</w:t>
            </w:r>
          </w:p>
        </w:tc>
        <w:tc>
          <w:tcPr>
            <w:tcW w:w="760" w:type="dxa"/>
            <w:vAlign w:val="bottom"/>
          </w:tcPr>
          <w:p>
            <w:pPr>
              <w:ind w:left="620"/>
              <w:spacing w:after="0" w:line="179" w:lineRule="exact"/>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(93.3)</w:t>
            </w:r>
          </w:p>
        </w:tc>
      </w:tr>
      <w:tr>
        <w:trPr>
          <w:trHeight w:val="179"/>
        </w:trPr>
        <w:tc>
          <w:tcPr>
            <w:tcW w:w="5340" w:type="dxa"/>
            <w:vAlign w:val="bottom"/>
          </w:tcPr>
          <w:p>
            <w:pPr>
              <w:spacing w:after="0"/>
              <w:rPr>
                <w:sz w:val="15"/>
                <w:szCs w:val="15"/>
                <w:color w:val="auto"/>
              </w:rPr>
            </w:pPr>
          </w:p>
        </w:tc>
        <w:tc>
          <w:tcPr>
            <w:tcW w:w="158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3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6"/>
              </w:rPr>
              <w:t>Diluted earnings (loss) per share.......................</w:t>
            </w:r>
          </w:p>
        </w:tc>
        <w:tc>
          <w:tcPr>
            <w:tcW w:w="800" w:type="dxa"/>
            <w:vAlign w:val="bottom"/>
          </w:tcPr>
          <w:p>
            <w:pPr>
              <w:jc w:val="center"/>
              <w:ind w:left="622"/>
              <w:spacing w:after="0" w:line="179" w:lineRule="exact"/>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0.03</w:t>
            </w:r>
          </w:p>
        </w:tc>
        <w:tc>
          <w:tcPr>
            <w:tcW w:w="740" w:type="dxa"/>
            <w:vAlign w:val="bottom"/>
          </w:tcPr>
          <w:p>
            <w:pPr>
              <w:ind w:left="620"/>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(0.24)</w:t>
            </w:r>
          </w:p>
        </w:tc>
        <w:tc>
          <w:tcPr>
            <w:tcW w:w="760" w:type="dxa"/>
            <w:vAlign w:val="bottom"/>
          </w:tcPr>
          <w:p>
            <w:pPr>
              <w:ind w:left="620"/>
              <w:spacing w:after="0" w:line="179" w:lineRule="exact"/>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(0.51)</w:t>
            </w:r>
          </w:p>
        </w:tc>
        <w:tc>
          <w:tcPr>
            <w:tcW w:w="760" w:type="dxa"/>
            <w:vAlign w:val="bottom"/>
          </w:tcPr>
          <w:p>
            <w:pPr>
              <w:ind w:left="620"/>
              <w:spacing w:after="0" w:line="179" w:lineRule="exact"/>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(0.43)</w:t>
            </w:r>
          </w:p>
        </w:tc>
      </w:tr>
      <w:tr>
        <w:trPr>
          <w:trHeight w:val="179"/>
        </w:trPr>
        <w:tc>
          <w:tcPr>
            <w:tcW w:w="5340" w:type="dxa"/>
            <w:vAlign w:val="bottom"/>
          </w:tcPr>
          <w:p>
            <w:pPr>
              <w:spacing w:after="0" w:line="179" w:lineRule="exact"/>
              <w:rPr>
                <w:sz w:val="20"/>
                <w:szCs w:val="20"/>
                <w:color w:val="auto"/>
              </w:rPr>
            </w:pPr>
            <w:r>
              <w:rPr>
                <w:rFonts w:ascii="Courier New" w:cs="Courier New" w:eastAsia="Courier New" w:hAnsi="Courier New"/>
                <w:sz w:val="16"/>
                <w:szCs w:val="16"/>
                <w:color w:val="auto"/>
              </w:rPr>
              <w:t>Quarterly stock price:</w:t>
            </w: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9"/>
        </w:trPr>
        <w:tc>
          <w:tcPr>
            <w:tcW w:w="53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High..................................................</w:t>
            </w:r>
          </w:p>
        </w:tc>
        <w:tc>
          <w:tcPr>
            <w:tcW w:w="158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$45.312</w:t>
            </w:r>
          </w:p>
        </w:tc>
        <w:tc>
          <w:tcPr>
            <w:tcW w:w="158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$ 38.000</w:t>
            </w:r>
          </w:p>
        </w:tc>
        <w:tc>
          <w:tcPr>
            <w:tcW w:w="158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$ 34.938</w:t>
            </w:r>
          </w:p>
        </w:tc>
        <w:tc>
          <w:tcPr>
            <w:tcW w:w="144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$ 35.250</w:t>
            </w:r>
          </w:p>
        </w:tc>
      </w:tr>
      <w:tr>
        <w:trPr>
          <w:trHeight w:val="179"/>
        </w:trPr>
        <w:tc>
          <w:tcPr>
            <w:tcW w:w="53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Low...................................................</w:t>
            </w:r>
          </w:p>
        </w:tc>
        <w:tc>
          <w:tcPr>
            <w:tcW w:w="800" w:type="dxa"/>
            <w:vAlign w:val="bottom"/>
          </w:tcPr>
          <w:p>
            <w:pPr>
              <w:spacing w:after="0"/>
              <w:rPr>
                <w:sz w:val="15"/>
                <w:szCs w:val="15"/>
                <w:color w:val="auto"/>
              </w:rPr>
            </w:pPr>
          </w:p>
        </w:tc>
        <w:tc>
          <w:tcPr>
            <w:tcW w:w="7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w w:val="93"/>
              </w:rPr>
              <w:t>23.125</w:t>
            </w:r>
          </w:p>
        </w:tc>
        <w:tc>
          <w:tcPr>
            <w:tcW w:w="740" w:type="dxa"/>
            <w:vAlign w:val="bottom"/>
          </w:tcPr>
          <w:p>
            <w:pPr>
              <w:spacing w:after="0"/>
              <w:rPr>
                <w:sz w:val="15"/>
                <w:szCs w:val="15"/>
                <w:color w:val="auto"/>
              </w:rPr>
            </w:pPr>
          </w:p>
        </w:tc>
        <w:tc>
          <w:tcPr>
            <w:tcW w:w="8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22.000</w:t>
            </w:r>
          </w:p>
        </w:tc>
        <w:tc>
          <w:tcPr>
            <w:tcW w:w="760" w:type="dxa"/>
            <w:vAlign w:val="bottom"/>
          </w:tcPr>
          <w:p>
            <w:pPr>
              <w:spacing w:after="0"/>
              <w:rPr>
                <w:sz w:val="15"/>
                <w:szCs w:val="15"/>
                <w:color w:val="auto"/>
              </w:rPr>
            </w:pPr>
          </w:p>
        </w:tc>
        <w:tc>
          <w:tcPr>
            <w:tcW w:w="8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23.813</w:t>
            </w:r>
          </w:p>
        </w:tc>
        <w:tc>
          <w:tcPr>
            <w:tcW w:w="760" w:type="dxa"/>
            <w:vAlign w:val="bottom"/>
          </w:tcPr>
          <w:p>
            <w:pPr>
              <w:spacing w:after="0"/>
              <w:rPr>
                <w:sz w:val="15"/>
                <w:szCs w:val="15"/>
                <w:color w:val="auto"/>
              </w:rPr>
            </w:pPr>
          </w:p>
        </w:tc>
        <w:tc>
          <w:tcPr>
            <w:tcW w:w="6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20.125</w:t>
            </w:r>
          </w:p>
        </w:tc>
      </w:tr>
    </w:tbl>
    <w:p>
      <w:pPr>
        <w:spacing w:after="0" w:line="362" w:lineRule="exact"/>
        <w:rPr>
          <w:sz w:val="20"/>
          <w:szCs w:val="20"/>
          <w:color w:val="auto"/>
        </w:rPr>
      </w:pPr>
    </w:p>
    <w:p>
      <w:pPr>
        <w:ind w:right="4180" w:firstLine="186"/>
        <w:spacing w:after="0" w:line="235" w:lineRule="auto"/>
        <w:rPr>
          <w:sz w:val="20"/>
          <w:szCs w:val="20"/>
          <w:color w:val="auto"/>
        </w:rPr>
      </w:pPr>
      <w:r>
        <w:rPr>
          <w:rFonts w:ascii="Courier New" w:cs="Courier New" w:eastAsia="Courier New" w:hAnsi="Courier New"/>
          <w:sz w:val="16"/>
          <w:szCs w:val="16"/>
          <w:color w:val="auto"/>
        </w:rPr>
        <w:t>As of October 29, 1999, there were 4,955 shareholders of record of MTI's common stock and one holder of MTI's Class A Common Stock. The Company did not declare or pay any dividends during 1999 or 1998.</w:t>
      </w:r>
    </w:p>
    <w:p>
      <w:pPr>
        <w:spacing w:after="0" w:line="177" w:lineRule="exact"/>
        <w:rPr>
          <w:sz w:val="20"/>
          <w:szCs w:val="20"/>
          <w:color w:val="auto"/>
        </w:rPr>
      </w:pPr>
    </w:p>
    <w:p>
      <w:pPr>
        <w:jc w:val="center"/>
        <w:ind w:right="4180"/>
        <w:spacing w:after="0"/>
        <w:rPr>
          <w:sz w:val="20"/>
          <w:szCs w:val="20"/>
          <w:color w:val="auto"/>
        </w:rPr>
      </w:pPr>
      <w:r>
        <w:rPr>
          <w:rFonts w:ascii="Courier New" w:cs="Courier New" w:eastAsia="Courier New" w:hAnsi="Courier New"/>
          <w:sz w:val="16"/>
          <w:szCs w:val="16"/>
          <w:color w:val="auto"/>
        </w:rPr>
        <w:t>Certain Fiscal 1998 amounts have been restated as a result of a pooling-of-</w:t>
      </w:r>
    </w:p>
    <w:p>
      <w:pPr>
        <w:jc w:val="center"/>
        <w:ind w:right="4180"/>
        <w:spacing w:after="0" w:line="236" w:lineRule="auto"/>
        <w:rPr>
          <w:sz w:val="20"/>
          <w:szCs w:val="20"/>
          <w:color w:val="auto"/>
        </w:rPr>
      </w:pPr>
      <w:r>
        <w:rPr>
          <w:rFonts w:ascii="Courier New" w:cs="Courier New" w:eastAsia="Courier New" w:hAnsi="Courier New"/>
          <w:sz w:val="16"/>
          <w:szCs w:val="16"/>
          <w:color w:val="auto"/>
        </w:rPr>
        <w:t>interests merger.</w:t>
      </w:r>
    </w:p>
    <w:p>
      <w:pPr>
        <w:spacing w:after="0" w:line="177"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50/57</w:t>
      </w:r>
    </w:p>
    <w:p>
      <w:pPr>
        <w:sectPr>
          <w:pgSz w:w="11900" w:h="16838" w:orient="portrait"/>
          <w:cols w:equalWidth="0" w:num="1">
            <w:col w:w="11520"/>
          </w:cols>
          <w:pgMar w:left="240" w:top="648" w:right="139" w:bottom="1440" w:gutter="0" w:footer="0" w:header="0"/>
        </w:sectPr>
      </w:pPr>
    </w:p>
    <w:bookmarkStart w:id="53" w:name="page54"/>
    <w:bookmarkEnd w:id="53"/>
    <w:p>
      <w:pPr>
        <w:ind w:left="2140"/>
        <w:spacing w:after="0"/>
        <w:rPr>
          <w:sz w:val="20"/>
          <w:szCs w:val="20"/>
          <w:color w:val="auto"/>
        </w:rPr>
      </w:pPr>
      <w:r>
        <w:rPr>
          <w:rFonts w:ascii="Courier New" w:cs="Courier New" w:eastAsia="Courier New" w:hAnsi="Courier New"/>
          <w:sz w:val="16"/>
          <w:szCs w:val="16"/>
          <w:color w:val="auto"/>
        </w:rPr>
        <w:t>Report of Independent Accountants</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Board of Directors and</w:t>
      </w:r>
    </w:p>
    <w:p>
      <w:pPr>
        <w:spacing w:after="0" w:line="236" w:lineRule="auto"/>
        <w:rPr>
          <w:sz w:val="20"/>
          <w:szCs w:val="20"/>
          <w:color w:val="auto"/>
        </w:rPr>
      </w:pPr>
      <w:r>
        <w:rPr>
          <w:rFonts w:ascii="Courier New" w:cs="Courier New" w:eastAsia="Courier New" w:hAnsi="Courier New"/>
          <w:sz w:val="16"/>
          <w:szCs w:val="16"/>
          <w:color w:val="auto"/>
        </w:rPr>
        <w:t>Shareholders of Micron Technology, Inc.</w:t>
      </w:r>
    </w:p>
    <w:p>
      <w:pPr>
        <w:spacing w:after="0" w:line="183" w:lineRule="exact"/>
        <w:rPr>
          <w:sz w:val="20"/>
          <w:szCs w:val="20"/>
          <w:color w:val="auto"/>
        </w:rPr>
      </w:pPr>
    </w:p>
    <w:p>
      <w:pPr>
        <w:ind w:right="2779"/>
        <w:spacing w:after="0" w:line="272" w:lineRule="auto"/>
        <w:rPr>
          <w:sz w:val="20"/>
          <w:szCs w:val="20"/>
          <w:color w:val="auto"/>
        </w:rPr>
      </w:pPr>
      <w:r>
        <w:rPr>
          <w:rFonts w:ascii="Courier New" w:cs="Courier New" w:eastAsia="Courier New" w:hAnsi="Courier New"/>
          <w:sz w:val="14"/>
          <w:szCs w:val="14"/>
          <w:color w:val="auto"/>
        </w:rPr>
        <w:t>In our opinion, the consolidated financial statements listed in the accompanying index present fairly, in all material respects, the financial position of Micron Technology, Inc. and its subsidiaries at September 2, 1999, and September 3, 1998, and the results of their operations and their cash flows for each of the three years in the period ended September 2, 1999, in conformity with generally accepted accounting principles. In addition, in our opinion, the financial statement schedule listed in the accompanying index presents fairly, in all material respects, the information set forth therein when read in conjunction with the related consolidated financial statements. These financial statements and the financial statement schedule are the responsibility of the Company's management; our responsibility is to express an opinion on these financial statements and the financial statement schedule based on our audits. We conducted our audits of these statements in accordance with generally accepted auditing standards,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the opinion expressed above.</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/s/PricewaterhouseCoopers LLP</w:t>
      </w: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Boise, Idaho</w:t>
      </w:r>
    </w:p>
    <w:p>
      <w:pPr>
        <w:spacing w:after="0" w:line="236" w:lineRule="auto"/>
        <w:rPr>
          <w:sz w:val="20"/>
          <w:szCs w:val="20"/>
          <w:color w:val="auto"/>
        </w:rPr>
      </w:pPr>
      <w:r>
        <w:rPr>
          <w:rFonts w:ascii="Courier New" w:cs="Courier New" w:eastAsia="Courier New" w:hAnsi="Courier New"/>
          <w:sz w:val="16"/>
          <w:szCs w:val="16"/>
          <w:color w:val="auto"/>
        </w:rPr>
        <w:t>October 4, 1999</w:t>
      </w:r>
    </w:p>
    <w:p>
      <w:pPr>
        <w:spacing w:after="0" w:line="177"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51/57</w:t>
      </w:r>
    </w:p>
    <w:p>
      <w:pPr>
        <w:sectPr>
          <w:pgSz w:w="11900" w:h="16838" w:orient="portrait"/>
          <w:cols w:equalWidth="0" w:num="1">
            <w:col w:w="10219"/>
          </w:cols>
          <w:pgMar w:left="240" w:top="648" w:right="1440" w:bottom="1440" w:gutter="0" w:footer="0" w:header="0"/>
        </w:sectPr>
      </w:pPr>
    </w:p>
    <w:bookmarkStart w:id="54" w:name="page55"/>
    <w:bookmarkEnd w:id="54"/>
    <w:p>
      <w:pPr>
        <w:ind w:left="840" w:right="3519" w:hanging="836"/>
        <w:spacing w:after="0" w:line="234" w:lineRule="auto"/>
        <w:tabs>
          <w:tab w:leader="none" w:pos="820" w:val="left"/>
        </w:tabs>
        <w:rPr>
          <w:sz w:val="20"/>
          <w:szCs w:val="20"/>
          <w:color w:val="auto"/>
        </w:rPr>
      </w:pPr>
      <w:r>
        <w:rPr>
          <w:rFonts w:ascii="Courier New" w:cs="Courier New" w:eastAsia="Courier New" w:hAnsi="Courier New"/>
          <w:sz w:val="16"/>
          <w:szCs w:val="16"/>
          <w:color w:val="auto"/>
        </w:rPr>
        <w:t>Item 9.</w:t>
        <w:tab/>
        <w:t>Changes in and Disagreements with Accountants on Accounting and Financial Disclosure</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None.</w:t>
      </w:r>
    </w:p>
    <w:p>
      <w:pPr>
        <w:spacing w:after="0" w:line="177"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PART III</w:t>
      </w:r>
    </w:p>
    <w:p>
      <w:pPr>
        <w:spacing w:after="0" w:line="177"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6"/>
          <w:szCs w:val="16"/>
          <w:color w:val="auto"/>
        </w:rPr>
        <w:t>Item 10.</w:t>
      </w:r>
      <w:r>
        <w:rPr>
          <w:sz w:val="20"/>
          <w:szCs w:val="20"/>
          <w:color w:val="auto"/>
        </w:rPr>
        <w:tab/>
      </w:r>
      <w:r>
        <w:rPr>
          <w:rFonts w:ascii="Courier New" w:cs="Courier New" w:eastAsia="Courier New" w:hAnsi="Courier New"/>
          <w:sz w:val="14"/>
          <w:szCs w:val="14"/>
          <w:color w:val="auto"/>
        </w:rPr>
        <w:t>Directors and Executive Officers of the Registrant</w:t>
      </w:r>
    </w:p>
    <w:p>
      <w:pPr>
        <w:spacing w:after="0" w:line="177"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6"/>
          <w:szCs w:val="16"/>
          <w:color w:val="auto"/>
        </w:rPr>
        <w:t>Item 11.</w:t>
      </w:r>
      <w:r>
        <w:rPr>
          <w:sz w:val="20"/>
          <w:szCs w:val="20"/>
          <w:color w:val="auto"/>
        </w:rPr>
        <w:tab/>
      </w:r>
      <w:r>
        <w:rPr>
          <w:rFonts w:ascii="Courier New" w:cs="Courier New" w:eastAsia="Courier New" w:hAnsi="Courier New"/>
          <w:sz w:val="14"/>
          <w:szCs w:val="14"/>
          <w:color w:val="auto"/>
        </w:rPr>
        <w:t>Executive Compensation</w:t>
      </w:r>
    </w:p>
    <w:p>
      <w:pPr>
        <w:spacing w:after="0" w:line="177"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6"/>
          <w:szCs w:val="16"/>
          <w:color w:val="auto"/>
        </w:rPr>
        <w:t>Item 12.</w:t>
      </w:r>
      <w:r>
        <w:rPr>
          <w:sz w:val="20"/>
          <w:szCs w:val="20"/>
          <w:color w:val="auto"/>
        </w:rPr>
        <w:tab/>
      </w:r>
      <w:r>
        <w:rPr>
          <w:rFonts w:ascii="Courier New" w:cs="Courier New" w:eastAsia="Courier New" w:hAnsi="Courier New"/>
          <w:sz w:val="14"/>
          <w:szCs w:val="14"/>
          <w:color w:val="auto"/>
        </w:rPr>
        <w:t>Security Ownership of Certain Beneficial Owners and Management</w:t>
      </w:r>
    </w:p>
    <w:p>
      <w:pPr>
        <w:spacing w:after="0" w:line="177"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6"/>
          <w:szCs w:val="16"/>
          <w:color w:val="auto"/>
        </w:rPr>
        <w:t>Item 13.</w:t>
      </w:r>
      <w:r>
        <w:rPr>
          <w:sz w:val="20"/>
          <w:szCs w:val="20"/>
          <w:color w:val="auto"/>
        </w:rPr>
        <w:tab/>
      </w:r>
      <w:r>
        <w:rPr>
          <w:rFonts w:ascii="Courier New" w:cs="Courier New" w:eastAsia="Courier New" w:hAnsi="Courier New"/>
          <w:sz w:val="14"/>
          <w:szCs w:val="14"/>
          <w:color w:val="auto"/>
        </w:rPr>
        <w:t>Certain Relationships and Related Transactions</w:t>
      </w:r>
    </w:p>
    <w:p>
      <w:pPr>
        <w:spacing w:after="0" w:line="183" w:lineRule="exact"/>
        <w:rPr>
          <w:sz w:val="20"/>
          <w:szCs w:val="20"/>
          <w:color w:val="auto"/>
        </w:rPr>
      </w:pPr>
    </w:p>
    <w:p>
      <w:pPr>
        <w:ind w:right="2779" w:firstLine="186"/>
        <w:spacing w:after="0" w:line="236" w:lineRule="auto"/>
        <w:rPr>
          <w:sz w:val="20"/>
          <w:szCs w:val="20"/>
          <w:color w:val="auto"/>
        </w:rPr>
      </w:pPr>
      <w:r>
        <w:rPr>
          <w:rFonts w:ascii="Courier New" w:cs="Courier New" w:eastAsia="Courier New" w:hAnsi="Courier New"/>
          <w:sz w:val="16"/>
          <w:szCs w:val="16"/>
          <w:color w:val="auto"/>
        </w:rPr>
        <w:t>Certain information concerning the registrant's executive officers is included under the caption, "Officers and Directors of the Registrant," following Part I, Item 1 of this report. Other information required by Items 10, 11, 12 and 13 will be contained in the registrant's Proxy Statement which will be filed with the Securities and Exchange Commission within 120 days after September 2, 1999, and is incorporated herein by reference.</w:t>
      </w:r>
    </w:p>
    <w:p>
      <w:pPr>
        <w:spacing w:after="0" w:line="177"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52/57</w:t>
      </w:r>
    </w:p>
    <w:p>
      <w:pPr>
        <w:sectPr>
          <w:pgSz w:w="11900" w:h="16838" w:orient="portrait"/>
          <w:cols w:equalWidth="0" w:num="1">
            <w:col w:w="10219"/>
          </w:cols>
          <w:pgMar w:left="240" w:top="654" w:right="1440" w:bottom="1440" w:gutter="0" w:footer="0" w:header="0"/>
        </w:sectPr>
      </w:pPr>
    </w:p>
    <w:bookmarkStart w:id="55" w:name="page56"/>
    <w:bookmarkEnd w:id="55"/>
    <w:p>
      <w:pPr>
        <w:ind w:left="3340"/>
        <w:spacing w:after="0"/>
        <w:rPr>
          <w:sz w:val="20"/>
          <w:szCs w:val="20"/>
          <w:color w:val="auto"/>
        </w:rPr>
      </w:pPr>
      <w:r>
        <w:rPr>
          <w:rFonts w:ascii="Courier New" w:cs="Courier New" w:eastAsia="Courier New" w:hAnsi="Courier New"/>
          <w:sz w:val="16"/>
          <w:szCs w:val="16"/>
          <w:color w:val="auto"/>
        </w:rPr>
        <w:t>PART IV</w:t>
      </w:r>
    </w:p>
    <w:p>
      <w:pPr>
        <w:spacing w:after="0" w:line="177"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6"/>
          <w:szCs w:val="16"/>
          <w:color w:val="auto"/>
        </w:rPr>
        <w:t>Item 14.</w:t>
      </w:r>
      <w:r>
        <w:rPr>
          <w:sz w:val="20"/>
          <w:szCs w:val="20"/>
          <w:color w:val="auto"/>
        </w:rPr>
        <w:tab/>
      </w:r>
      <w:r>
        <w:rPr>
          <w:rFonts w:ascii="Courier New" w:cs="Courier New" w:eastAsia="Courier New" w:hAnsi="Courier New"/>
          <w:sz w:val="14"/>
          <w:szCs w:val="14"/>
          <w:color w:val="auto"/>
        </w:rPr>
        <w:t>Exhibits, Financial Statement Schedules and Reports on Form 8-K</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(a) The following documents are filed as part of this report:</w:t>
      </w:r>
    </w:p>
    <w:p>
      <w:pPr>
        <w:spacing w:after="0" w:line="183" w:lineRule="exact"/>
        <w:rPr>
          <w:sz w:val="20"/>
          <w:szCs w:val="20"/>
          <w:color w:val="auto"/>
        </w:rPr>
      </w:pPr>
    </w:p>
    <w:p>
      <w:pPr>
        <w:jc w:val="both"/>
        <w:ind w:right="3159" w:firstLine="186"/>
        <w:spacing w:after="0" w:line="235" w:lineRule="auto"/>
        <w:rPr>
          <w:sz w:val="20"/>
          <w:szCs w:val="20"/>
          <w:color w:val="auto"/>
        </w:rPr>
      </w:pPr>
      <w:r>
        <w:rPr>
          <w:rFonts w:ascii="Courier New" w:cs="Courier New" w:eastAsia="Courier New" w:hAnsi="Courier New"/>
          <w:sz w:val="16"/>
          <w:szCs w:val="16"/>
          <w:color w:val="auto"/>
        </w:rPr>
        <w:t>Consolidated financial statements and financial statement schedules - (see "Item 8. Financial Statements and Supplementary Data - Notes to Consolidated Financial Statements - Contingencies.")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060" w:type="dxa"/>
            <w:vAlign w:val="bottom"/>
          </w:tcPr>
          <w:p>
            <w:pPr>
              <w:ind w:left="180"/>
              <w:spacing w:after="0"/>
              <w:rPr>
                <w:sz w:val="20"/>
                <w:szCs w:val="20"/>
                <w:color w:val="auto"/>
              </w:rPr>
            </w:pPr>
            <w:r>
              <w:rPr>
                <w:rFonts w:ascii="Courier New" w:cs="Courier New" w:eastAsia="Courier New" w:hAnsi="Courier New"/>
                <w:sz w:val="16"/>
                <w:szCs w:val="16"/>
                <w:color w:val="auto"/>
              </w:rPr>
              <w:t>Exhibit</w:t>
            </w:r>
          </w:p>
        </w:tc>
        <w:tc>
          <w:tcPr>
            <w:tcW w:w="6380" w:type="dxa"/>
            <w:vAlign w:val="bottom"/>
          </w:tcPr>
          <w:p>
            <w:pPr>
              <w:ind w:left="240"/>
              <w:spacing w:after="0"/>
              <w:rPr>
                <w:sz w:val="20"/>
                <w:szCs w:val="20"/>
                <w:color w:val="auto"/>
              </w:rPr>
            </w:pPr>
            <w:r>
              <w:rPr>
                <w:rFonts w:ascii="Courier New" w:cs="Courier New" w:eastAsia="Courier New" w:hAnsi="Courier New"/>
                <w:sz w:val="16"/>
                <w:szCs w:val="16"/>
                <w:color w:val="auto"/>
              </w:rPr>
              <w:t>Description</w:t>
            </w:r>
          </w:p>
        </w:tc>
      </w:tr>
      <w:tr>
        <w:trPr>
          <w:trHeight w:val="179"/>
        </w:trPr>
        <w:tc>
          <w:tcPr>
            <w:tcW w:w="10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w:t>
            </w:r>
          </w:p>
        </w:tc>
        <w:tc>
          <w:tcPr>
            <w:tcW w:w="638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1060" w:type="dxa"/>
            <w:vAlign w:val="bottom"/>
          </w:tcPr>
          <w:p>
            <w:pPr>
              <w:spacing w:after="0"/>
              <w:rPr>
                <w:sz w:val="20"/>
                <w:szCs w:val="20"/>
                <w:color w:val="auto"/>
              </w:rPr>
            </w:pPr>
            <w:r>
              <w:rPr>
                <w:rFonts w:ascii="Courier New" w:cs="Courier New" w:eastAsia="Courier New" w:hAnsi="Courier New"/>
                <w:sz w:val="16"/>
                <w:szCs w:val="16"/>
                <w:color w:val="auto"/>
              </w:rPr>
              <w:t>2.1</w:t>
            </w:r>
          </w:p>
        </w:tc>
        <w:tc>
          <w:tcPr>
            <w:tcW w:w="6380" w:type="dxa"/>
            <w:vAlign w:val="bottom"/>
          </w:tcPr>
          <w:p>
            <w:pPr>
              <w:ind w:left="240"/>
              <w:spacing w:after="0"/>
              <w:rPr>
                <w:sz w:val="20"/>
                <w:szCs w:val="20"/>
                <w:color w:val="auto"/>
              </w:rPr>
            </w:pPr>
            <w:r>
              <w:rPr>
                <w:rFonts w:ascii="Courier New" w:cs="Courier New" w:eastAsia="Courier New" w:hAnsi="Courier New"/>
                <w:sz w:val="16"/>
                <w:szCs w:val="16"/>
                <w:color w:val="auto"/>
                <w:w w:val="96"/>
              </w:rPr>
              <w:t>Acquisition Agreement between the Registrant and Texas Instruments</w:t>
            </w:r>
          </w:p>
        </w:tc>
      </w:tr>
      <w:tr>
        <w:trPr>
          <w:trHeight w:val="179"/>
        </w:trPr>
        <w:tc>
          <w:tcPr>
            <w:tcW w:w="1060" w:type="dxa"/>
            <w:vAlign w:val="bottom"/>
          </w:tcPr>
          <w:p>
            <w:pPr>
              <w:spacing w:after="0"/>
              <w:rPr>
                <w:sz w:val="15"/>
                <w:szCs w:val="15"/>
                <w:color w:val="auto"/>
              </w:rPr>
            </w:pPr>
          </w:p>
        </w:tc>
        <w:tc>
          <w:tcPr>
            <w:tcW w:w="638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Incorporated dated June 18, 1998 (1)</w:t>
            </w:r>
          </w:p>
        </w:tc>
      </w:tr>
      <w:tr>
        <w:trPr>
          <w:trHeight w:val="358"/>
        </w:trPr>
        <w:tc>
          <w:tcPr>
            <w:tcW w:w="1060" w:type="dxa"/>
            <w:vAlign w:val="bottom"/>
          </w:tcPr>
          <w:p>
            <w:pPr>
              <w:spacing w:after="0"/>
              <w:rPr>
                <w:sz w:val="20"/>
                <w:szCs w:val="20"/>
                <w:color w:val="auto"/>
              </w:rPr>
            </w:pPr>
            <w:r>
              <w:rPr>
                <w:rFonts w:ascii="Courier New" w:cs="Courier New" w:eastAsia="Courier New" w:hAnsi="Courier New"/>
                <w:sz w:val="16"/>
                <w:szCs w:val="16"/>
                <w:color w:val="auto"/>
              </w:rPr>
              <w:t>2.2</w:t>
            </w:r>
          </w:p>
        </w:tc>
        <w:tc>
          <w:tcPr>
            <w:tcW w:w="6380" w:type="dxa"/>
            <w:vAlign w:val="bottom"/>
          </w:tcPr>
          <w:p>
            <w:pPr>
              <w:ind w:left="240"/>
              <w:spacing w:after="0"/>
              <w:rPr>
                <w:sz w:val="20"/>
                <w:szCs w:val="20"/>
                <w:color w:val="auto"/>
              </w:rPr>
            </w:pPr>
            <w:r>
              <w:rPr>
                <w:rFonts w:ascii="Courier New" w:cs="Courier New" w:eastAsia="Courier New" w:hAnsi="Courier New"/>
                <w:sz w:val="16"/>
                <w:szCs w:val="16"/>
                <w:color w:val="auto"/>
              </w:rPr>
              <w:t>Second Amendment to Acquisition Agreement dated as of September</w:t>
            </w:r>
          </w:p>
        </w:tc>
      </w:tr>
      <w:tr>
        <w:trPr>
          <w:trHeight w:val="179"/>
        </w:trPr>
        <w:tc>
          <w:tcPr>
            <w:tcW w:w="1060" w:type="dxa"/>
            <w:vAlign w:val="bottom"/>
          </w:tcPr>
          <w:p>
            <w:pPr>
              <w:spacing w:after="0"/>
              <w:rPr>
                <w:sz w:val="15"/>
                <w:szCs w:val="15"/>
                <w:color w:val="auto"/>
              </w:rPr>
            </w:pPr>
          </w:p>
        </w:tc>
        <w:tc>
          <w:tcPr>
            <w:tcW w:w="638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30, 1998, between the Registrant and Texas Instruments</w:t>
            </w:r>
          </w:p>
        </w:tc>
      </w:tr>
      <w:tr>
        <w:trPr>
          <w:trHeight w:val="179"/>
        </w:trPr>
        <w:tc>
          <w:tcPr>
            <w:tcW w:w="1060" w:type="dxa"/>
            <w:vAlign w:val="bottom"/>
          </w:tcPr>
          <w:p>
            <w:pPr>
              <w:spacing w:after="0"/>
              <w:rPr>
                <w:sz w:val="15"/>
                <w:szCs w:val="15"/>
                <w:color w:val="auto"/>
              </w:rPr>
            </w:pPr>
          </w:p>
        </w:tc>
        <w:tc>
          <w:tcPr>
            <w:tcW w:w="638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Incorporated (2)</w:t>
            </w:r>
          </w:p>
        </w:tc>
      </w:tr>
      <w:tr>
        <w:trPr>
          <w:trHeight w:val="358"/>
        </w:trPr>
        <w:tc>
          <w:tcPr>
            <w:tcW w:w="1060" w:type="dxa"/>
            <w:vAlign w:val="bottom"/>
          </w:tcPr>
          <w:p>
            <w:pPr>
              <w:spacing w:after="0"/>
              <w:rPr>
                <w:sz w:val="20"/>
                <w:szCs w:val="20"/>
                <w:color w:val="auto"/>
              </w:rPr>
            </w:pPr>
            <w:r>
              <w:rPr>
                <w:rFonts w:ascii="Courier New" w:cs="Courier New" w:eastAsia="Courier New" w:hAnsi="Courier New"/>
                <w:sz w:val="16"/>
                <w:szCs w:val="16"/>
                <w:color w:val="auto"/>
              </w:rPr>
              <w:t>2.3</w:t>
            </w:r>
          </w:p>
        </w:tc>
        <w:tc>
          <w:tcPr>
            <w:tcW w:w="6380" w:type="dxa"/>
            <w:vAlign w:val="bottom"/>
          </w:tcPr>
          <w:p>
            <w:pPr>
              <w:ind w:left="240"/>
              <w:spacing w:after="0"/>
              <w:rPr>
                <w:sz w:val="20"/>
                <w:szCs w:val="20"/>
                <w:color w:val="auto"/>
              </w:rPr>
            </w:pPr>
            <w:r>
              <w:rPr>
                <w:rFonts w:ascii="Courier New" w:cs="Courier New" w:eastAsia="Courier New" w:hAnsi="Courier New"/>
                <w:sz w:val="16"/>
                <w:szCs w:val="16"/>
                <w:color w:val="auto"/>
              </w:rPr>
              <w:t>Agreement and Plan of Reorganization dated as of June 22, 1998,</w:t>
            </w:r>
          </w:p>
        </w:tc>
      </w:tr>
      <w:tr>
        <w:trPr>
          <w:trHeight w:val="179"/>
        </w:trPr>
        <w:tc>
          <w:tcPr>
            <w:tcW w:w="1060" w:type="dxa"/>
            <w:vAlign w:val="bottom"/>
          </w:tcPr>
          <w:p>
            <w:pPr>
              <w:spacing w:after="0"/>
              <w:rPr>
                <w:sz w:val="15"/>
                <w:szCs w:val="15"/>
                <w:color w:val="auto"/>
              </w:rPr>
            </w:pPr>
          </w:p>
        </w:tc>
        <w:tc>
          <w:tcPr>
            <w:tcW w:w="638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between the Registrant and Rendition, Inc. (3)</w:t>
            </w:r>
          </w:p>
        </w:tc>
      </w:tr>
      <w:tr>
        <w:trPr>
          <w:trHeight w:val="358"/>
        </w:trPr>
        <w:tc>
          <w:tcPr>
            <w:tcW w:w="1060" w:type="dxa"/>
            <w:vAlign w:val="bottom"/>
          </w:tcPr>
          <w:p>
            <w:pPr>
              <w:spacing w:after="0"/>
              <w:rPr>
                <w:sz w:val="20"/>
                <w:szCs w:val="20"/>
                <w:color w:val="auto"/>
              </w:rPr>
            </w:pPr>
            <w:r>
              <w:rPr>
                <w:rFonts w:ascii="Courier New" w:cs="Courier New" w:eastAsia="Courier New" w:hAnsi="Courier New"/>
                <w:sz w:val="16"/>
                <w:szCs w:val="16"/>
                <w:color w:val="auto"/>
              </w:rPr>
              <w:t>3.1</w:t>
            </w:r>
          </w:p>
        </w:tc>
        <w:tc>
          <w:tcPr>
            <w:tcW w:w="6380" w:type="dxa"/>
            <w:vAlign w:val="bottom"/>
          </w:tcPr>
          <w:p>
            <w:pPr>
              <w:ind w:left="240"/>
              <w:spacing w:after="0"/>
              <w:rPr>
                <w:sz w:val="20"/>
                <w:szCs w:val="20"/>
                <w:color w:val="auto"/>
              </w:rPr>
            </w:pPr>
            <w:r>
              <w:rPr>
                <w:rFonts w:ascii="Courier New" w:cs="Courier New" w:eastAsia="Courier New" w:hAnsi="Courier New"/>
                <w:sz w:val="16"/>
                <w:szCs w:val="16"/>
                <w:color w:val="auto"/>
              </w:rPr>
              <w:t>Certificate of Incorporation of the Registrant, as amended</w:t>
            </w:r>
          </w:p>
        </w:tc>
      </w:tr>
      <w:tr>
        <w:trPr>
          <w:trHeight w:val="358"/>
        </w:trPr>
        <w:tc>
          <w:tcPr>
            <w:tcW w:w="1060" w:type="dxa"/>
            <w:vAlign w:val="bottom"/>
          </w:tcPr>
          <w:p>
            <w:pPr>
              <w:spacing w:after="0"/>
              <w:rPr>
                <w:sz w:val="20"/>
                <w:szCs w:val="20"/>
                <w:color w:val="auto"/>
              </w:rPr>
            </w:pPr>
            <w:r>
              <w:rPr>
                <w:rFonts w:ascii="Courier New" w:cs="Courier New" w:eastAsia="Courier New" w:hAnsi="Courier New"/>
                <w:sz w:val="16"/>
                <w:szCs w:val="16"/>
                <w:color w:val="auto"/>
              </w:rPr>
              <w:t>3.7</w:t>
            </w:r>
          </w:p>
        </w:tc>
        <w:tc>
          <w:tcPr>
            <w:tcW w:w="6380" w:type="dxa"/>
            <w:vAlign w:val="bottom"/>
          </w:tcPr>
          <w:p>
            <w:pPr>
              <w:ind w:left="240"/>
              <w:spacing w:after="0"/>
              <w:rPr>
                <w:sz w:val="20"/>
                <w:szCs w:val="20"/>
                <w:color w:val="auto"/>
              </w:rPr>
            </w:pPr>
            <w:r>
              <w:rPr>
                <w:rFonts w:ascii="Courier New" w:cs="Courier New" w:eastAsia="Courier New" w:hAnsi="Courier New"/>
                <w:sz w:val="16"/>
                <w:szCs w:val="16"/>
                <w:color w:val="auto"/>
              </w:rPr>
              <w:t>Bylaws of the Registrant, as amended (20)</w:t>
            </w:r>
          </w:p>
        </w:tc>
      </w:tr>
      <w:tr>
        <w:trPr>
          <w:trHeight w:val="358"/>
        </w:trPr>
        <w:tc>
          <w:tcPr>
            <w:tcW w:w="1060" w:type="dxa"/>
            <w:vAlign w:val="bottom"/>
          </w:tcPr>
          <w:p>
            <w:pPr>
              <w:spacing w:after="0"/>
              <w:rPr>
                <w:sz w:val="20"/>
                <w:szCs w:val="20"/>
                <w:color w:val="auto"/>
              </w:rPr>
            </w:pPr>
            <w:r>
              <w:rPr>
                <w:rFonts w:ascii="Courier New" w:cs="Courier New" w:eastAsia="Courier New" w:hAnsi="Courier New"/>
                <w:sz w:val="16"/>
                <w:szCs w:val="16"/>
                <w:color w:val="auto"/>
              </w:rPr>
              <w:t>4.1</w:t>
            </w:r>
          </w:p>
        </w:tc>
        <w:tc>
          <w:tcPr>
            <w:tcW w:w="6380" w:type="dxa"/>
            <w:vAlign w:val="bottom"/>
          </w:tcPr>
          <w:p>
            <w:pPr>
              <w:ind w:left="240"/>
              <w:spacing w:after="0"/>
              <w:rPr>
                <w:sz w:val="20"/>
                <w:szCs w:val="20"/>
                <w:color w:val="auto"/>
              </w:rPr>
            </w:pPr>
            <w:r>
              <w:rPr>
                <w:rFonts w:ascii="Courier New" w:cs="Courier New" w:eastAsia="Courier New" w:hAnsi="Courier New"/>
                <w:sz w:val="16"/>
                <w:szCs w:val="16"/>
                <w:color w:val="auto"/>
              </w:rPr>
              <w:t>Indenture dated as of June 15, 1997, between the Registrant and</w:t>
            </w:r>
          </w:p>
        </w:tc>
      </w:tr>
      <w:tr>
        <w:trPr>
          <w:trHeight w:val="179"/>
        </w:trPr>
        <w:tc>
          <w:tcPr>
            <w:tcW w:w="1060" w:type="dxa"/>
            <w:vAlign w:val="bottom"/>
          </w:tcPr>
          <w:p>
            <w:pPr>
              <w:spacing w:after="0"/>
              <w:rPr>
                <w:sz w:val="15"/>
                <w:szCs w:val="15"/>
                <w:color w:val="auto"/>
              </w:rPr>
            </w:pPr>
          </w:p>
        </w:tc>
        <w:tc>
          <w:tcPr>
            <w:tcW w:w="638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Norwest Bank Minnesota, National Association (the "Trustee"),</w:t>
            </w:r>
          </w:p>
        </w:tc>
      </w:tr>
      <w:tr>
        <w:trPr>
          <w:trHeight w:val="179"/>
        </w:trPr>
        <w:tc>
          <w:tcPr>
            <w:tcW w:w="1060" w:type="dxa"/>
            <w:vAlign w:val="bottom"/>
          </w:tcPr>
          <w:p>
            <w:pPr>
              <w:spacing w:after="0"/>
              <w:rPr>
                <w:sz w:val="15"/>
                <w:szCs w:val="15"/>
                <w:color w:val="auto"/>
              </w:rPr>
            </w:pPr>
          </w:p>
        </w:tc>
        <w:tc>
          <w:tcPr>
            <w:tcW w:w="638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w w:val="98"/>
              </w:rPr>
              <w:t>relating to the issuance of 7% Convertible Subordinated Notes due</w:t>
            </w:r>
          </w:p>
        </w:tc>
      </w:tr>
      <w:tr>
        <w:trPr>
          <w:trHeight w:val="179"/>
        </w:trPr>
        <w:tc>
          <w:tcPr>
            <w:tcW w:w="1060" w:type="dxa"/>
            <w:vAlign w:val="bottom"/>
          </w:tcPr>
          <w:p>
            <w:pPr>
              <w:spacing w:after="0"/>
              <w:rPr>
                <w:sz w:val="15"/>
                <w:szCs w:val="15"/>
                <w:color w:val="auto"/>
              </w:rPr>
            </w:pPr>
          </w:p>
        </w:tc>
        <w:tc>
          <w:tcPr>
            <w:tcW w:w="638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July 1, 2004 (the "Notes") (6)</w:t>
            </w:r>
          </w:p>
        </w:tc>
      </w:tr>
      <w:tr>
        <w:trPr>
          <w:trHeight w:val="358"/>
        </w:trPr>
        <w:tc>
          <w:tcPr>
            <w:tcW w:w="1060" w:type="dxa"/>
            <w:vAlign w:val="bottom"/>
          </w:tcPr>
          <w:p>
            <w:pPr>
              <w:spacing w:after="0"/>
              <w:rPr>
                <w:sz w:val="20"/>
                <w:szCs w:val="20"/>
                <w:color w:val="auto"/>
              </w:rPr>
            </w:pPr>
            <w:r>
              <w:rPr>
                <w:rFonts w:ascii="Courier New" w:cs="Courier New" w:eastAsia="Courier New" w:hAnsi="Courier New"/>
                <w:sz w:val="16"/>
                <w:szCs w:val="16"/>
                <w:color w:val="auto"/>
              </w:rPr>
              <w:t>4.2</w:t>
            </w:r>
          </w:p>
        </w:tc>
        <w:tc>
          <w:tcPr>
            <w:tcW w:w="6380" w:type="dxa"/>
            <w:vAlign w:val="bottom"/>
          </w:tcPr>
          <w:p>
            <w:pPr>
              <w:ind w:left="240"/>
              <w:spacing w:after="0"/>
              <w:rPr>
                <w:sz w:val="20"/>
                <w:szCs w:val="20"/>
                <w:color w:val="auto"/>
              </w:rPr>
            </w:pPr>
            <w:r>
              <w:rPr>
                <w:rFonts w:ascii="Courier New" w:cs="Courier New" w:eastAsia="Courier New" w:hAnsi="Courier New"/>
                <w:sz w:val="16"/>
                <w:szCs w:val="16"/>
                <w:color w:val="auto"/>
              </w:rPr>
              <w:t>Supplemental Trust Indenture dated as of June 15, 1997, between</w:t>
            </w:r>
          </w:p>
        </w:tc>
      </w:tr>
      <w:tr>
        <w:trPr>
          <w:trHeight w:val="179"/>
        </w:trPr>
        <w:tc>
          <w:tcPr>
            <w:tcW w:w="1060" w:type="dxa"/>
            <w:vAlign w:val="bottom"/>
          </w:tcPr>
          <w:p>
            <w:pPr>
              <w:spacing w:after="0"/>
              <w:rPr>
                <w:sz w:val="15"/>
                <w:szCs w:val="15"/>
                <w:color w:val="auto"/>
              </w:rPr>
            </w:pPr>
          </w:p>
        </w:tc>
        <w:tc>
          <w:tcPr>
            <w:tcW w:w="638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w w:val="99"/>
              </w:rPr>
              <w:t>the Registrant and the Trustee, relating to the Notes (including</w:t>
            </w:r>
          </w:p>
        </w:tc>
      </w:tr>
      <w:tr>
        <w:trPr>
          <w:trHeight w:val="179"/>
        </w:trPr>
        <w:tc>
          <w:tcPr>
            <w:tcW w:w="1060" w:type="dxa"/>
            <w:vAlign w:val="bottom"/>
          </w:tcPr>
          <w:p>
            <w:pPr>
              <w:spacing w:after="0"/>
              <w:rPr>
                <w:sz w:val="15"/>
                <w:szCs w:val="15"/>
                <w:color w:val="auto"/>
              </w:rPr>
            </w:pPr>
          </w:p>
        </w:tc>
        <w:tc>
          <w:tcPr>
            <w:tcW w:w="638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the form of Note) (6)</w:t>
            </w:r>
          </w:p>
        </w:tc>
      </w:tr>
      <w:tr>
        <w:trPr>
          <w:trHeight w:val="358"/>
        </w:trPr>
        <w:tc>
          <w:tcPr>
            <w:tcW w:w="1060" w:type="dxa"/>
            <w:vAlign w:val="bottom"/>
          </w:tcPr>
          <w:p>
            <w:pPr>
              <w:spacing w:after="0"/>
              <w:rPr>
                <w:sz w:val="20"/>
                <w:szCs w:val="20"/>
                <w:color w:val="auto"/>
              </w:rPr>
            </w:pPr>
            <w:r>
              <w:rPr>
                <w:rFonts w:ascii="Courier New" w:cs="Courier New" w:eastAsia="Courier New" w:hAnsi="Courier New"/>
                <w:sz w:val="16"/>
                <w:szCs w:val="16"/>
                <w:color w:val="auto"/>
              </w:rPr>
              <w:t>4.3</w:t>
            </w:r>
          </w:p>
        </w:tc>
        <w:tc>
          <w:tcPr>
            <w:tcW w:w="6380" w:type="dxa"/>
            <w:vAlign w:val="bottom"/>
          </w:tcPr>
          <w:p>
            <w:pPr>
              <w:ind w:left="240"/>
              <w:spacing w:after="0"/>
              <w:rPr>
                <w:sz w:val="20"/>
                <w:szCs w:val="20"/>
                <w:color w:val="auto"/>
              </w:rPr>
            </w:pPr>
            <w:r>
              <w:rPr>
                <w:rFonts w:ascii="Courier New" w:cs="Courier New" w:eastAsia="Courier New" w:hAnsi="Courier New"/>
                <w:sz w:val="16"/>
                <w:szCs w:val="16"/>
                <w:color w:val="auto"/>
                <w:w w:val="96"/>
              </w:rPr>
              <w:t>Rendition Affiliate Agreement dated as of June 22, 1998, among the</w:t>
            </w:r>
          </w:p>
        </w:tc>
      </w:tr>
      <w:tr>
        <w:trPr>
          <w:trHeight w:val="179"/>
        </w:trPr>
        <w:tc>
          <w:tcPr>
            <w:tcW w:w="1060" w:type="dxa"/>
            <w:vAlign w:val="bottom"/>
          </w:tcPr>
          <w:p>
            <w:pPr>
              <w:spacing w:after="0"/>
              <w:rPr>
                <w:sz w:val="15"/>
                <w:szCs w:val="15"/>
                <w:color w:val="auto"/>
              </w:rPr>
            </w:pPr>
          </w:p>
        </w:tc>
        <w:tc>
          <w:tcPr>
            <w:tcW w:w="638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Registrant, Rendition, Inc. and each of the affiliates of</w:t>
            </w:r>
          </w:p>
        </w:tc>
      </w:tr>
      <w:tr>
        <w:trPr>
          <w:trHeight w:val="179"/>
        </w:trPr>
        <w:tc>
          <w:tcPr>
            <w:tcW w:w="1060" w:type="dxa"/>
            <w:vAlign w:val="bottom"/>
          </w:tcPr>
          <w:p>
            <w:pPr>
              <w:spacing w:after="0"/>
              <w:rPr>
                <w:sz w:val="15"/>
                <w:szCs w:val="15"/>
                <w:color w:val="auto"/>
              </w:rPr>
            </w:pPr>
          </w:p>
        </w:tc>
        <w:tc>
          <w:tcPr>
            <w:tcW w:w="638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Rendition (3)</w:t>
            </w:r>
          </w:p>
        </w:tc>
      </w:tr>
      <w:tr>
        <w:trPr>
          <w:trHeight w:val="358"/>
        </w:trPr>
        <w:tc>
          <w:tcPr>
            <w:tcW w:w="1060" w:type="dxa"/>
            <w:vAlign w:val="bottom"/>
          </w:tcPr>
          <w:p>
            <w:pPr>
              <w:spacing w:after="0"/>
              <w:rPr>
                <w:sz w:val="20"/>
                <w:szCs w:val="20"/>
                <w:color w:val="auto"/>
              </w:rPr>
            </w:pPr>
            <w:r>
              <w:rPr>
                <w:rFonts w:ascii="Courier New" w:cs="Courier New" w:eastAsia="Courier New" w:hAnsi="Courier New"/>
                <w:sz w:val="16"/>
                <w:szCs w:val="16"/>
                <w:color w:val="auto"/>
              </w:rPr>
              <w:t>4.8</w:t>
            </w:r>
          </w:p>
        </w:tc>
        <w:tc>
          <w:tcPr>
            <w:tcW w:w="6380" w:type="dxa"/>
            <w:vAlign w:val="bottom"/>
          </w:tcPr>
          <w:p>
            <w:pPr>
              <w:ind w:left="240"/>
              <w:spacing w:after="0"/>
              <w:rPr>
                <w:sz w:val="20"/>
                <w:szCs w:val="20"/>
                <w:color w:val="auto"/>
              </w:rPr>
            </w:pPr>
            <w:r>
              <w:rPr>
                <w:rFonts w:ascii="Courier New" w:cs="Courier New" w:eastAsia="Courier New" w:hAnsi="Courier New"/>
                <w:sz w:val="16"/>
                <w:szCs w:val="16"/>
                <w:color w:val="auto"/>
              </w:rPr>
              <w:t>Micron Quantum Devices Stock Bonus Plan (21)</w:t>
            </w:r>
          </w:p>
        </w:tc>
      </w:tr>
      <w:tr>
        <w:trPr>
          <w:trHeight w:val="358"/>
        </w:trPr>
        <w:tc>
          <w:tcPr>
            <w:tcW w:w="1060" w:type="dxa"/>
            <w:vAlign w:val="bottom"/>
          </w:tcPr>
          <w:p>
            <w:pPr>
              <w:spacing w:after="0"/>
              <w:rPr>
                <w:sz w:val="20"/>
                <w:szCs w:val="20"/>
                <w:color w:val="auto"/>
              </w:rPr>
            </w:pPr>
            <w:r>
              <w:rPr>
                <w:rFonts w:ascii="Courier New" w:cs="Courier New" w:eastAsia="Courier New" w:hAnsi="Courier New"/>
                <w:sz w:val="16"/>
                <w:szCs w:val="16"/>
                <w:color w:val="auto"/>
              </w:rPr>
              <w:t>10.6</w:t>
            </w:r>
          </w:p>
        </w:tc>
        <w:tc>
          <w:tcPr>
            <w:tcW w:w="6380" w:type="dxa"/>
            <w:vAlign w:val="bottom"/>
          </w:tcPr>
          <w:p>
            <w:pPr>
              <w:ind w:left="240"/>
              <w:spacing w:after="0"/>
              <w:rPr>
                <w:sz w:val="20"/>
                <w:szCs w:val="20"/>
                <w:color w:val="auto"/>
              </w:rPr>
            </w:pPr>
            <w:r>
              <w:rPr>
                <w:rFonts w:ascii="Courier New" w:cs="Courier New" w:eastAsia="Courier New" w:hAnsi="Courier New"/>
                <w:sz w:val="16"/>
                <w:szCs w:val="16"/>
                <w:color w:val="auto"/>
              </w:rPr>
              <w:t>Form of Micron Affiliate Agreement among the Registrant,</w:t>
            </w:r>
          </w:p>
        </w:tc>
      </w:tr>
      <w:tr>
        <w:trPr>
          <w:trHeight w:val="179"/>
        </w:trPr>
        <w:tc>
          <w:tcPr>
            <w:tcW w:w="1060" w:type="dxa"/>
            <w:vAlign w:val="bottom"/>
          </w:tcPr>
          <w:p>
            <w:pPr>
              <w:spacing w:after="0"/>
              <w:rPr>
                <w:sz w:val="15"/>
                <w:szCs w:val="15"/>
                <w:color w:val="auto"/>
              </w:rPr>
            </w:pPr>
          </w:p>
        </w:tc>
        <w:tc>
          <w:tcPr>
            <w:tcW w:w="638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w w:val="99"/>
              </w:rPr>
              <w:t>Rendition, Inc. and each of the affiliates of the Registrant (3)</w:t>
            </w:r>
          </w:p>
        </w:tc>
      </w:tr>
      <w:tr>
        <w:trPr>
          <w:trHeight w:val="358"/>
        </w:trPr>
        <w:tc>
          <w:tcPr>
            <w:tcW w:w="1060" w:type="dxa"/>
            <w:vAlign w:val="bottom"/>
          </w:tcPr>
          <w:p>
            <w:pPr>
              <w:spacing w:after="0"/>
              <w:rPr>
                <w:sz w:val="20"/>
                <w:szCs w:val="20"/>
                <w:color w:val="auto"/>
              </w:rPr>
            </w:pPr>
            <w:r>
              <w:rPr>
                <w:rFonts w:ascii="Courier New" w:cs="Courier New" w:eastAsia="Courier New" w:hAnsi="Courier New"/>
                <w:sz w:val="16"/>
                <w:szCs w:val="16"/>
                <w:color w:val="auto"/>
              </w:rPr>
              <w:t>10.82</w:t>
            </w:r>
          </w:p>
        </w:tc>
        <w:tc>
          <w:tcPr>
            <w:tcW w:w="6380" w:type="dxa"/>
            <w:vAlign w:val="bottom"/>
          </w:tcPr>
          <w:p>
            <w:pPr>
              <w:ind w:left="240"/>
              <w:spacing w:after="0"/>
              <w:rPr>
                <w:sz w:val="20"/>
                <w:szCs w:val="20"/>
                <w:color w:val="auto"/>
              </w:rPr>
            </w:pPr>
            <w:r>
              <w:rPr>
                <w:rFonts w:ascii="Courier New" w:cs="Courier New" w:eastAsia="Courier New" w:hAnsi="Courier New"/>
                <w:sz w:val="16"/>
                <w:szCs w:val="16"/>
                <w:color w:val="auto"/>
                <w:w w:val="99"/>
              </w:rPr>
              <w:t>Form of Indemnification Agreement between the Registrant and its</w:t>
            </w:r>
          </w:p>
        </w:tc>
      </w:tr>
      <w:tr>
        <w:trPr>
          <w:trHeight w:val="179"/>
        </w:trPr>
        <w:tc>
          <w:tcPr>
            <w:tcW w:w="1060" w:type="dxa"/>
            <w:vAlign w:val="bottom"/>
          </w:tcPr>
          <w:p>
            <w:pPr>
              <w:spacing w:after="0"/>
              <w:rPr>
                <w:sz w:val="15"/>
                <w:szCs w:val="15"/>
                <w:color w:val="auto"/>
              </w:rPr>
            </w:pPr>
          </w:p>
        </w:tc>
        <w:tc>
          <w:tcPr>
            <w:tcW w:w="638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officers and directors (7)</w:t>
            </w:r>
          </w:p>
        </w:tc>
      </w:tr>
      <w:tr>
        <w:trPr>
          <w:trHeight w:val="358"/>
        </w:trPr>
        <w:tc>
          <w:tcPr>
            <w:tcW w:w="1060" w:type="dxa"/>
            <w:vAlign w:val="bottom"/>
          </w:tcPr>
          <w:p>
            <w:pPr>
              <w:spacing w:after="0"/>
              <w:rPr>
                <w:sz w:val="20"/>
                <w:szCs w:val="20"/>
                <w:color w:val="auto"/>
              </w:rPr>
            </w:pPr>
            <w:r>
              <w:rPr>
                <w:rFonts w:ascii="Courier New" w:cs="Courier New" w:eastAsia="Courier New" w:hAnsi="Courier New"/>
                <w:sz w:val="16"/>
                <w:szCs w:val="16"/>
                <w:color w:val="auto"/>
              </w:rPr>
              <w:t>10.91</w:t>
            </w:r>
          </w:p>
        </w:tc>
        <w:tc>
          <w:tcPr>
            <w:tcW w:w="6380" w:type="dxa"/>
            <w:vAlign w:val="bottom"/>
          </w:tcPr>
          <w:p>
            <w:pPr>
              <w:ind w:left="240"/>
              <w:spacing w:after="0"/>
              <w:rPr>
                <w:sz w:val="20"/>
                <w:szCs w:val="20"/>
                <w:color w:val="auto"/>
              </w:rPr>
            </w:pPr>
            <w:r>
              <w:rPr>
                <w:rFonts w:ascii="Courier New" w:cs="Courier New" w:eastAsia="Courier New" w:hAnsi="Courier New"/>
                <w:sz w:val="16"/>
                <w:szCs w:val="16"/>
                <w:color w:val="auto"/>
                <w:w w:val="98"/>
              </w:rPr>
              <w:t>Board Resolution regarding stock and bonus plan vesting schedules</w:t>
            </w:r>
          </w:p>
        </w:tc>
      </w:tr>
      <w:tr>
        <w:trPr>
          <w:trHeight w:val="179"/>
        </w:trPr>
        <w:tc>
          <w:tcPr>
            <w:tcW w:w="1060" w:type="dxa"/>
            <w:vAlign w:val="bottom"/>
          </w:tcPr>
          <w:p>
            <w:pPr>
              <w:spacing w:after="0"/>
              <w:rPr>
                <w:sz w:val="15"/>
                <w:szCs w:val="15"/>
                <w:color w:val="auto"/>
              </w:rPr>
            </w:pPr>
          </w:p>
        </w:tc>
        <w:tc>
          <w:tcPr>
            <w:tcW w:w="638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in the event of change in control of the Registrant (8)</w:t>
            </w:r>
          </w:p>
        </w:tc>
      </w:tr>
      <w:tr>
        <w:trPr>
          <w:trHeight w:val="358"/>
        </w:trPr>
        <w:tc>
          <w:tcPr>
            <w:tcW w:w="1060" w:type="dxa"/>
            <w:vAlign w:val="bottom"/>
          </w:tcPr>
          <w:p>
            <w:pPr>
              <w:spacing w:after="0"/>
              <w:rPr>
                <w:sz w:val="20"/>
                <w:szCs w:val="20"/>
                <w:color w:val="auto"/>
              </w:rPr>
            </w:pPr>
            <w:r>
              <w:rPr>
                <w:rFonts w:ascii="Courier New" w:cs="Courier New" w:eastAsia="Courier New" w:hAnsi="Courier New"/>
                <w:sz w:val="16"/>
                <w:szCs w:val="16"/>
                <w:color w:val="auto"/>
              </w:rPr>
              <w:t>10.92</w:t>
            </w:r>
          </w:p>
        </w:tc>
        <w:tc>
          <w:tcPr>
            <w:tcW w:w="6380" w:type="dxa"/>
            <w:vAlign w:val="bottom"/>
          </w:tcPr>
          <w:p>
            <w:pPr>
              <w:ind w:left="240"/>
              <w:spacing w:after="0"/>
              <w:rPr>
                <w:sz w:val="20"/>
                <w:szCs w:val="20"/>
                <w:color w:val="auto"/>
              </w:rPr>
            </w:pPr>
            <w:r>
              <w:rPr>
                <w:rFonts w:ascii="Courier New" w:cs="Courier New" w:eastAsia="Courier New" w:hAnsi="Courier New"/>
                <w:sz w:val="16"/>
                <w:szCs w:val="16"/>
                <w:color w:val="auto"/>
                <w:w w:val="96"/>
              </w:rPr>
              <w:t>Additional provisions related to Management Bonus Arrangements for</w:t>
            </w:r>
          </w:p>
        </w:tc>
      </w:tr>
      <w:tr>
        <w:trPr>
          <w:trHeight w:val="179"/>
        </w:trPr>
        <w:tc>
          <w:tcPr>
            <w:tcW w:w="1060" w:type="dxa"/>
            <w:vAlign w:val="bottom"/>
          </w:tcPr>
          <w:p>
            <w:pPr>
              <w:spacing w:after="0"/>
              <w:rPr>
                <w:sz w:val="15"/>
                <w:szCs w:val="15"/>
                <w:color w:val="auto"/>
              </w:rPr>
            </w:pPr>
          </w:p>
        </w:tc>
        <w:tc>
          <w:tcPr>
            <w:tcW w:w="638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Certain Executive Officers (8)</w:t>
            </w:r>
          </w:p>
        </w:tc>
      </w:tr>
      <w:tr>
        <w:trPr>
          <w:trHeight w:val="358"/>
        </w:trPr>
        <w:tc>
          <w:tcPr>
            <w:tcW w:w="1060" w:type="dxa"/>
            <w:vAlign w:val="bottom"/>
          </w:tcPr>
          <w:p>
            <w:pPr>
              <w:spacing w:after="0"/>
              <w:rPr>
                <w:sz w:val="20"/>
                <w:szCs w:val="20"/>
                <w:color w:val="auto"/>
              </w:rPr>
            </w:pPr>
            <w:r>
              <w:rPr>
                <w:rFonts w:ascii="Courier New" w:cs="Courier New" w:eastAsia="Courier New" w:hAnsi="Courier New"/>
                <w:sz w:val="16"/>
                <w:szCs w:val="16"/>
                <w:color w:val="auto"/>
              </w:rPr>
              <w:t>10.100</w:t>
            </w:r>
          </w:p>
        </w:tc>
        <w:tc>
          <w:tcPr>
            <w:tcW w:w="6380" w:type="dxa"/>
            <w:vAlign w:val="bottom"/>
          </w:tcPr>
          <w:p>
            <w:pPr>
              <w:ind w:left="240"/>
              <w:spacing w:after="0"/>
              <w:rPr>
                <w:sz w:val="20"/>
                <w:szCs w:val="20"/>
                <w:color w:val="auto"/>
              </w:rPr>
            </w:pPr>
            <w:r>
              <w:rPr>
                <w:rFonts w:ascii="Courier New" w:cs="Courier New" w:eastAsia="Courier New" w:hAnsi="Courier New"/>
                <w:sz w:val="16"/>
                <w:szCs w:val="16"/>
                <w:color w:val="auto"/>
              </w:rPr>
              <w:t>Amended and Restated 1985 Incentive Stock Option Plan (9)</w:t>
            </w:r>
          </w:p>
        </w:tc>
      </w:tr>
      <w:tr>
        <w:trPr>
          <w:trHeight w:val="358"/>
        </w:trPr>
        <w:tc>
          <w:tcPr>
            <w:tcW w:w="1060" w:type="dxa"/>
            <w:vAlign w:val="bottom"/>
          </w:tcPr>
          <w:p>
            <w:pPr>
              <w:spacing w:after="0"/>
              <w:rPr>
                <w:sz w:val="20"/>
                <w:szCs w:val="20"/>
                <w:color w:val="auto"/>
              </w:rPr>
            </w:pPr>
            <w:r>
              <w:rPr>
                <w:rFonts w:ascii="Courier New" w:cs="Courier New" w:eastAsia="Courier New" w:hAnsi="Courier New"/>
                <w:sz w:val="16"/>
                <w:szCs w:val="16"/>
                <w:color w:val="auto"/>
              </w:rPr>
              <w:t>10.109</w:t>
            </w:r>
          </w:p>
        </w:tc>
        <w:tc>
          <w:tcPr>
            <w:tcW w:w="6380" w:type="dxa"/>
            <w:vAlign w:val="bottom"/>
          </w:tcPr>
          <w:p>
            <w:pPr>
              <w:ind w:left="240"/>
              <w:spacing w:after="0"/>
              <w:rPr>
                <w:sz w:val="20"/>
                <w:szCs w:val="20"/>
                <w:color w:val="auto"/>
              </w:rPr>
            </w:pPr>
            <w:r>
              <w:rPr>
                <w:rFonts w:ascii="Courier New" w:cs="Courier New" w:eastAsia="Courier New" w:hAnsi="Courier New"/>
                <w:sz w:val="16"/>
                <w:szCs w:val="16"/>
                <w:color w:val="auto"/>
              </w:rPr>
              <w:t>Form of Management bonus arrangements for Executive Officers of</w:t>
            </w:r>
          </w:p>
        </w:tc>
      </w:tr>
      <w:tr>
        <w:trPr>
          <w:trHeight w:val="179"/>
        </w:trPr>
        <w:tc>
          <w:tcPr>
            <w:tcW w:w="1060" w:type="dxa"/>
            <w:vAlign w:val="bottom"/>
          </w:tcPr>
          <w:p>
            <w:pPr>
              <w:spacing w:after="0"/>
              <w:rPr>
                <w:sz w:val="15"/>
                <w:szCs w:val="15"/>
                <w:color w:val="auto"/>
              </w:rPr>
            </w:pPr>
          </w:p>
        </w:tc>
        <w:tc>
          <w:tcPr>
            <w:tcW w:w="638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w w:val="99"/>
              </w:rPr>
              <w:t>Micron Technology, Inc. and Micron Semiconductor, Inc., for 1994</w:t>
            </w:r>
          </w:p>
        </w:tc>
      </w:tr>
      <w:tr>
        <w:trPr>
          <w:trHeight w:val="179"/>
        </w:trPr>
        <w:tc>
          <w:tcPr>
            <w:tcW w:w="1060" w:type="dxa"/>
            <w:vAlign w:val="bottom"/>
          </w:tcPr>
          <w:p>
            <w:pPr>
              <w:spacing w:after="0"/>
              <w:rPr>
                <w:sz w:val="15"/>
                <w:szCs w:val="15"/>
                <w:color w:val="auto"/>
              </w:rPr>
            </w:pPr>
          </w:p>
        </w:tc>
        <w:tc>
          <w:tcPr>
            <w:tcW w:w="638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(10)</w:t>
            </w:r>
          </w:p>
        </w:tc>
      </w:tr>
      <w:tr>
        <w:trPr>
          <w:trHeight w:val="358"/>
        </w:trPr>
        <w:tc>
          <w:tcPr>
            <w:tcW w:w="1060" w:type="dxa"/>
            <w:vAlign w:val="bottom"/>
          </w:tcPr>
          <w:p>
            <w:pPr>
              <w:spacing w:after="0"/>
              <w:rPr>
                <w:sz w:val="20"/>
                <w:szCs w:val="20"/>
                <w:color w:val="auto"/>
              </w:rPr>
            </w:pPr>
            <w:r>
              <w:rPr>
                <w:rFonts w:ascii="Courier New" w:cs="Courier New" w:eastAsia="Courier New" w:hAnsi="Courier New"/>
                <w:sz w:val="16"/>
                <w:szCs w:val="16"/>
                <w:color w:val="auto"/>
              </w:rPr>
              <w:t>10.110</w:t>
            </w:r>
          </w:p>
        </w:tc>
        <w:tc>
          <w:tcPr>
            <w:tcW w:w="6380" w:type="dxa"/>
            <w:vAlign w:val="bottom"/>
          </w:tcPr>
          <w:p>
            <w:pPr>
              <w:ind w:left="240"/>
              <w:spacing w:after="0"/>
              <w:rPr>
                <w:sz w:val="20"/>
                <w:szCs w:val="20"/>
                <w:color w:val="auto"/>
              </w:rPr>
            </w:pPr>
            <w:r>
              <w:rPr>
                <w:rFonts w:ascii="Courier New" w:cs="Courier New" w:eastAsia="Courier New" w:hAnsi="Courier New"/>
                <w:sz w:val="16"/>
                <w:szCs w:val="16"/>
                <w:color w:val="auto"/>
              </w:rPr>
              <w:t>1994 Stock Option Plan (20)</w:t>
            </w:r>
          </w:p>
        </w:tc>
      </w:tr>
      <w:tr>
        <w:trPr>
          <w:trHeight w:val="358"/>
        </w:trPr>
        <w:tc>
          <w:tcPr>
            <w:tcW w:w="1060" w:type="dxa"/>
            <w:vAlign w:val="bottom"/>
          </w:tcPr>
          <w:p>
            <w:pPr>
              <w:spacing w:after="0"/>
              <w:rPr>
                <w:sz w:val="20"/>
                <w:szCs w:val="20"/>
                <w:color w:val="auto"/>
              </w:rPr>
            </w:pPr>
            <w:r>
              <w:rPr>
                <w:rFonts w:ascii="Courier New" w:cs="Courier New" w:eastAsia="Courier New" w:hAnsi="Courier New"/>
                <w:sz w:val="16"/>
                <w:szCs w:val="16"/>
                <w:color w:val="auto"/>
              </w:rPr>
              <w:t>10.111</w:t>
            </w:r>
          </w:p>
        </w:tc>
        <w:tc>
          <w:tcPr>
            <w:tcW w:w="6380" w:type="dxa"/>
            <w:vAlign w:val="bottom"/>
          </w:tcPr>
          <w:p>
            <w:pPr>
              <w:ind w:left="240"/>
              <w:spacing w:after="0"/>
              <w:rPr>
                <w:sz w:val="20"/>
                <w:szCs w:val="20"/>
                <w:color w:val="auto"/>
              </w:rPr>
            </w:pPr>
            <w:r>
              <w:rPr>
                <w:rFonts w:ascii="Courier New" w:cs="Courier New" w:eastAsia="Courier New" w:hAnsi="Courier New"/>
                <w:sz w:val="16"/>
                <w:szCs w:val="16"/>
                <w:color w:val="auto"/>
              </w:rPr>
              <w:t>Executive Bonus Plan (4)</w:t>
            </w:r>
          </w:p>
        </w:tc>
      </w:tr>
      <w:tr>
        <w:trPr>
          <w:trHeight w:val="358"/>
        </w:trPr>
        <w:tc>
          <w:tcPr>
            <w:tcW w:w="1060" w:type="dxa"/>
            <w:vAlign w:val="bottom"/>
          </w:tcPr>
          <w:p>
            <w:pPr>
              <w:spacing w:after="0"/>
              <w:rPr>
                <w:sz w:val="20"/>
                <w:szCs w:val="20"/>
                <w:color w:val="auto"/>
              </w:rPr>
            </w:pPr>
            <w:r>
              <w:rPr>
                <w:rFonts w:ascii="Courier New" w:cs="Courier New" w:eastAsia="Courier New" w:hAnsi="Courier New"/>
                <w:sz w:val="16"/>
                <w:szCs w:val="16"/>
                <w:color w:val="auto"/>
              </w:rPr>
              <w:t>10.112</w:t>
            </w:r>
          </w:p>
        </w:tc>
        <w:tc>
          <w:tcPr>
            <w:tcW w:w="6380" w:type="dxa"/>
            <w:vAlign w:val="bottom"/>
          </w:tcPr>
          <w:p>
            <w:pPr>
              <w:ind w:left="240"/>
              <w:spacing w:after="0"/>
              <w:rPr>
                <w:sz w:val="20"/>
                <w:szCs w:val="20"/>
                <w:color w:val="auto"/>
              </w:rPr>
            </w:pPr>
            <w:r>
              <w:rPr>
                <w:rFonts w:ascii="Courier New" w:cs="Courier New" w:eastAsia="Courier New" w:hAnsi="Courier New"/>
                <w:sz w:val="16"/>
                <w:szCs w:val="16"/>
                <w:color w:val="auto"/>
              </w:rPr>
              <w:t>Forms of Severance Agreement (12)</w:t>
            </w:r>
          </w:p>
        </w:tc>
      </w:tr>
      <w:tr>
        <w:trPr>
          <w:trHeight w:val="358"/>
        </w:trPr>
        <w:tc>
          <w:tcPr>
            <w:tcW w:w="1060" w:type="dxa"/>
            <w:vAlign w:val="bottom"/>
          </w:tcPr>
          <w:p>
            <w:pPr>
              <w:spacing w:after="0"/>
              <w:rPr>
                <w:sz w:val="20"/>
                <w:szCs w:val="20"/>
                <w:color w:val="auto"/>
              </w:rPr>
            </w:pPr>
            <w:r>
              <w:rPr>
                <w:rFonts w:ascii="Courier New" w:cs="Courier New" w:eastAsia="Courier New" w:hAnsi="Courier New"/>
                <w:sz w:val="16"/>
                <w:szCs w:val="16"/>
                <w:color w:val="auto"/>
              </w:rPr>
              <w:t>10.116</w:t>
            </w:r>
          </w:p>
        </w:tc>
        <w:tc>
          <w:tcPr>
            <w:tcW w:w="6380" w:type="dxa"/>
            <w:vAlign w:val="bottom"/>
          </w:tcPr>
          <w:p>
            <w:pPr>
              <w:ind w:left="240"/>
              <w:spacing w:after="0"/>
              <w:rPr>
                <w:sz w:val="20"/>
                <w:szCs w:val="20"/>
                <w:color w:val="auto"/>
              </w:rPr>
            </w:pPr>
            <w:r>
              <w:rPr>
                <w:rFonts w:ascii="Courier New" w:cs="Courier New" w:eastAsia="Courier New" w:hAnsi="Courier New"/>
                <w:sz w:val="16"/>
                <w:szCs w:val="16"/>
                <w:color w:val="auto"/>
              </w:rPr>
              <w:t>Registration Rights Agreement dated as of June 28, 1996 between</w:t>
            </w:r>
          </w:p>
        </w:tc>
      </w:tr>
      <w:tr>
        <w:trPr>
          <w:trHeight w:val="179"/>
        </w:trPr>
        <w:tc>
          <w:tcPr>
            <w:tcW w:w="1060" w:type="dxa"/>
            <w:vAlign w:val="bottom"/>
          </w:tcPr>
          <w:p>
            <w:pPr>
              <w:spacing w:after="0"/>
              <w:rPr>
                <w:sz w:val="15"/>
                <w:szCs w:val="15"/>
                <w:color w:val="auto"/>
              </w:rPr>
            </w:pPr>
          </w:p>
        </w:tc>
        <w:tc>
          <w:tcPr>
            <w:tcW w:w="638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the Registrant and Canadian Imperial Bank of Commerce (13)</w:t>
            </w:r>
          </w:p>
        </w:tc>
      </w:tr>
      <w:tr>
        <w:trPr>
          <w:trHeight w:val="358"/>
        </w:trPr>
        <w:tc>
          <w:tcPr>
            <w:tcW w:w="1060" w:type="dxa"/>
            <w:vAlign w:val="bottom"/>
          </w:tcPr>
          <w:p>
            <w:pPr>
              <w:spacing w:after="0"/>
              <w:rPr>
                <w:sz w:val="20"/>
                <w:szCs w:val="20"/>
                <w:color w:val="auto"/>
              </w:rPr>
            </w:pPr>
            <w:r>
              <w:rPr>
                <w:rFonts w:ascii="Courier New" w:cs="Courier New" w:eastAsia="Courier New" w:hAnsi="Courier New"/>
                <w:sz w:val="16"/>
                <w:szCs w:val="16"/>
                <w:color w:val="auto"/>
              </w:rPr>
              <w:t>10.117</w:t>
            </w:r>
          </w:p>
        </w:tc>
        <w:tc>
          <w:tcPr>
            <w:tcW w:w="6380" w:type="dxa"/>
            <w:vAlign w:val="bottom"/>
          </w:tcPr>
          <w:p>
            <w:pPr>
              <w:ind w:left="240"/>
              <w:spacing w:after="0"/>
              <w:rPr>
                <w:sz w:val="20"/>
                <w:szCs w:val="20"/>
                <w:color w:val="auto"/>
              </w:rPr>
            </w:pPr>
            <w:r>
              <w:rPr>
                <w:rFonts w:ascii="Courier New" w:cs="Courier New" w:eastAsia="Courier New" w:hAnsi="Courier New"/>
                <w:sz w:val="16"/>
                <w:szCs w:val="16"/>
                <w:color w:val="auto"/>
              </w:rPr>
              <w:t>Registration Rights Agreement dated as of July 29, 1996 between</w:t>
            </w:r>
          </w:p>
        </w:tc>
      </w:tr>
      <w:tr>
        <w:trPr>
          <w:trHeight w:val="179"/>
        </w:trPr>
        <w:tc>
          <w:tcPr>
            <w:tcW w:w="1060" w:type="dxa"/>
            <w:vAlign w:val="bottom"/>
          </w:tcPr>
          <w:p>
            <w:pPr>
              <w:spacing w:after="0"/>
              <w:rPr>
                <w:sz w:val="15"/>
                <w:szCs w:val="15"/>
                <w:color w:val="auto"/>
              </w:rPr>
            </w:pPr>
          </w:p>
        </w:tc>
        <w:tc>
          <w:tcPr>
            <w:tcW w:w="638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the Registrant and Canadian Imperial Bank of Commerce (13)</w:t>
            </w:r>
          </w:p>
        </w:tc>
      </w:tr>
      <w:tr>
        <w:trPr>
          <w:trHeight w:val="358"/>
        </w:trPr>
        <w:tc>
          <w:tcPr>
            <w:tcW w:w="1060" w:type="dxa"/>
            <w:vAlign w:val="bottom"/>
          </w:tcPr>
          <w:p>
            <w:pPr>
              <w:spacing w:after="0"/>
              <w:rPr>
                <w:sz w:val="20"/>
                <w:szCs w:val="20"/>
                <w:color w:val="auto"/>
              </w:rPr>
            </w:pPr>
            <w:r>
              <w:rPr>
                <w:rFonts w:ascii="Courier New" w:cs="Courier New" w:eastAsia="Courier New" w:hAnsi="Courier New"/>
                <w:sz w:val="16"/>
                <w:szCs w:val="16"/>
                <w:color w:val="auto"/>
              </w:rPr>
              <w:t>10.118(a)</w:t>
            </w:r>
          </w:p>
        </w:tc>
        <w:tc>
          <w:tcPr>
            <w:tcW w:w="6380" w:type="dxa"/>
            <w:vAlign w:val="bottom"/>
          </w:tcPr>
          <w:p>
            <w:pPr>
              <w:ind w:left="240"/>
              <w:spacing w:after="0"/>
              <w:rPr>
                <w:sz w:val="20"/>
                <w:szCs w:val="20"/>
                <w:color w:val="auto"/>
              </w:rPr>
            </w:pPr>
            <w:r>
              <w:rPr>
                <w:rFonts w:ascii="Courier New" w:cs="Courier New" w:eastAsia="Courier New" w:hAnsi="Courier New"/>
                <w:sz w:val="16"/>
                <w:szCs w:val="16"/>
                <w:color w:val="auto"/>
                <w:w w:val="96"/>
              </w:rPr>
              <w:t>Irrevocable Proxy dated June 28, 1996 by Canadian Imperial Bank of</w:t>
            </w:r>
          </w:p>
        </w:tc>
      </w:tr>
      <w:tr>
        <w:trPr>
          <w:trHeight w:val="179"/>
        </w:trPr>
        <w:tc>
          <w:tcPr>
            <w:tcW w:w="1060" w:type="dxa"/>
            <w:vAlign w:val="bottom"/>
          </w:tcPr>
          <w:p>
            <w:pPr>
              <w:spacing w:after="0"/>
              <w:rPr>
                <w:sz w:val="15"/>
                <w:szCs w:val="15"/>
                <w:color w:val="auto"/>
              </w:rPr>
            </w:pPr>
          </w:p>
        </w:tc>
        <w:tc>
          <w:tcPr>
            <w:tcW w:w="638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Commerce in favor of the Registrant (13)</w:t>
            </w:r>
          </w:p>
        </w:tc>
      </w:tr>
      <w:tr>
        <w:trPr>
          <w:trHeight w:val="358"/>
        </w:trPr>
        <w:tc>
          <w:tcPr>
            <w:tcW w:w="1060" w:type="dxa"/>
            <w:vAlign w:val="bottom"/>
          </w:tcPr>
          <w:p>
            <w:pPr>
              <w:spacing w:after="0"/>
              <w:rPr>
                <w:sz w:val="20"/>
                <w:szCs w:val="20"/>
                <w:color w:val="auto"/>
              </w:rPr>
            </w:pPr>
            <w:r>
              <w:rPr>
                <w:rFonts w:ascii="Courier New" w:cs="Courier New" w:eastAsia="Courier New" w:hAnsi="Courier New"/>
                <w:sz w:val="16"/>
                <w:szCs w:val="16"/>
                <w:color w:val="auto"/>
              </w:rPr>
              <w:t>10.118(b)</w:t>
            </w:r>
          </w:p>
        </w:tc>
        <w:tc>
          <w:tcPr>
            <w:tcW w:w="6380" w:type="dxa"/>
            <w:vAlign w:val="bottom"/>
          </w:tcPr>
          <w:p>
            <w:pPr>
              <w:ind w:left="240"/>
              <w:spacing w:after="0"/>
              <w:rPr>
                <w:sz w:val="20"/>
                <w:szCs w:val="20"/>
                <w:color w:val="auto"/>
              </w:rPr>
            </w:pPr>
            <w:r>
              <w:rPr>
                <w:rFonts w:ascii="Courier New" w:cs="Courier New" w:eastAsia="Courier New" w:hAnsi="Courier New"/>
                <w:sz w:val="16"/>
                <w:szCs w:val="16"/>
                <w:color w:val="auto"/>
                <w:w w:val="98"/>
              </w:rPr>
              <w:t>Irrevocable Proxy dated July 24, 1998, by the Registrant in favor</w:t>
            </w:r>
          </w:p>
        </w:tc>
      </w:tr>
      <w:tr>
        <w:trPr>
          <w:trHeight w:val="179"/>
        </w:trPr>
        <w:tc>
          <w:tcPr>
            <w:tcW w:w="1060" w:type="dxa"/>
            <w:vAlign w:val="bottom"/>
          </w:tcPr>
          <w:p>
            <w:pPr>
              <w:spacing w:after="0"/>
              <w:rPr>
                <w:sz w:val="15"/>
                <w:szCs w:val="15"/>
                <w:color w:val="auto"/>
              </w:rPr>
            </w:pPr>
          </w:p>
        </w:tc>
        <w:tc>
          <w:tcPr>
            <w:tcW w:w="638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of the Canadian Imperial Bank of Commerce (18)</w:t>
            </w:r>
          </w:p>
        </w:tc>
      </w:tr>
      <w:tr>
        <w:trPr>
          <w:trHeight w:val="537"/>
        </w:trPr>
        <w:tc>
          <w:tcPr>
            <w:tcW w:w="1060" w:type="dxa"/>
            <w:vAlign w:val="bottom"/>
          </w:tcPr>
          <w:p>
            <w:pPr>
              <w:spacing w:after="0"/>
              <w:rPr>
                <w:sz w:val="24"/>
                <w:szCs w:val="24"/>
                <w:color w:val="auto"/>
              </w:rPr>
            </w:pPr>
          </w:p>
        </w:tc>
        <w:tc>
          <w:tcPr>
            <w:tcW w:w="6380" w:type="dxa"/>
            <w:vAlign w:val="bottom"/>
          </w:tcPr>
          <w:p>
            <w:pPr>
              <w:ind w:left="2380"/>
              <w:spacing w:after="0"/>
              <w:rPr>
                <w:sz w:val="20"/>
                <w:szCs w:val="20"/>
                <w:color w:val="auto"/>
              </w:rPr>
            </w:pPr>
            <w:r>
              <w:rPr>
                <w:rFonts w:ascii="Courier New" w:cs="Courier New" w:eastAsia="Courier New" w:hAnsi="Courier New"/>
                <w:sz w:val="16"/>
                <w:szCs w:val="16"/>
                <w:color w:val="auto"/>
              </w:rPr>
              <w:t>53/57</w:t>
            </w:r>
          </w:p>
        </w:tc>
      </w:tr>
    </w:tbl>
    <w:p>
      <w:pPr>
        <w:sectPr>
          <w:pgSz w:w="11900" w:h="16838" w:orient="portrait"/>
          <w:cols w:equalWidth="0" w:num="1">
            <w:col w:w="10219"/>
          </w:cols>
          <w:pgMar w:left="240" w:top="648" w:right="1440" w:bottom="775" w:gutter="0" w:footer="0" w:header="0"/>
        </w:sectPr>
      </w:pPr>
    </w:p>
    <w:bookmarkStart w:id="56" w:name="page57"/>
    <w:bookmarkEnd w:id="56"/>
    <w:p>
      <w:pPr>
        <w:ind w:left="185"/>
        <w:spacing w:after="0"/>
        <w:tabs>
          <w:tab w:leader="none" w:pos="1284" w:val="left"/>
        </w:tabs>
        <w:rPr>
          <w:sz w:val="20"/>
          <w:szCs w:val="20"/>
          <w:color w:val="auto"/>
        </w:rPr>
      </w:pPr>
      <w:r>
        <w:rPr>
          <w:rFonts w:ascii="Courier New" w:cs="Courier New" w:eastAsia="Courier New" w:hAnsi="Courier New"/>
          <w:sz w:val="16"/>
          <w:szCs w:val="16"/>
          <w:color w:val="auto"/>
        </w:rPr>
        <w:t>Exhibit</w:t>
      </w:r>
      <w:r>
        <w:rPr>
          <w:sz w:val="20"/>
          <w:szCs w:val="20"/>
          <w:color w:val="auto"/>
        </w:rPr>
        <w:tab/>
      </w:r>
      <w:r>
        <w:rPr>
          <w:rFonts w:ascii="Courier New" w:cs="Courier New" w:eastAsia="Courier New" w:hAnsi="Courier New"/>
          <w:sz w:val="16"/>
          <w:szCs w:val="16"/>
          <w:color w:val="auto"/>
        </w:rPr>
        <w:t>Description</w:t>
      </w:r>
    </w:p>
    <w:p>
      <w:pPr>
        <w:ind w:left="185"/>
        <w:spacing w:after="0" w:line="236" w:lineRule="auto"/>
        <w:tabs>
          <w:tab w:leader="none" w:pos="1284"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183" w:lineRule="exact"/>
        <w:rPr>
          <w:sz w:val="20"/>
          <w:szCs w:val="20"/>
          <w:color w:val="auto"/>
        </w:rPr>
      </w:pPr>
    </w:p>
    <w:p>
      <w:pPr>
        <w:ind w:left="1305" w:right="3059" w:hanging="1301"/>
        <w:spacing w:after="0" w:line="234" w:lineRule="auto"/>
        <w:tabs>
          <w:tab w:leader="none" w:pos="1284" w:val="left"/>
        </w:tabs>
        <w:rPr>
          <w:sz w:val="20"/>
          <w:szCs w:val="20"/>
          <w:color w:val="auto"/>
        </w:rPr>
      </w:pPr>
      <w:r>
        <w:rPr>
          <w:rFonts w:ascii="Courier New" w:cs="Courier New" w:eastAsia="Courier New" w:hAnsi="Courier New"/>
          <w:sz w:val="16"/>
          <w:szCs w:val="16"/>
          <w:color w:val="auto"/>
        </w:rPr>
        <w:t>10.119(a)</w:t>
      </w:r>
      <w:r>
        <w:rPr>
          <w:sz w:val="20"/>
          <w:szCs w:val="20"/>
          <w:color w:val="auto"/>
        </w:rPr>
        <w:tab/>
      </w:r>
      <w:r>
        <w:rPr>
          <w:rFonts w:ascii="Courier New" w:cs="Courier New" w:eastAsia="Courier New" w:hAnsi="Courier New"/>
          <w:sz w:val="16"/>
          <w:szCs w:val="16"/>
          <w:color w:val="auto"/>
        </w:rPr>
        <w:t>Reformed Irrevocable Proxy dated July 23, 1998, by J.R. Simplot Company in favor of the Registrant (18)</w:t>
      </w:r>
    </w:p>
    <w:p>
      <w:pPr>
        <w:spacing w:after="0" w:line="183" w:lineRule="exact"/>
        <w:rPr>
          <w:sz w:val="20"/>
          <w:szCs w:val="20"/>
          <w:color w:val="auto"/>
        </w:rPr>
      </w:pPr>
    </w:p>
    <w:p>
      <w:pPr>
        <w:ind w:left="1305" w:right="2879" w:hanging="1301"/>
        <w:spacing w:after="0" w:line="234" w:lineRule="auto"/>
        <w:tabs>
          <w:tab w:leader="none" w:pos="1284" w:val="left"/>
        </w:tabs>
        <w:rPr>
          <w:sz w:val="20"/>
          <w:szCs w:val="20"/>
          <w:color w:val="auto"/>
        </w:rPr>
      </w:pPr>
      <w:r>
        <w:rPr>
          <w:rFonts w:ascii="Courier New" w:cs="Courier New" w:eastAsia="Courier New" w:hAnsi="Courier New"/>
          <w:sz w:val="16"/>
          <w:szCs w:val="16"/>
          <w:color w:val="auto"/>
        </w:rPr>
        <w:t>10.119(b)</w:t>
      </w:r>
      <w:r>
        <w:rPr>
          <w:sz w:val="20"/>
          <w:szCs w:val="20"/>
          <w:color w:val="auto"/>
        </w:rPr>
        <w:tab/>
      </w:r>
      <w:r>
        <w:rPr>
          <w:rFonts w:ascii="Courier New" w:cs="Courier New" w:eastAsia="Courier New" w:hAnsi="Courier New"/>
          <w:sz w:val="16"/>
          <w:szCs w:val="16"/>
          <w:color w:val="auto"/>
        </w:rPr>
        <w:t>Irrevocable Proxy dated July 24, 1998, by the Registrant in favor of the Canadian Imperial Bank of Commerce (18)</w:t>
      </w:r>
    </w:p>
    <w:p>
      <w:pPr>
        <w:spacing w:after="0" w:line="183" w:lineRule="exact"/>
        <w:rPr>
          <w:sz w:val="20"/>
          <w:szCs w:val="20"/>
          <w:color w:val="auto"/>
        </w:rPr>
      </w:pPr>
    </w:p>
    <w:p>
      <w:pPr>
        <w:ind w:left="1305" w:right="2779" w:hanging="1301"/>
        <w:spacing w:after="0" w:line="234" w:lineRule="auto"/>
        <w:tabs>
          <w:tab w:leader="none" w:pos="1284" w:val="left"/>
        </w:tabs>
        <w:rPr>
          <w:sz w:val="20"/>
          <w:szCs w:val="20"/>
          <w:color w:val="auto"/>
        </w:rPr>
      </w:pPr>
      <w:r>
        <w:rPr>
          <w:rFonts w:ascii="Courier New" w:cs="Courier New" w:eastAsia="Courier New" w:hAnsi="Courier New"/>
          <w:sz w:val="16"/>
          <w:szCs w:val="16"/>
          <w:color w:val="auto"/>
        </w:rPr>
        <w:t>10.120</w:t>
      </w:r>
      <w:r>
        <w:rPr>
          <w:sz w:val="20"/>
          <w:szCs w:val="20"/>
          <w:color w:val="auto"/>
        </w:rPr>
        <w:tab/>
      </w:r>
      <w:r>
        <w:rPr>
          <w:rFonts w:ascii="Courier New" w:cs="Courier New" w:eastAsia="Courier New" w:hAnsi="Courier New"/>
          <w:sz w:val="16"/>
          <w:szCs w:val="16"/>
          <w:color w:val="auto"/>
        </w:rPr>
        <w:t>Form of Agreement and Amendment to Severance Agreement between the Company and its executive officers (14)</w:t>
      </w:r>
    </w:p>
    <w:p>
      <w:pPr>
        <w:spacing w:after="0" w:line="183" w:lineRule="exact"/>
        <w:rPr>
          <w:sz w:val="20"/>
          <w:szCs w:val="20"/>
          <w:color w:val="auto"/>
        </w:rPr>
      </w:pPr>
    </w:p>
    <w:p>
      <w:pPr>
        <w:ind w:left="1305" w:right="2959" w:hanging="1301"/>
        <w:spacing w:after="0" w:line="235" w:lineRule="auto"/>
        <w:tabs>
          <w:tab w:leader="none" w:pos="1284" w:val="left"/>
        </w:tabs>
        <w:rPr>
          <w:sz w:val="20"/>
          <w:szCs w:val="20"/>
          <w:color w:val="auto"/>
        </w:rPr>
      </w:pPr>
      <w:r>
        <w:rPr>
          <w:rFonts w:ascii="Courier New" w:cs="Courier New" w:eastAsia="Courier New" w:hAnsi="Courier New"/>
          <w:sz w:val="16"/>
          <w:szCs w:val="16"/>
          <w:color w:val="auto"/>
        </w:rPr>
        <w:t>10.125</w:t>
      </w:r>
      <w:r>
        <w:rPr>
          <w:sz w:val="20"/>
          <w:szCs w:val="20"/>
          <w:color w:val="auto"/>
        </w:rPr>
        <w:tab/>
      </w:r>
      <w:r>
        <w:rPr>
          <w:rFonts w:ascii="Courier New" w:cs="Courier New" w:eastAsia="Courier New" w:hAnsi="Courier New"/>
          <w:sz w:val="16"/>
          <w:szCs w:val="16"/>
          <w:color w:val="auto"/>
        </w:rPr>
        <w:t>Second Supplemental Trust Indenture dated as of September 30, 1998, between the Registrant and the Trustee, relating to the issuance of 6 1/2% Convertible Subordinated Notes due October 2, 2003 (the "TI Notes") (including the form of TI Note) (2)</w:t>
      </w:r>
    </w:p>
    <w:p>
      <w:pPr>
        <w:spacing w:after="0" w:line="185" w:lineRule="exact"/>
        <w:rPr>
          <w:sz w:val="20"/>
          <w:szCs w:val="20"/>
          <w:color w:val="auto"/>
        </w:rPr>
      </w:pPr>
    </w:p>
    <w:p>
      <w:pPr>
        <w:jc w:val="both"/>
        <w:ind w:left="1305" w:right="2959" w:hanging="1301"/>
        <w:spacing w:after="0" w:line="235" w:lineRule="auto"/>
        <w:tabs>
          <w:tab w:leader="none" w:pos="1284" w:val="left"/>
        </w:tabs>
        <w:rPr>
          <w:sz w:val="20"/>
          <w:szCs w:val="20"/>
          <w:color w:val="auto"/>
        </w:rPr>
      </w:pPr>
      <w:r>
        <w:rPr>
          <w:rFonts w:ascii="Courier New" w:cs="Courier New" w:eastAsia="Courier New" w:hAnsi="Courier New"/>
          <w:sz w:val="16"/>
          <w:szCs w:val="16"/>
          <w:color w:val="auto"/>
        </w:rPr>
        <w:t>10.126</w:t>
      </w:r>
      <w:r>
        <w:rPr>
          <w:sz w:val="20"/>
          <w:szCs w:val="20"/>
          <w:color w:val="auto"/>
        </w:rPr>
        <w:tab/>
      </w:r>
      <w:r>
        <w:rPr>
          <w:rFonts w:ascii="Courier New" w:cs="Courier New" w:eastAsia="Courier New" w:hAnsi="Courier New"/>
          <w:sz w:val="16"/>
          <w:szCs w:val="16"/>
          <w:color w:val="auto"/>
        </w:rPr>
        <w:t>Subordinated Promissory Note dated September 30, 1998, issued by the Registrant in the name of Texas Instruments Incorporated in the amount of $210,000,000 (2)</w:t>
      </w:r>
    </w:p>
    <w:p>
      <w:pPr>
        <w:spacing w:after="0" w:line="183" w:lineRule="exact"/>
        <w:rPr>
          <w:sz w:val="20"/>
          <w:szCs w:val="20"/>
          <w:color w:val="auto"/>
        </w:rPr>
      </w:pPr>
    </w:p>
    <w:p>
      <w:pPr>
        <w:ind w:left="1305" w:right="2959" w:hanging="1301"/>
        <w:spacing w:after="0" w:line="235" w:lineRule="auto"/>
        <w:tabs>
          <w:tab w:leader="none" w:pos="1284" w:val="left"/>
        </w:tabs>
        <w:rPr>
          <w:sz w:val="20"/>
          <w:szCs w:val="20"/>
          <w:color w:val="auto"/>
        </w:rPr>
      </w:pPr>
      <w:r>
        <w:rPr>
          <w:rFonts w:ascii="Courier New" w:cs="Courier New" w:eastAsia="Courier New" w:hAnsi="Courier New"/>
          <w:sz w:val="16"/>
          <w:szCs w:val="16"/>
          <w:color w:val="auto"/>
        </w:rPr>
        <w:t>10.127</w:t>
      </w:r>
      <w:r>
        <w:rPr>
          <w:sz w:val="20"/>
          <w:szCs w:val="20"/>
          <w:color w:val="auto"/>
        </w:rPr>
        <w:tab/>
      </w:r>
      <w:r>
        <w:rPr>
          <w:rFonts w:ascii="Courier New" w:cs="Courier New" w:eastAsia="Courier New" w:hAnsi="Courier New"/>
          <w:sz w:val="16"/>
          <w:szCs w:val="16"/>
          <w:color w:val="auto"/>
        </w:rPr>
        <w:t>Registration Rights Agreement dated as of July 20, 1998, between the Registrant, Canadian Imperial Bank of Commerce and J.R. Simplot Company (5)</w:t>
      </w:r>
    </w:p>
    <w:p>
      <w:pPr>
        <w:spacing w:after="0" w:line="177" w:lineRule="exact"/>
        <w:rPr>
          <w:sz w:val="20"/>
          <w:szCs w:val="20"/>
          <w:color w:val="auto"/>
        </w:rPr>
      </w:pPr>
    </w:p>
    <w:p>
      <w:pPr>
        <w:ind w:left="5"/>
        <w:spacing w:after="0"/>
        <w:tabs>
          <w:tab w:leader="none" w:pos="1284" w:val="left"/>
        </w:tabs>
        <w:rPr>
          <w:sz w:val="20"/>
          <w:szCs w:val="20"/>
          <w:color w:val="auto"/>
        </w:rPr>
      </w:pPr>
      <w:r>
        <w:rPr>
          <w:rFonts w:ascii="Courier New" w:cs="Courier New" w:eastAsia="Courier New" w:hAnsi="Courier New"/>
          <w:sz w:val="16"/>
          <w:szCs w:val="16"/>
          <w:color w:val="auto"/>
        </w:rPr>
        <w:t>10.128</w:t>
      </w:r>
      <w:r>
        <w:rPr>
          <w:sz w:val="20"/>
          <w:szCs w:val="20"/>
          <w:color w:val="auto"/>
        </w:rPr>
        <w:tab/>
      </w:r>
      <w:r>
        <w:rPr>
          <w:rFonts w:ascii="Courier New" w:cs="Courier New" w:eastAsia="Courier New" w:hAnsi="Courier New"/>
          <w:sz w:val="14"/>
          <w:szCs w:val="14"/>
          <w:color w:val="auto"/>
        </w:rPr>
        <w:t>Nonstatutory Stock Option Plan (20)</w:t>
      </w:r>
    </w:p>
    <w:p>
      <w:pPr>
        <w:spacing w:after="0" w:line="177" w:lineRule="exact"/>
        <w:rPr>
          <w:sz w:val="20"/>
          <w:szCs w:val="20"/>
          <w:color w:val="auto"/>
        </w:rPr>
      </w:pPr>
    </w:p>
    <w:p>
      <w:pPr>
        <w:ind w:left="5"/>
        <w:spacing w:after="0"/>
        <w:tabs>
          <w:tab w:leader="none" w:pos="1284" w:val="left"/>
        </w:tabs>
        <w:rPr>
          <w:sz w:val="20"/>
          <w:szCs w:val="20"/>
          <w:color w:val="auto"/>
        </w:rPr>
      </w:pPr>
      <w:r>
        <w:rPr>
          <w:rFonts w:ascii="Courier New" w:cs="Courier New" w:eastAsia="Courier New" w:hAnsi="Courier New"/>
          <w:sz w:val="16"/>
          <w:szCs w:val="16"/>
          <w:color w:val="auto"/>
        </w:rPr>
        <w:t>10.129</w:t>
      </w:r>
      <w:r>
        <w:rPr>
          <w:sz w:val="20"/>
          <w:szCs w:val="20"/>
          <w:color w:val="auto"/>
        </w:rPr>
        <w:tab/>
      </w:r>
      <w:r>
        <w:rPr>
          <w:rFonts w:ascii="Courier New" w:cs="Courier New" w:eastAsia="Courier New" w:hAnsi="Courier New"/>
          <w:sz w:val="14"/>
          <w:szCs w:val="14"/>
          <w:color w:val="auto"/>
        </w:rPr>
        <w:t>1997 Nonstatutory Stock Option Plan (16)</w:t>
      </w:r>
    </w:p>
    <w:p>
      <w:pPr>
        <w:spacing w:after="0" w:line="177" w:lineRule="exact"/>
        <w:rPr>
          <w:sz w:val="20"/>
          <w:szCs w:val="20"/>
          <w:color w:val="auto"/>
        </w:rPr>
      </w:pPr>
    </w:p>
    <w:p>
      <w:pPr>
        <w:ind w:left="5"/>
        <w:spacing w:after="0"/>
        <w:tabs>
          <w:tab w:leader="none" w:pos="1284" w:val="left"/>
        </w:tabs>
        <w:rPr>
          <w:sz w:val="20"/>
          <w:szCs w:val="20"/>
          <w:color w:val="auto"/>
        </w:rPr>
      </w:pPr>
      <w:r>
        <w:rPr>
          <w:rFonts w:ascii="Courier New" w:cs="Courier New" w:eastAsia="Courier New" w:hAnsi="Courier New"/>
          <w:sz w:val="16"/>
          <w:szCs w:val="16"/>
          <w:color w:val="auto"/>
        </w:rPr>
        <w:t>10.130</w:t>
      </w:r>
      <w:r>
        <w:rPr>
          <w:sz w:val="20"/>
          <w:szCs w:val="20"/>
          <w:color w:val="auto"/>
        </w:rPr>
        <w:tab/>
      </w:r>
      <w:r>
        <w:rPr>
          <w:rFonts w:ascii="Courier New" w:cs="Courier New" w:eastAsia="Courier New" w:hAnsi="Courier New"/>
          <w:sz w:val="14"/>
          <w:szCs w:val="14"/>
          <w:color w:val="auto"/>
        </w:rPr>
        <w:t>Micron Quantum Devices, Inc. 1996 Stock Option Plan (16)</w:t>
      </w:r>
    </w:p>
    <w:p>
      <w:pPr>
        <w:spacing w:after="0" w:line="183" w:lineRule="exact"/>
        <w:rPr>
          <w:sz w:val="20"/>
          <w:szCs w:val="20"/>
          <w:color w:val="auto"/>
        </w:rPr>
      </w:pPr>
    </w:p>
    <w:p>
      <w:pPr>
        <w:ind w:left="1305" w:right="2879" w:hanging="1301"/>
        <w:spacing w:after="0" w:line="234" w:lineRule="auto"/>
        <w:tabs>
          <w:tab w:leader="none" w:pos="1284" w:val="left"/>
        </w:tabs>
        <w:rPr>
          <w:sz w:val="20"/>
          <w:szCs w:val="20"/>
          <w:color w:val="auto"/>
        </w:rPr>
      </w:pPr>
      <w:r>
        <w:rPr>
          <w:rFonts w:ascii="Courier New" w:cs="Courier New" w:eastAsia="Courier New" w:hAnsi="Courier New"/>
          <w:sz w:val="16"/>
          <w:szCs w:val="16"/>
          <w:color w:val="auto"/>
        </w:rPr>
        <w:t>10.131</w:t>
      </w:r>
      <w:r>
        <w:rPr>
          <w:sz w:val="20"/>
          <w:szCs w:val="20"/>
          <w:color w:val="auto"/>
        </w:rPr>
        <w:tab/>
      </w:r>
      <w:r>
        <w:rPr>
          <w:rFonts w:ascii="Courier New" w:cs="Courier New" w:eastAsia="Courier New" w:hAnsi="Courier New"/>
          <w:sz w:val="16"/>
          <w:szCs w:val="16"/>
          <w:color w:val="auto"/>
        </w:rPr>
        <w:t>Sample Stock Option Assumption Letter for Micron Quantum Devices, Inc. 1996 Stock Option Plan (16)</w:t>
      </w:r>
    </w:p>
    <w:p>
      <w:pPr>
        <w:spacing w:after="0" w:line="177" w:lineRule="exact"/>
        <w:rPr>
          <w:sz w:val="20"/>
          <w:szCs w:val="20"/>
          <w:color w:val="auto"/>
        </w:rPr>
      </w:pPr>
    </w:p>
    <w:p>
      <w:pPr>
        <w:ind w:left="5"/>
        <w:spacing w:after="0"/>
        <w:tabs>
          <w:tab w:leader="none" w:pos="1284" w:val="left"/>
        </w:tabs>
        <w:rPr>
          <w:sz w:val="20"/>
          <w:szCs w:val="20"/>
          <w:color w:val="auto"/>
        </w:rPr>
      </w:pPr>
      <w:r>
        <w:rPr>
          <w:rFonts w:ascii="Courier New" w:cs="Courier New" w:eastAsia="Courier New" w:hAnsi="Courier New"/>
          <w:sz w:val="16"/>
          <w:szCs w:val="16"/>
          <w:color w:val="auto"/>
        </w:rPr>
        <w:t>10.132</w:t>
      </w:r>
      <w:r>
        <w:rPr>
          <w:sz w:val="20"/>
          <w:szCs w:val="20"/>
          <w:color w:val="auto"/>
        </w:rPr>
        <w:tab/>
      </w:r>
      <w:r>
        <w:rPr>
          <w:rFonts w:ascii="Courier New" w:cs="Courier New" w:eastAsia="Courier New" w:hAnsi="Courier New"/>
          <w:sz w:val="14"/>
          <w:szCs w:val="14"/>
          <w:color w:val="auto"/>
        </w:rPr>
        <w:t>1998 Nonstatutory Stock Option Plan (17)</w:t>
      </w:r>
    </w:p>
    <w:p>
      <w:pPr>
        <w:spacing w:after="0" w:line="177" w:lineRule="exact"/>
        <w:rPr>
          <w:sz w:val="20"/>
          <w:szCs w:val="20"/>
          <w:color w:val="auto"/>
        </w:rPr>
      </w:pPr>
    </w:p>
    <w:p>
      <w:pPr>
        <w:ind w:left="5"/>
        <w:spacing w:after="0"/>
        <w:tabs>
          <w:tab w:leader="none" w:pos="1284" w:val="left"/>
        </w:tabs>
        <w:rPr>
          <w:sz w:val="20"/>
          <w:szCs w:val="20"/>
          <w:color w:val="auto"/>
        </w:rPr>
      </w:pPr>
      <w:r>
        <w:rPr>
          <w:rFonts w:ascii="Courier New" w:cs="Courier New" w:eastAsia="Courier New" w:hAnsi="Courier New"/>
          <w:sz w:val="16"/>
          <w:szCs w:val="16"/>
          <w:color w:val="auto"/>
        </w:rPr>
        <w:t>10.133</w:t>
      </w:r>
      <w:r>
        <w:rPr>
          <w:sz w:val="20"/>
          <w:szCs w:val="20"/>
          <w:color w:val="auto"/>
        </w:rPr>
        <w:tab/>
      </w:r>
      <w:r>
        <w:rPr>
          <w:rFonts w:ascii="Courier New" w:cs="Courier New" w:eastAsia="Courier New" w:hAnsi="Courier New"/>
          <w:sz w:val="14"/>
          <w:szCs w:val="14"/>
          <w:color w:val="auto"/>
        </w:rPr>
        <w:t>Rendition, Inc. 1994 Equity Incentive Plan (17)</w:t>
      </w:r>
    </w:p>
    <w:p>
      <w:pPr>
        <w:spacing w:after="0" w:line="183" w:lineRule="exact"/>
        <w:rPr>
          <w:sz w:val="20"/>
          <w:szCs w:val="20"/>
          <w:color w:val="auto"/>
        </w:rPr>
      </w:pPr>
    </w:p>
    <w:p>
      <w:pPr>
        <w:ind w:left="1305" w:right="3159" w:hanging="1301"/>
        <w:spacing w:after="0" w:line="234" w:lineRule="auto"/>
        <w:tabs>
          <w:tab w:leader="none" w:pos="1284" w:val="left"/>
        </w:tabs>
        <w:rPr>
          <w:sz w:val="20"/>
          <w:szCs w:val="20"/>
          <w:color w:val="auto"/>
        </w:rPr>
      </w:pPr>
      <w:r>
        <w:rPr>
          <w:rFonts w:ascii="Courier New" w:cs="Courier New" w:eastAsia="Courier New" w:hAnsi="Courier New"/>
          <w:sz w:val="16"/>
          <w:szCs w:val="16"/>
          <w:color w:val="auto"/>
        </w:rPr>
        <w:t>10.134</w:t>
      </w:r>
      <w:r>
        <w:rPr>
          <w:sz w:val="20"/>
          <w:szCs w:val="20"/>
          <w:color w:val="auto"/>
        </w:rPr>
        <w:tab/>
      </w:r>
      <w:r>
        <w:rPr>
          <w:rFonts w:ascii="Courier New" w:cs="Courier New" w:eastAsia="Courier New" w:hAnsi="Courier New"/>
          <w:sz w:val="16"/>
          <w:szCs w:val="16"/>
          <w:color w:val="auto"/>
        </w:rPr>
        <w:t>Sample Stock Option Assumption Letter for Rendition, Inc. 1994 Equity Incentive Plan (17)</w:t>
      </w:r>
    </w:p>
    <w:p>
      <w:pPr>
        <w:spacing w:after="0" w:line="183" w:lineRule="exact"/>
        <w:rPr>
          <w:sz w:val="20"/>
          <w:szCs w:val="20"/>
          <w:color w:val="auto"/>
        </w:rPr>
      </w:pPr>
    </w:p>
    <w:p>
      <w:pPr>
        <w:ind w:left="1305" w:right="2779" w:hanging="1301"/>
        <w:spacing w:after="0" w:line="235" w:lineRule="auto"/>
        <w:tabs>
          <w:tab w:leader="none" w:pos="1284" w:val="left"/>
        </w:tabs>
        <w:rPr>
          <w:sz w:val="20"/>
          <w:szCs w:val="20"/>
          <w:color w:val="auto"/>
        </w:rPr>
      </w:pPr>
      <w:r>
        <w:rPr>
          <w:rFonts w:ascii="Courier New" w:cs="Courier New" w:eastAsia="Courier New" w:hAnsi="Courier New"/>
          <w:sz w:val="16"/>
          <w:szCs w:val="16"/>
          <w:color w:val="auto"/>
        </w:rPr>
        <w:t>10.135</w:t>
      </w:r>
      <w:r>
        <w:rPr>
          <w:sz w:val="20"/>
          <w:szCs w:val="20"/>
          <w:color w:val="auto"/>
        </w:rPr>
        <w:tab/>
      </w:r>
      <w:r>
        <w:rPr>
          <w:rFonts w:ascii="Courier New" w:cs="Courier New" w:eastAsia="Courier New" w:hAnsi="Courier New"/>
          <w:sz w:val="16"/>
          <w:szCs w:val="16"/>
          <w:color w:val="auto"/>
        </w:rPr>
        <w:t>Second Amended and Restated Revolving Credit Agreement dated as of September 1, 1998, among the Registrant and several financial institutions (18)</w:t>
      </w:r>
    </w:p>
    <w:p>
      <w:pPr>
        <w:spacing w:after="0" w:line="183" w:lineRule="exact"/>
        <w:rPr>
          <w:sz w:val="20"/>
          <w:szCs w:val="20"/>
          <w:color w:val="auto"/>
        </w:rPr>
      </w:pPr>
    </w:p>
    <w:p>
      <w:pPr>
        <w:ind w:left="1305" w:right="2879" w:hanging="1301"/>
        <w:spacing w:after="0" w:line="283" w:lineRule="auto"/>
        <w:tabs>
          <w:tab w:leader="none" w:pos="1284" w:val="left"/>
        </w:tabs>
        <w:rPr>
          <w:sz w:val="20"/>
          <w:szCs w:val="20"/>
          <w:color w:val="auto"/>
        </w:rPr>
      </w:pPr>
      <w:r>
        <w:rPr>
          <w:rFonts w:ascii="Courier New" w:cs="Courier New" w:eastAsia="Courier New" w:hAnsi="Courier New"/>
          <w:sz w:val="16"/>
          <w:szCs w:val="16"/>
          <w:color w:val="auto"/>
        </w:rPr>
        <w:t>10.136</w:t>
      </w:r>
      <w:r>
        <w:rPr>
          <w:sz w:val="20"/>
          <w:szCs w:val="20"/>
          <w:color w:val="auto"/>
        </w:rPr>
        <w:tab/>
      </w:r>
      <w:r>
        <w:rPr>
          <w:rFonts w:ascii="Courier New" w:cs="Courier New" w:eastAsia="Courier New" w:hAnsi="Courier New"/>
          <w:sz w:val="14"/>
          <w:szCs w:val="14"/>
          <w:color w:val="auto"/>
        </w:rPr>
        <w:t>Securities Purchase Agreement dated as of October 15, 1998, between the Registrant and Intel Corporation (Confidential Treatment has been requested for a portion of this document) (18)</w:t>
      </w:r>
    </w:p>
    <w:p>
      <w:pPr>
        <w:spacing w:after="0" w:line="148" w:lineRule="exact"/>
        <w:rPr>
          <w:sz w:val="20"/>
          <w:szCs w:val="20"/>
          <w:color w:val="auto"/>
        </w:rPr>
      </w:pPr>
    </w:p>
    <w:p>
      <w:pPr>
        <w:ind w:left="5"/>
        <w:spacing w:after="0"/>
        <w:tabs>
          <w:tab w:leader="none" w:pos="1284" w:val="left"/>
        </w:tabs>
        <w:rPr>
          <w:sz w:val="20"/>
          <w:szCs w:val="20"/>
          <w:color w:val="auto"/>
        </w:rPr>
      </w:pPr>
      <w:r>
        <w:rPr>
          <w:rFonts w:ascii="Courier New" w:cs="Courier New" w:eastAsia="Courier New" w:hAnsi="Courier New"/>
          <w:sz w:val="16"/>
          <w:szCs w:val="16"/>
          <w:color w:val="auto"/>
        </w:rPr>
        <w:t>10.137</w:t>
      </w:r>
      <w:r>
        <w:rPr>
          <w:sz w:val="20"/>
          <w:szCs w:val="20"/>
          <w:color w:val="auto"/>
        </w:rPr>
        <w:tab/>
      </w:r>
      <w:r>
        <w:rPr>
          <w:rFonts w:ascii="Courier New" w:cs="Courier New" w:eastAsia="Courier New" w:hAnsi="Courier New"/>
          <w:sz w:val="14"/>
          <w:szCs w:val="14"/>
          <w:color w:val="auto"/>
        </w:rPr>
        <w:t>Securities Rights and Restrictions Agreement dated as of October</w:t>
      </w:r>
    </w:p>
    <w:p>
      <w:pPr>
        <w:ind w:left="1305"/>
        <w:spacing w:after="0" w:line="236" w:lineRule="auto"/>
        <w:rPr>
          <w:sz w:val="20"/>
          <w:szCs w:val="20"/>
          <w:color w:val="auto"/>
        </w:rPr>
      </w:pPr>
      <w:r>
        <w:rPr>
          <w:rFonts w:ascii="Courier New" w:cs="Courier New" w:eastAsia="Courier New" w:hAnsi="Courier New"/>
          <w:sz w:val="16"/>
          <w:szCs w:val="16"/>
          <w:color w:val="auto"/>
        </w:rPr>
        <w:t>19, 1998, between the Registrant and Intel Corporation (18)</w:t>
      </w:r>
    </w:p>
    <w:p>
      <w:pPr>
        <w:spacing w:after="0" w:line="183" w:lineRule="exact"/>
        <w:rPr>
          <w:sz w:val="20"/>
          <w:szCs w:val="20"/>
          <w:color w:val="auto"/>
        </w:rPr>
      </w:pPr>
    </w:p>
    <w:p>
      <w:pPr>
        <w:ind w:left="1305" w:right="2879" w:hanging="1301"/>
        <w:spacing w:after="0" w:line="235" w:lineRule="auto"/>
        <w:tabs>
          <w:tab w:leader="none" w:pos="1284" w:val="left"/>
        </w:tabs>
        <w:rPr>
          <w:sz w:val="20"/>
          <w:szCs w:val="20"/>
          <w:color w:val="auto"/>
        </w:rPr>
      </w:pPr>
      <w:r>
        <w:rPr>
          <w:rFonts w:ascii="Courier New" w:cs="Courier New" w:eastAsia="Courier New" w:hAnsi="Courier New"/>
          <w:sz w:val="16"/>
          <w:szCs w:val="16"/>
          <w:color w:val="auto"/>
        </w:rPr>
        <w:t>10.138</w:t>
      </w:r>
      <w:r>
        <w:rPr>
          <w:sz w:val="20"/>
          <w:szCs w:val="20"/>
          <w:color w:val="auto"/>
        </w:rPr>
        <w:tab/>
      </w:r>
      <w:r>
        <w:rPr>
          <w:rFonts w:ascii="Courier New" w:cs="Courier New" w:eastAsia="Courier New" w:hAnsi="Courier New"/>
          <w:sz w:val="16"/>
          <w:szCs w:val="16"/>
          <w:color w:val="auto"/>
        </w:rPr>
        <w:t>Stock Rights Agreement dated as of October 19, 1998, between the Registrant and Intel Corporation (Confidential Treatment has been requested for a portion of this document) (18)</w:t>
      </w:r>
    </w:p>
    <w:p>
      <w:pPr>
        <w:spacing w:after="0" w:line="177" w:lineRule="exact"/>
        <w:rPr>
          <w:sz w:val="20"/>
          <w:szCs w:val="20"/>
          <w:color w:val="auto"/>
        </w:rPr>
      </w:pPr>
    </w:p>
    <w:p>
      <w:pPr>
        <w:ind w:left="5"/>
        <w:spacing w:after="0"/>
        <w:tabs>
          <w:tab w:leader="none" w:pos="1284" w:val="left"/>
        </w:tabs>
        <w:rPr>
          <w:sz w:val="20"/>
          <w:szCs w:val="20"/>
          <w:color w:val="auto"/>
        </w:rPr>
      </w:pPr>
      <w:r>
        <w:rPr>
          <w:rFonts w:ascii="Courier New" w:cs="Courier New" w:eastAsia="Courier New" w:hAnsi="Courier New"/>
          <w:sz w:val="16"/>
          <w:szCs w:val="16"/>
          <w:color w:val="auto"/>
        </w:rPr>
        <w:t>10.139</w:t>
      </w:r>
      <w:r>
        <w:rPr>
          <w:sz w:val="20"/>
          <w:szCs w:val="20"/>
          <w:color w:val="auto"/>
        </w:rPr>
        <w:tab/>
      </w:r>
      <w:r>
        <w:rPr>
          <w:rFonts w:ascii="Courier New" w:cs="Courier New" w:eastAsia="Courier New" w:hAnsi="Courier New"/>
          <w:sz w:val="14"/>
          <w:szCs w:val="14"/>
          <w:color w:val="auto"/>
        </w:rPr>
        <w:t>1989 Employee Stock Purchase Plan (20)</w:t>
      </w:r>
    </w:p>
    <w:p>
      <w:pPr>
        <w:spacing w:after="0" w:line="177" w:lineRule="exact"/>
        <w:rPr>
          <w:sz w:val="20"/>
          <w:szCs w:val="20"/>
          <w:color w:val="auto"/>
        </w:rPr>
      </w:pPr>
    </w:p>
    <w:p>
      <w:pPr>
        <w:ind w:left="5"/>
        <w:spacing w:after="0"/>
        <w:tabs>
          <w:tab w:leader="none" w:pos="1284" w:val="left"/>
        </w:tabs>
        <w:rPr>
          <w:sz w:val="20"/>
          <w:szCs w:val="20"/>
          <w:color w:val="auto"/>
        </w:rPr>
      </w:pPr>
      <w:r>
        <w:rPr>
          <w:rFonts w:ascii="Courier New" w:cs="Courier New" w:eastAsia="Courier New" w:hAnsi="Courier New"/>
          <w:sz w:val="16"/>
          <w:szCs w:val="16"/>
          <w:color w:val="auto"/>
        </w:rPr>
        <w:t>10.140</w:t>
      </w:r>
      <w:r>
        <w:rPr>
          <w:sz w:val="20"/>
          <w:szCs w:val="20"/>
          <w:color w:val="auto"/>
        </w:rPr>
        <w:tab/>
      </w:r>
      <w:r>
        <w:rPr>
          <w:rFonts w:ascii="Courier New" w:cs="Courier New" w:eastAsia="Courier New" w:hAnsi="Courier New"/>
          <w:sz w:val="14"/>
          <w:szCs w:val="14"/>
          <w:color w:val="auto"/>
        </w:rPr>
        <w:t>1998 Non-Employee Director Stock Incentive Plan (20)</w:t>
      </w:r>
    </w:p>
    <w:p>
      <w:pPr>
        <w:spacing w:after="0" w:line="183" w:lineRule="exact"/>
        <w:rPr>
          <w:sz w:val="20"/>
          <w:szCs w:val="20"/>
          <w:color w:val="auto"/>
        </w:rPr>
      </w:pPr>
    </w:p>
    <w:p>
      <w:pPr>
        <w:ind w:left="1305" w:right="2959" w:hanging="1301"/>
        <w:spacing w:after="0" w:line="234" w:lineRule="auto"/>
        <w:tabs>
          <w:tab w:leader="none" w:pos="1284" w:val="left"/>
        </w:tabs>
        <w:rPr>
          <w:sz w:val="20"/>
          <w:szCs w:val="20"/>
          <w:color w:val="auto"/>
        </w:rPr>
      </w:pPr>
      <w:r>
        <w:rPr>
          <w:rFonts w:ascii="Courier New" w:cs="Courier New" w:eastAsia="Courier New" w:hAnsi="Courier New"/>
          <w:sz w:val="16"/>
          <w:szCs w:val="16"/>
          <w:color w:val="auto"/>
        </w:rPr>
        <w:t>10.141</w:t>
      </w:r>
      <w:r>
        <w:rPr>
          <w:sz w:val="20"/>
          <w:szCs w:val="20"/>
          <w:color w:val="auto"/>
        </w:rPr>
        <w:tab/>
      </w:r>
      <w:r>
        <w:rPr>
          <w:rFonts w:ascii="Courier New" w:cs="Courier New" w:eastAsia="Courier New" w:hAnsi="Courier New"/>
          <w:sz w:val="16"/>
          <w:szCs w:val="16"/>
          <w:color w:val="auto"/>
        </w:rPr>
        <w:t>Purchase Agreement dated September 30, 1998, between the Company and KTI Semiconductor Limited (19)</w:t>
      </w:r>
    </w:p>
    <w:p>
      <w:pPr>
        <w:spacing w:after="0" w:line="183" w:lineRule="exact"/>
        <w:rPr>
          <w:sz w:val="20"/>
          <w:szCs w:val="20"/>
          <w:color w:val="auto"/>
        </w:rPr>
      </w:pPr>
    </w:p>
    <w:p>
      <w:pPr>
        <w:ind w:left="1305" w:right="2879" w:hanging="1301"/>
        <w:spacing w:after="0" w:line="234" w:lineRule="auto"/>
        <w:tabs>
          <w:tab w:leader="none" w:pos="1284" w:val="left"/>
        </w:tabs>
        <w:rPr>
          <w:sz w:val="20"/>
          <w:szCs w:val="20"/>
          <w:color w:val="auto"/>
        </w:rPr>
      </w:pPr>
      <w:r>
        <w:rPr>
          <w:rFonts w:ascii="Courier New" w:cs="Courier New" w:eastAsia="Courier New" w:hAnsi="Courier New"/>
          <w:sz w:val="16"/>
          <w:szCs w:val="16"/>
          <w:color w:val="auto"/>
        </w:rPr>
        <w:t>10.142</w:t>
      </w:r>
      <w:r>
        <w:rPr>
          <w:sz w:val="20"/>
          <w:szCs w:val="20"/>
          <w:color w:val="auto"/>
        </w:rPr>
        <w:tab/>
      </w:r>
      <w:r>
        <w:rPr>
          <w:rFonts w:ascii="Courier New" w:cs="Courier New" w:eastAsia="Courier New" w:hAnsi="Courier New"/>
          <w:sz w:val="16"/>
          <w:szCs w:val="16"/>
          <w:color w:val="auto"/>
        </w:rPr>
        <w:t>Purchase Agreement dated October 1, 1998, between the Company and TECH Semiconductor Singapore Pte. Ltd. (19)</w:t>
      </w:r>
    </w:p>
    <w:p>
      <w:pPr>
        <w:spacing w:after="0" w:line="177" w:lineRule="exact"/>
        <w:rPr>
          <w:sz w:val="20"/>
          <w:szCs w:val="20"/>
          <w:color w:val="auto"/>
        </w:rPr>
      </w:pPr>
    </w:p>
    <w:p>
      <w:pPr>
        <w:ind w:left="5"/>
        <w:spacing w:after="0"/>
        <w:tabs>
          <w:tab w:leader="none" w:pos="1284" w:val="left"/>
        </w:tabs>
        <w:rPr>
          <w:sz w:val="20"/>
          <w:szCs w:val="20"/>
          <w:color w:val="auto"/>
        </w:rPr>
      </w:pPr>
      <w:r>
        <w:rPr>
          <w:rFonts w:ascii="Courier New" w:cs="Courier New" w:eastAsia="Courier New" w:hAnsi="Courier New"/>
          <w:sz w:val="16"/>
          <w:szCs w:val="16"/>
          <w:color w:val="auto"/>
        </w:rPr>
        <w:t>21.1</w:t>
      </w:r>
      <w:r>
        <w:rPr>
          <w:sz w:val="20"/>
          <w:szCs w:val="20"/>
          <w:color w:val="auto"/>
        </w:rPr>
        <w:tab/>
      </w:r>
      <w:r>
        <w:rPr>
          <w:rFonts w:ascii="Courier New" w:cs="Courier New" w:eastAsia="Courier New" w:hAnsi="Courier New"/>
          <w:sz w:val="14"/>
          <w:szCs w:val="14"/>
          <w:color w:val="auto"/>
        </w:rPr>
        <w:t>Subsidiaries of the Registrant</w:t>
      </w:r>
    </w:p>
    <w:p>
      <w:pPr>
        <w:spacing w:after="0" w:line="177" w:lineRule="exact"/>
        <w:rPr>
          <w:sz w:val="20"/>
          <w:szCs w:val="20"/>
          <w:color w:val="auto"/>
        </w:rPr>
      </w:pPr>
    </w:p>
    <w:p>
      <w:pPr>
        <w:ind w:left="5"/>
        <w:spacing w:after="0"/>
        <w:tabs>
          <w:tab w:leader="none" w:pos="1284" w:val="left"/>
        </w:tabs>
        <w:rPr>
          <w:sz w:val="20"/>
          <w:szCs w:val="20"/>
          <w:color w:val="auto"/>
        </w:rPr>
      </w:pPr>
      <w:r>
        <w:rPr>
          <w:rFonts w:ascii="Courier New" w:cs="Courier New" w:eastAsia="Courier New" w:hAnsi="Courier New"/>
          <w:sz w:val="16"/>
          <w:szCs w:val="16"/>
          <w:color w:val="auto"/>
        </w:rPr>
        <w:t>23.1</w:t>
      </w:r>
      <w:r>
        <w:rPr>
          <w:sz w:val="20"/>
          <w:szCs w:val="20"/>
          <w:color w:val="auto"/>
        </w:rPr>
        <w:tab/>
      </w:r>
      <w:r>
        <w:rPr>
          <w:rFonts w:ascii="Courier New" w:cs="Courier New" w:eastAsia="Courier New" w:hAnsi="Courier New"/>
          <w:sz w:val="14"/>
          <w:szCs w:val="14"/>
          <w:color w:val="auto"/>
        </w:rPr>
        <w:t>Consent of Independent Accountants</w:t>
      </w:r>
    </w:p>
    <w:p>
      <w:pPr>
        <w:spacing w:after="0" w:line="177" w:lineRule="exact"/>
        <w:rPr>
          <w:sz w:val="20"/>
          <w:szCs w:val="20"/>
          <w:color w:val="auto"/>
        </w:rPr>
      </w:pPr>
    </w:p>
    <w:p>
      <w:pPr>
        <w:ind w:left="5"/>
        <w:spacing w:after="0"/>
        <w:tabs>
          <w:tab w:leader="none" w:pos="1284" w:val="left"/>
        </w:tabs>
        <w:rPr>
          <w:sz w:val="20"/>
          <w:szCs w:val="20"/>
          <w:color w:val="auto"/>
        </w:rPr>
      </w:pPr>
      <w:r>
        <w:rPr>
          <w:rFonts w:ascii="Courier New" w:cs="Courier New" w:eastAsia="Courier New" w:hAnsi="Courier New"/>
          <w:sz w:val="16"/>
          <w:szCs w:val="16"/>
          <w:color w:val="auto"/>
        </w:rPr>
        <w:t>27.1</w:t>
      </w:r>
      <w:r>
        <w:rPr>
          <w:sz w:val="20"/>
          <w:szCs w:val="20"/>
          <w:color w:val="auto"/>
        </w:rPr>
        <w:tab/>
      </w:r>
      <w:r>
        <w:rPr>
          <w:rFonts w:ascii="Courier New" w:cs="Courier New" w:eastAsia="Courier New" w:hAnsi="Courier New"/>
          <w:sz w:val="14"/>
          <w:szCs w:val="14"/>
          <w:color w:val="auto"/>
        </w:rPr>
        <w:t>Financial Data Schedule</w:t>
      </w:r>
    </w:p>
    <w:p>
      <w:pPr>
        <w:spacing w:after="0" w:line="355" w:lineRule="exact"/>
        <w:rPr>
          <w:sz w:val="20"/>
          <w:szCs w:val="20"/>
          <w:color w:val="auto"/>
        </w:rPr>
      </w:pPr>
    </w:p>
    <w:p>
      <w:pPr>
        <w:ind w:left="185" w:hanging="185"/>
        <w:spacing w:after="0"/>
        <w:tabs>
          <w:tab w:leader="none" w:pos="185"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61" w:lineRule="exact"/>
        <w:rPr>
          <w:rFonts w:ascii="Courier New" w:cs="Courier New" w:eastAsia="Courier New" w:hAnsi="Courier New"/>
          <w:sz w:val="16"/>
          <w:szCs w:val="16"/>
          <w:color w:val="auto"/>
        </w:rPr>
      </w:pPr>
    </w:p>
    <w:p>
      <w:pPr>
        <w:ind w:left="1025" w:right="3059" w:hanging="559"/>
        <w:spacing w:after="0" w:line="234" w:lineRule="auto"/>
        <w:tabs>
          <w:tab w:leader="none" w:pos="1025" w:val="left"/>
        </w:tabs>
        <w:numPr>
          <w:ilvl w:val="1"/>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Quarterly Report on Form 10-Q for the fiscal quarter ended May 28, 1998</w:t>
      </w:r>
    </w:p>
    <w:p>
      <w:pPr>
        <w:spacing w:after="0" w:line="183" w:lineRule="exact"/>
        <w:rPr>
          <w:rFonts w:ascii="Courier New" w:cs="Courier New" w:eastAsia="Courier New" w:hAnsi="Courier New"/>
          <w:sz w:val="16"/>
          <w:szCs w:val="16"/>
          <w:color w:val="auto"/>
        </w:rPr>
      </w:pPr>
    </w:p>
    <w:p>
      <w:pPr>
        <w:ind w:left="1025" w:right="3239" w:hanging="559"/>
        <w:spacing w:after="0" w:line="234" w:lineRule="auto"/>
        <w:tabs>
          <w:tab w:leader="none" w:pos="1025" w:val="left"/>
        </w:tabs>
        <w:numPr>
          <w:ilvl w:val="1"/>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Current Report on Form 8-K filed on October 14, 1998, as amended on October 16, 1998</w:t>
      </w:r>
    </w:p>
    <w:p>
      <w:pPr>
        <w:spacing w:after="0" w:line="183" w:lineRule="exact"/>
        <w:rPr>
          <w:rFonts w:ascii="Courier New" w:cs="Courier New" w:eastAsia="Courier New" w:hAnsi="Courier New"/>
          <w:sz w:val="16"/>
          <w:szCs w:val="16"/>
          <w:color w:val="auto"/>
        </w:rPr>
      </w:pPr>
    </w:p>
    <w:p>
      <w:pPr>
        <w:ind w:left="1025" w:right="3059" w:hanging="559"/>
        <w:spacing w:after="0" w:line="234" w:lineRule="auto"/>
        <w:tabs>
          <w:tab w:leader="none" w:pos="1025" w:val="left"/>
        </w:tabs>
        <w:numPr>
          <w:ilvl w:val="1"/>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Registration Statement on Form S-4 as amended (Reg. No. 333-60129)</w:t>
      </w:r>
    </w:p>
    <w:p>
      <w:pPr>
        <w:sectPr>
          <w:pgSz w:w="11900" w:h="16838" w:orient="portrait"/>
          <w:cols w:equalWidth="0" w:num="1">
            <w:col w:w="10224"/>
          </w:cols>
          <w:pgMar w:left="235" w:top="1185" w:right="1440" w:bottom="60" w:gutter="0" w:footer="0" w:header="0"/>
        </w:sectPr>
      </w:pPr>
    </w:p>
    <w:bookmarkStart w:id="57" w:name="page58"/>
    <w:bookmarkEnd w:id="57"/>
    <w:p>
      <w:pPr>
        <w:ind w:left="2240"/>
        <w:spacing w:after="0"/>
        <w:rPr>
          <w:sz w:val="20"/>
          <w:szCs w:val="20"/>
          <w:color w:val="auto"/>
        </w:rPr>
      </w:pPr>
      <w:r>
        <w:rPr>
          <w:rFonts w:ascii="Courier New" w:cs="Courier New" w:eastAsia="Courier New" w:hAnsi="Courier New"/>
          <w:sz w:val="14"/>
          <w:szCs w:val="14"/>
          <w:color w:val="auto"/>
        </w:rPr>
        <w:t>54/57</w:t>
      </w:r>
    </w:p>
    <w:p>
      <w:pPr>
        <w:sectPr>
          <w:pgSz w:w="11900" w:h="16838" w:orient="portrait"/>
          <w:cols w:equalWidth="0" w:num="1">
            <w:col w:w="9019"/>
          </w:cols>
          <w:pgMar w:left="1440" w:top="320" w:right="1440" w:bottom="1440" w:gutter="0" w:footer="0" w:header="0"/>
        </w:sectPr>
      </w:pPr>
    </w:p>
    <w:bookmarkStart w:id="58" w:name="page59"/>
    <w:bookmarkEnd w:id="58"/>
    <w:p>
      <w:pPr>
        <w:ind w:left="1020" w:right="3059" w:hanging="559"/>
        <w:spacing w:after="0" w:line="234" w:lineRule="auto"/>
        <w:tabs>
          <w:tab w:leader="none" w:pos="1020"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Annual Report on Form 10-K as amended for the fiscal year ended August 31, 1995</w:t>
      </w:r>
    </w:p>
    <w:p>
      <w:pPr>
        <w:spacing w:after="0" w:line="183" w:lineRule="exact"/>
        <w:rPr>
          <w:rFonts w:ascii="Courier New" w:cs="Courier New" w:eastAsia="Courier New" w:hAnsi="Courier New"/>
          <w:sz w:val="16"/>
          <w:szCs w:val="16"/>
          <w:color w:val="auto"/>
        </w:rPr>
      </w:pPr>
    </w:p>
    <w:p>
      <w:pPr>
        <w:ind w:left="1020" w:right="3059" w:hanging="559"/>
        <w:spacing w:after="0" w:line="234" w:lineRule="auto"/>
        <w:tabs>
          <w:tab w:leader="none" w:pos="1020"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Registration Statement on Form S-3 as amended (Reg. No. 333-57973)</w:t>
      </w:r>
    </w:p>
    <w:p>
      <w:pPr>
        <w:spacing w:after="0" w:line="183" w:lineRule="exact"/>
        <w:rPr>
          <w:rFonts w:ascii="Courier New" w:cs="Courier New" w:eastAsia="Courier New" w:hAnsi="Courier New"/>
          <w:sz w:val="16"/>
          <w:szCs w:val="16"/>
          <w:color w:val="auto"/>
        </w:rPr>
      </w:pPr>
    </w:p>
    <w:p>
      <w:pPr>
        <w:ind w:left="1020" w:right="2779" w:hanging="559"/>
        <w:spacing w:after="0" w:line="234" w:lineRule="auto"/>
        <w:tabs>
          <w:tab w:leader="none" w:pos="1020"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Current Report on Form 8-K filed on July 3, 1997</w:t>
      </w:r>
    </w:p>
    <w:p>
      <w:pPr>
        <w:spacing w:after="0" w:line="183" w:lineRule="exact"/>
        <w:rPr>
          <w:rFonts w:ascii="Courier New" w:cs="Courier New" w:eastAsia="Courier New" w:hAnsi="Courier New"/>
          <w:sz w:val="16"/>
          <w:szCs w:val="16"/>
          <w:color w:val="auto"/>
        </w:rPr>
      </w:pPr>
    </w:p>
    <w:p>
      <w:pPr>
        <w:ind w:left="1020" w:right="3239" w:hanging="559"/>
        <w:spacing w:after="0" w:line="234" w:lineRule="auto"/>
        <w:tabs>
          <w:tab w:leader="none" w:pos="1020"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Proxy Statement for the 1986 Annual Meeting of Shareholders</w:t>
      </w:r>
    </w:p>
    <w:p>
      <w:pPr>
        <w:spacing w:after="0" w:line="183" w:lineRule="exact"/>
        <w:rPr>
          <w:rFonts w:ascii="Courier New" w:cs="Courier New" w:eastAsia="Courier New" w:hAnsi="Courier New"/>
          <w:sz w:val="16"/>
          <w:szCs w:val="16"/>
          <w:color w:val="auto"/>
        </w:rPr>
      </w:pPr>
    </w:p>
    <w:p>
      <w:pPr>
        <w:ind w:left="1020" w:right="3339" w:hanging="559"/>
        <w:spacing w:after="0" w:line="234" w:lineRule="auto"/>
        <w:tabs>
          <w:tab w:leader="none" w:pos="1020"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Annual Report on Form 10-K for the fiscal year ended August 31, 1989</w:t>
      </w:r>
    </w:p>
    <w:p>
      <w:pPr>
        <w:spacing w:after="0" w:line="183" w:lineRule="exact"/>
        <w:rPr>
          <w:rFonts w:ascii="Courier New" w:cs="Courier New" w:eastAsia="Courier New" w:hAnsi="Courier New"/>
          <w:sz w:val="16"/>
          <w:szCs w:val="16"/>
          <w:color w:val="auto"/>
        </w:rPr>
      </w:pPr>
    </w:p>
    <w:p>
      <w:pPr>
        <w:ind w:left="1020" w:right="3159" w:hanging="559"/>
        <w:spacing w:after="0" w:line="234" w:lineRule="auto"/>
        <w:tabs>
          <w:tab w:leader="none" w:pos="1020"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Registration Statements on Forms S-8 (Reg. Nos. 33-38665, 33-38926 and 33-52653)</w:t>
      </w:r>
    </w:p>
    <w:p>
      <w:pPr>
        <w:spacing w:after="0" w:line="183" w:lineRule="exact"/>
        <w:rPr>
          <w:rFonts w:ascii="Courier New" w:cs="Courier New" w:eastAsia="Courier New" w:hAnsi="Courier New"/>
          <w:sz w:val="16"/>
          <w:szCs w:val="16"/>
          <w:color w:val="auto"/>
        </w:rPr>
      </w:pPr>
    </w:p>
    <w:p>
      <w:pPr>
        <w:ind w:left="1020" w:right="3339" w:hanging="652"/>
        <w:spacing w:after="0" w:line="234" w:lineRule="auto"/>
        <w:tabs>
          <w:tab w:leader="none" w:pos="1020"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Annual Report on Form 10-K for the fiscal year ended September 2, 1993</w:t>
      </w:r>
    </w:p>
    <w:p>
      <w:pPr>
        <w:spacing w:after="0" w:line="183" w:lineRule="exact"/>
        <w:rPr>
          <w:rFonts w:ascii="Courier New" w:cs="Courier New" w:eastAsia="Courier New" w:hAnsi="Courier New"/>
          <w:sz w:val="16"/>
          <w:szCs w:val="16"/>
          <w:color w:val="auto"/>
        </w:rPr>
      </w:pPr>
    </w:p>
    <w:p>
      <w:pPr>
        <w:ind w:left="1020" w:right="2779" w:hanging="652"/>
        <w:spacing w:after="0" w:line="234" w:lineRule="auto"/>
        <w:tabs>
          <w:tab w:leader="none" w:pos="1020"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Registration Statement on Form S-8 (Reg. Nos. 33-57887, 333-07283 and 333-50353)</w:t>
      </w:r>
    </w:p>
    <w:p>
      <w:pPr>
        <w:spacing w:after="0" w:line="183" w:lineRule="exact"/>
        <w:rPr>
          <w:rFonts w:ascii="Courier New" w:cs="Courier New" w:eastAsia="Courier New" w:hAnsi="Courier New"/>
          <w:sz w:val="16"/>
          <w:szCs w:val="16"/>
          <w:color w:val="auto"/>
        </w:rPr>
      </w:pPr>
    </w:p>
    <w:p>
      <w:pPr>
        <w:ind w:left="1020" w:right="3059" w:hanging="652"/>
        <w:spacing w:after="0" w:line="234" w:lineRule="auto"/>
        <w:tabs>
          <w:tab w:leader="none" w:pos="1020"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Quarterly Report on Form 10-Q for the fiscal quarter ended February 29, 1996</w:t>
      </w:r>
    </w:p>
    <w:p>
      <w:pPr>
        <w:spacing w:after="0" w:line="183" w:lineRule="exact"/>
        <w:rPr>
          <w:rFonts w:ascii="Courier New" w:cs="Courier New" w:eastAsia="Courier New" w:hAnsi="Courier New"/>
          <w:sz w:val="16"/>
          <w:szCs w:val="16"/>
          <w:color w:val="auto"/>
        </w:rPr>
      </w:pPr>
    </w:p>
    <w:p>
      <w:pPr>
        <w:ind w:left="1020" w:right="3339" w:hanging="652"/>
        <w:spacing w:after="0" w:line="234" w:lineRule="auto"/>
        <w:tabs>
          <w:tab w:leader="none" w:pos="1020"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Annual Report on Form 10-K for the fiscal year ended August 29, 1996</w:t>
      </w:r>
    </w:p>
    <w:p>
      <w:pPr>
        <w:spacing w:after="0" w:line="183" w:lineRule="exact"/>
        <w:rPr>
          <w:rFonts w:ascii="Courier New" w:cs="Courier New" w:eastAsia="Courier New" w:hAnsi="Courier New"/>
          <w:sz w:val="16"/>
          <w:szCs w:val="16"/>
          <w:color w:val="auto"/>
        </w:rPr>
      </w:pPr>
    </w:p>
    <w:p>
      <w:pPr>
        <w:ind w:left="1020" w:right="3059" w:hanging="652"/>
        <w:spacing w:after="0" w:line="234" w:lineRule="auto"/>
        <w:tabs>
          <w:tab w:leader="none" w:pos="1020"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Quarterly Report on Form 10-Q for the fiscal quarter ended February 27, 1997</w:t>
      </w:r>
    </w:p>
    <w:p>
      <w:pPr>
        <w:spacing w:after="0" w:line="183" w:lineRule="exact"/>
        <w:rPr>
          <w:rFonts w:ascii="Courier New" w:cs="Courier New" w:eastAsia="Courier New" w:hAnsi="Courier New"/>
          <w:sz w:val="16"/>
          <w:szCs w:val="16"/>
          <w:color w:val="auto"/>
        </w:rPr>
      </w:pPr>
    </w:p>
    <w:p>
      <w:pPr>
        <w:ind w:left="1020" w:right="2779" w:hanging="652"/>
        <w:spacing w:after="0" w:line="234" w:lineRule="auto"/>
        <w:tabs>
          <w:tab w:leader="none" w:pos="1020"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Registration Statement on Form S-8 (Reg. Nos. 333-17073 and 333-50353)</w:t>
      </w:r>
    </w:p>
    <w:p>
      <w:pPr>
        <w:spacing w:after="0" w:line="183" w:lineRule="exact"/>
        <w:rPr>
          <w:rFonts w:ascii="Courier New" w:cs="Courier New" w:eastAsia="Courier New" w:hAnsi="Courier New"/>
          <w:sz w:val="16"/>
          <w:szCs w:val="16"/>
          <w:color w:val="auto"/>
        </w:rPr>
      </w:pPr>
    </w:p>
    <w:p>
      <w:pPr>
        <w:ind w:left="1020" w:right="2779" w:hanging="652"/>
        <w:spacing w:after="0" w:line="234" w:lineRule="auto"/>
        <w:tabs>
          <w:tab w:leader="none" w:pos="1020"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Registration Statement on Form S-8 (Reg. No. 333-50353)</w:t>
      </w:r>
    </w:p>
    <w:p>
      <w:pPr>
        <w:spacing w:after="0" w:line="183" w:lineRule="exact"/>
        <w:rPr>
          <w:rFonts w:ascii="Courier New" w:cs="Courier New" w:eastAsia="Courier New" w:hAnsi="Courier New"/>
          <w:sz w:val="16"/>
          <w:szCs w:val="16"/>
          <w:color w:val="auto"/>
        </w:rPr>
      </w:pPr>
    </w:p>
    <w:p>
      <w:pPr>
        <w:ind w:left="1020" w:right="2779" w:hanging="652"/>
        <w:spacing w:after="0" w:line="234" w:lineRule="auto"/>
        <w:tabs>
          <w:tab w:leader="none" w:pos="1020"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Registration Statement on Form S-8 (Reg. No. 333-65449)</w:t>
      </w:r>
    </w:p>
    <w:p>
      <w:pPr>
        <w:spacing w:after="0" w:line="183" w:lineRule="exact"/>
        <w:rPr>
          <w:rFonts w:ascii="Courier New" w:cs="Courier New" w:eastAsia="Courier New" w:hAnsi="Courier New"/>
          <w:sz w:val="16"/>
          <w:szCs w:val="16"/>
          <w:color w:val="auto"/>
        </w:rPr>
      </w:pPr>
    </w:p>
    <w:p>
      <w:pPr>
        <w:ind w:left="1020" w:right="3339" w:hanging="652"/>
        <w:spacing w:after="0" w:line="234" w:lineRule="auto"/>
        <w:tabs>
          <w:tab w:leader="none" w:pos="1020"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Annual Report on Form 10-K for the fiscal year ended September 3, 1998</w:t>
      </w:r>
    </w:p>
    <w:p>
      <w:pPr>
        <w:spacing w:after="0" w:line="183" w:lineRule="exact"/>
        <w:rPr>
          <w:rFonts w:ascii="Courier New" w:cs="Courier New" w:eastAsia="Courier New" w:hAnsi="Courier New"/>
          <w:sz w:val="16"/>
          <w:szCs w:val="16"/>
          <w:color w:val="auto"/>
        </w:rPr>
      </w:pPr>
    </w:p>
    <w:p>
      <w:pPr>
        <w:ind w:left="1020" w:right="3059" w:hanging="652"/>
        <w:spacing w:after="0" w:line="234" w:lineRule="auto"/>
        <w:tabs>
          <w:tab w:leader="none" w:pos="1020"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Quarterly Report on Form 10-Q for the fiscal quarter ended December 3, 1998</w:t>
      </w:r>
    </w:p>
    <w:p>
      <w:pPr>
        <w:spacing w:after="0" w:line="183" w:lineRule="exact"/>
        <w:rPr>
          <w:rFonts w:ascii="Courier New" w:cs="Courier New" w:eastAsia="Courier New" w:hAnsi="Courier New"/>
          <w:sz w:val="16"/>
          <w:szCs w:val="16"/>
          <w:color w:val="auto"/>
        </w:rPr>
      </w:pPr>
    </w:p>
    <w:p>
      <w:pPr>
        <w:ind w:left="1020" w:right="3059" w:hanging="652"/>
        <w:spacing w:after="0" w:line="234" w:lineRule="auto"/>
        <w:tabs>
          <w:tab w:leader="none" w:pos="1020"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Quarterly Report on Form 10-Q for the fiscal quarter ended June 3, 1999</w:t>
      </w:r>
    </w:p>
    <w:p>
      <w:pPr>
        <w:spacing w:after="0" w:line="183" w:lineRule="exact"/>
        <w:rPr>
          <w:rFonts w:ascii="Courier New" w:cs="Courier New" w:eastAsia="Courier New" w:hAnsi="Courier New"/>
          <w:sz w:val="16"/>
          <w:szCs w:val="16"/>
          <w:color w:val="auto"/>
        </w:rPr>
      </w:pPr>
    </w:p>
    <w:p>
      <w:pPr>
        <w:ind w:left="1020" w:right="2779" w:hanging="652"/>
        <w:spacing w:after="0" w:line="234" w:lineRule="auto"/>
        <w:tabs>
          <w:tab w:leader="none" w:pos="1020"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Registration Statement on Form S-8 (Reg. No. 333-82549)</w:t>
      </w:r>
    </w:p>
    <w:p>
      <w:pPr>
        <w:spacing w:after="0" w:line="362" w:lineRule="exact"/>
        <w:rPr>
          <w:rFonts w:ascii="Courier New" w:cs="Courier New" w:eastAsia="Courier New" w:hAnsi="Courier New"/>
          <w:sz w:val="16"/>
          <w:szCs w:val="16"/>
          <w:color w:val="auto"/>
        </w:rPr>
      </w:pPr>
    </w:p>
    <w:p>
      <w:pPr>
        <w:ind w:right="2779" w:firstLine="181"/>
        <w:spacing w:after="0" w:line="234" w:lineRule="auto"/>
        <w:tabs>
          <w:tab w:leader="none" w:pos="558"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 filed the following report(s) on Form 8-K during the fiscal quarter ended September 2, 1999:</w:t>
      </w:r>
    </w:p>
    <w:p>
      <w:pPr>
        <w:sectPr>
          <w:pgSz w:w="11900" w:h="16838" w:orient="portrait"/>
          <w:cols w:equalWidth="0" w:num="1">
            <w:col w:w="10219"/>
          </w:cols>
          <w:pgMar w:left="240" w:top="10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920"/>
        <w:spacing w:after="0"/>
        <w:rPr>
          <w:sz w:val="20"/>
          <w:szCs w:val="20"/>
          <w:color w:val="auto"/>
        </w:rPr>
      </w:pPr>
      <w:r>
        <w:rPr>
          <w:rFonts w:ascii="Courier New" w:cs="Courier New" w:eastAsia="Courier New" w:hAnsi="Courier New"/>
          <w:sz w:val="16"/>
          <w:szCs w:val="16"/>
          <w:color w:val="auto"/>
        </w:rPr>
        <w:t>Date</w:t>
      </w:r>
    </w:p>
    <w:p>
      <w:pPr>
        <w:spacing w:after="0" w:line="4" w:lineRule="exact"/>
        <w:rPr>
          <w:sz w:val="20"/>
          <w:szCs w:val="20"/>
          <w:color w:val="auto"/>
        </w:rPr>
      </w:pPr>
    </w:p>
    <w:p>
      <w:pPr>
        <w:ind w:left="92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920"/>
        <w:spacing w:after="0"/>
        <w:rPr>
          <w:sz w:val="20"/>
          <w:szCs w:val="20"/>
          <w:color w:val="auto"/>
        </w:rPr>
      </w:pPr>
      <w:r>
        <w:rPr>
          <w:rFonts w:ascii="Courier New" w:cs="Courier New" w:eastAsia="Courier New" w:hAnsi="Courier New"/>
          <w:sz w:val="16"/>
          <w:szCs w:val="16"/>
          <w:color w:val="auto"/>
        </w:rPr>
        <w:t>July 7, 1999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5, Other Events</w:t>
      </w:r>
    </w:p>
    <w:p>
      <w:pPr>
        <w:spacing w:after="0" w:line="200" w:lineRule="exact"/>
        <w:rPr>
          <w:sz w:val="20"/>
          <w:szCs w:val="20"/>
          <w:color w:val="auto"/>
        </w:rPr>
      </w:pPr>
    </w:p>
    <w:p>
      <w:pPr>
        <w:sectPr>
          <w:pgSz w:w="11900" w:h="16838" w:orient="portrait"/>
          <w:cols w:equalWidth="0" w:num="2">
            <w:col w:w="3440" w:space="280"/>
            <w:col w:w="6499"/>
          </w:cols>
          <w:pgMar w:left="240" w:top="1012" w:right="1440" w:bottom="1440" w:gutter="0" w:footer="0" w:header="0"/>
          <w:type w:val="continuous"/>
        </w:sectPr>
      </w:pPr>
    </w:p>
    <w:p>
      <w:pPr>
        <w:spacing w:after="0" w:line="200" w:lineRule="exact"/>
        <w:rPr>
          <w:sz w:val="20"/>
          <w:szCs w:val="20"/>
          <w:color w:val="auto"/>
        </w:rPr>
      </w:pPr>
    </w:p>
    <w:p>
      <w:pPr>
        <w:spacing w:after="0" w:line="319" w:lineRule="exact"/>
        <w:rPr>
          <w:sz w:val="20"/>
          <w:szCs w:val="20"/>
          <w:color w:val="auto"/>
        </w:rPr>
      </w:pPr>
    </w:p>
    <w:p>
      <w:pPr>
        <w:ind w:right="2879" w:firstLine="186"/>
        <w:spacing w:after="0" w:line="235" w:lineRule="auto"/>
        <w:rPr>
          <w:sz w:val="20"/>
          <w:szCs w:val="20"/>
          <w:color w:val="auto"/>
        </w:rPr>
      </w:pPr>
      <w:r>
        <w:rPr>
          <w:rFonts w:ascii="Courier New" w:cs="Courier New" w:eastAsia="Courier New" w:hAnsi="Courier New"/>
          <w:sz w:val="16"/>
          <w:szCs w:val="16"/>
          <w:color w:val="auto"/>
        </w:rPr>
        <w:t>Micron and micronpc.com are trademarks of MTI. Transport Trek2, Transport NX, Mservices and HostPro are trademarks of MEI. Millennia, ClientPro and NetFRAME are registered trademarks of MEI. Micron Power is a service mark of MEI. All other product names appearing herein are for identification purposes only and may be trademarks of their respective companies.</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55/57</w:t>
      </w:r>
    </w:p>
    <w:p>
      <w:pPr>
        <w:sectPr>
          <w:pgSz w:w="11900" w:h="16838" w:orient="portrait"/>
          <w:cols w:equalWidth="0" w:num="1">
            <w:col w:w="10219"/>
          </w:cols>
          <w:pgMar w:left="240" w:top="1012" w:right="1440" w:bottom="1440" w:gutter="0" w:footer="0" w:header="0"/>
          <w:type w:val="continuous"/>
        </w:sectPr>
      </w:pPr>
    </w:p>
    <w:bookmarkStart w:id="59" w:name="page60"/>
    <w:bookmarkEnd w:id="59"/>
    <w:p>
      <w:pPr>
        <w:ind w:left="3165"/>
        <w:spacing w:after="0"/>
        <w:rPr>
          <w:sz w:val="20"/>
          <w:szCs w:val="20"/>
          <w:color w:val="auto"/>
        </w:rPr>
      </w:pPr>
      <w:r>
        <w:rPr>
          <w:rFonts w:ascii="Courier New" w:cs="Courier New" w:eastAsia="Courier New" w:hAnsi="Courier New"/>
          <w:sz w:val="16"/>
          <w:szCs w:val="16"/>
          <w:color w:val="auto"/>
        </w:rPr>
        <w:t>SIGNATURES</w:t>
      </w:r>
    </w:p>
    <w:p>
      <w:pPr>
        <w:spacing w:after="0" w:line="183" w:lineRule="exact"/>
        <w:rPr>
          <w:sz w:val="20"/>
          <w:szCs w:val="20"/>
          <w:color w:val="auto"/>
        </w:rPr>
      </w:pPr>
    </w:p>
    <w:p>
      <w:pPr>
        <w:ind w:left="5" w:right="2779" w:firstLine="186"/>
        <w:spacing w:after="0" w:line="235" w:lineRule="auto"/>
        <w:rPr>
          <w:sz w:val="20"/>
          <w:szCs w:val="20"/>
          <w:color w:val="auto"/>
        </w:rPr>
      </w:pPr>
      <w:r>
        <w:rPr>
          <w:rFonts w:ascii="Courier New" w:cs="Courier New" w:eastAsia="Courier New" w:hAnsi="Courier New"/>
          <w:sz w:val="16"/>
          <w:szCs w:val="16"/>
          <w:color w:val="auto"/>
        </w:rPr>
        <w:t>Pursuant to the requirements of Section 13 or 15(d) of the Securities Exchange Act of 1934, the Registrant has duly caused this report to be signed on its behalf by the undersigned, thereunto duly authorized, in the City of Boise, State of Idaho, on the 9th day of November, 1999.</w:t>
      </w:r>
    </w:p>
    <w:p>
      <w:pPr>
        <w:spacing w:after="0" w:line="357" w:lineRule="exact"/>
        <w:rPr>
          <w:sz w:val="20"/>
          <w:szCs w:val="20"/>
          <w:color w:val="auto"/>
        </w:rPr>
      </w:pPr>
    </w:p>
    <w:p>
      <w:pPr>
        <w:ind w:left="3265"/>
        <w:spacing w:after="0"/>
        <w:rPr>
          <w:sz w:val="20"/>
          <w:szCs w:val="20"/>
          <w:color w:val="auto"/>
        </w:rPr>
      </w:pPr>
      <w:r>
        <w:rPr>
          <w:rFonts w:ascii="Courier New" w:cs="Courier New" w:eastAsia="Courier New" w:hAnsi="Courier New"/>
          <w:sz w:val="16"/>
          <w:szCs w:val="16"/>
          <w:color w:val="auto"/>
        </w:rPr>
        <w:t>Micron Technology, Inc.</w:t>
      </w:r>
    </w:p>
    <w:p>
      <w:pPr>
        <w:spacing w:after="0" w:line="355" w:lineRule="exact"/>
        <w:rPr>
          <w:sz w:val="20"/>
          <w:szCs w:val="20"/>
          <w:color w:val="auto"/>
        </w:rPr>
      </w:pPr>
    </w:p>
    <w:p>
      <w:pPr>
        <w:ind w:left="3265"/>
        <w:spacing w:after="0"/>
        <w:tabs>
          <w:tab w:leader="none" w:pos="3884"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WILBUR G. STOVER, JR.</w:t>
      </w:r>
    </w:p>
    <w:p>
      <w:pPr>
        <w:ind w:left="3545"/>
        <w:spacing w:after="0" w:line="236" w:lineRule="auto"/>
        <w:rPr>
          <w:sz w:val="20"/>
          <w:szCs w:val="20"/>
          <w:color w:val="auto"/>
        </w:rPr>
      </w:pPr>
      <w:r>
        <w:rPr>
          <w:rFonts w:ascii="Courier New" w:cs="Courier New" w:eastAsia="Courier New" w:hAnsi="Courier New"/>
          <w:sz w:val="16"/>
          <w:szCs w:val="16"/>
          <w:color w:val="auto"/>
        </w:rPr>
        <w:t>-----------------------------------</w:t>
      </w:r>
    </w:p>
    <w:p>
      <w:pPr>
        <w:ind w:left="4005"/>
        <w:spacing w:after="0" w:line="237" w:lineRule="auto"/>
        <w:rPr>
          <w:sz w:val="20"/>
          <w:szCs w:val="20"/>
          <w:color w:val="auto"/>
        </w:rPr>
      </w:pPr>
      <w:r>
        <w:rPr>
          <w:rFonts w:ascii="Courier New" w:cs="Courier New" w:eastAsia="Courier New" w:hAnsi="Courier New"/>
          <w:sz w:val="16"/>
          <w:szCs w:val="16"/>
          <w:color w:val="auto"/>
        </w:rPr>
        <w:t>Wilbur G. Stover, Jr.,</w:t>
      </w:r>
    </w:p>
    <w:p>
      <w:pPr>
        <w:ind w:left="3725"/>
        <w:spacing w:after="0" w:line="237" w:lineRule="auto"/>
        <w:rPr>
          <w:sz w:val="20"/>
          <w:szCs w:val="20"/>
          <w:color w:val="auto"/>
        </w:rPr>
      </w:pPr>
      <w:r>
        <w:rPr>
          <w:rFonts w:ascii="Courier New" w:cs="Courier New" w:eastAsia="Courier New" w:hAnsi="Courier New"/>
          <w:sz w:val="16"/>
          <w:szCs w:val="16"/>
          <w:color w:val="auto"/>
        </w:rPr>
        <w:t>Vice President of Finance, Chief</w:t>
      </w:r>
    </w:p>
    <w:p>
      <w:pPr>
        <w:ind w:left="3725"/>
        <w:spacing w:after="0" w:line="237" w:lineRule="auto"/>
        <w:rPr>
          <w:sz w:val="20"/>
          <w:szCs w:val="20"/>
          <w:color w:val="auto"/>
        </w:rPr>
      </w:pPr>
      <w:r>
        <w:rPr>
          <w:rFonts w:ascii="Courier New" w:cs="Courier New" w:eastAsia="Courier New" w:hAnsi="Courier New"/>
          <w:sz w:val="16"/>
          <w:szCs w:val="16"/>
          <w:color w:val="auto"/>
        </w:rPr>
        <w:t>Financial Officer (Principal</w:t>
      </w:r>
    </w:p>
    <w:p>
      <w:pPr>
        <w:ind w:left="3725"/>
        <w:spacing w:after="0" w:line="237" w:lineRule="auto"/>
        <w:rPr>
          <w:sz w:val="20"/>
          <w:szCs w:val="20"/>
          <w:color w:val="auto"/>
        </w:rPr>
      </w:pPr>
      <w:r>
        <w:rPr>
          <w:rFonts w:ascii="Courier New" w:cs="Courier New" w:eastAsia="Courier New" w:hAnsi="Courier New"/>
          <w:sz w:val="16"/>
          <w:szCs w:val="16"/>
          <w:color w:val="auto"/>
        </w:rPr>
        <w:t>Financial and Accounting Officer)</w:t>
      </w:r>
    </w:p>
    <w:p>
      <w:pPr>
        <w:spacing w:after="0" w:line="177" w:lineRule="exact"/>
        <w:rPr>
          <w:sz w:val="20"/>
          <w:szCs w:val="20"/>
          <w:color w:val="auto"/>
        </w:rPr>
      </w:pPr>
    </w:p>
    <w:p>
      <w:pPr>
        <w:jc w:val="center"/>
        <w:ind w:right="3055"/>
        <w:spacing w:after="0"/>
        <w:rPr>
          <w:sz w:val="20"/>
          <w:szCs w:val="20"/>
          <w:color w:val="auto"/>
        </w:rPr>
      </w:pPr>
      <w:r>
        <w:rPr>
          <w:rFonts w:ascii="Courier New" w:cs="Courier New" w:eastAsia="Courier New" w:hAnsi="Courier New"/>
          <w:sz w:val="16"/>
          <w:szCs w:val="16"/>
          <w:color w:val="auto"/>
        </w:rPr>
        <w:t>Pursuant to the requirements of the Securities Exchange Act of 1934, this</w:t>
      </w:r>
    </w:p>
    <w:p>
      <w:pPr>
        <w:spacing w:after="0" w:line="4" w:lineRule="exact"/>
        <w:rPr>
          <w:sz w:val="20"/>
          <w:szCs w:val="20"/>
          <w:color w:val="auto"/>
        </w:rPr>
      </w:pPr>
    </w:p>
    <w:p>
      <w:pPr>
        <w:jc w:val="center"/>
        <w:ind w:right="3055"/>
        <w:spacing w:after="0"/>
        <w:rPr>
          <w:sz w:val="20"/>
          <w:szCs w:val="20"/>
          <w:color w:val="auto"/>
        </w:rPr>
      </w:pPr>
      <w:r>
        <w:rPr>
          <w:rFonts w:ascii="Courier New" w:cs="Courier New" w:eastAsia="Courier New" w:hAnsi="Courier New"/>
          <w:sz w:val="14"/>
          <w:szCs w:val="14"/>
          <w:color w:val="auto"/>
        </w:rPr>
        <w:t>Annual Report has been signed below by the following persons on behalf of the</w:t>
      </w:r>
    </w:p>
    <w:p>
      <w:pPr>
        <w:spacing w:after="0" w:line="14"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Registrant and in the capacities and on the dates indicated.</w:t>
      </w:r>
    </w:p>
    <w:p>
      <w:pPr>
        <w:sectPr>
          <w:pgSz w:w="11900" w:h="16838" w:orient="portrait"/>
          <w:cols w:equalWidth="0" w:num="1">
            <w:col w:w="10224"/>
          </w:cols>
          <w:pgMar w:left="235" w:top="64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65"/>
        <w:spacing w:after="0"/>
        <w:rPr>
          <w:sz w:val="20"/>
          <w:szCs w:val="20"/>
          <w:color w:val="auto"/>
        </w:rPr>
      </w:pPr>
      <w:r>
        <w:rPr>
          <w:rFonts w:ascii="Courier New" w:cs="Courier New" w:eastAsia="Courier New" w:hAnsi="Courier New"/>
          <w:sz w:val="14"/>
          <w:szCs w:val="14"/>
          <w:color w:val="auto"/>
        </w:rPr>
        <w:t>Signature</w:t>
      </w:r>
    </w:p>
    <w:p>
      <w:pPr>
        <w:spacing w:after="0" w:line="20" w:lineRule="exact"/>
        <w:rPr>
          <w:sz w:val="20"/>
          <w:szCs w:val="20"/>
          <w:color w:val="auto"/>
        </w:rPr>
      </w:pPr>
    </w:p>
    <w:p>
      <w:pPr>
        <w:ind w:left="565"/>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sectPr>
          <w:pgSz w:w="11900" w:h="16838" w:orient="portrait"/>
          <w:cols w:equalWidth="0" w:num="3">
            <w:col w:w="3005" w:space="720"/>
            <w:col w:w="1500" w:space="720"/>
            <w:col w:w="4279"/>
          </w:cols>
          <w:pgMar w:left="235" w:top="648" w:right="1440" w:bottom="1440" w:gutter="0" w:footer="0" w:header="0"/>
          <w:type w:val="continuous"/>
        </w:sectPr>
      </w:pPr>
    </w:p>
    <w:p>
      <w:pPr>
        <w:spacing w:after="0" w:line="6" w:lineRule="exact"/>
        <w:rPr>
          <w:sz w:val="20"/>
          <w:szCs w:val="20"/>
          <w:color w:val="auto"/>
        </w:rPr>
      </w:pPr>
    </w:p>
    <w:p>
      <w:pPr>
        <w:ind w:left="5" w:right="120"/>
        <w:spacing w:after="0" w:line="235" w:lineRule="auto"/>
        <w:rPr>
          <w:sz w:val="20"/>
          <w:szCs w:val="20"/>
          <w:color w:val="auto"/>
        </w:rPr>
      </w:pPr>
      <w:r>
        <w:rPr>
          <w:rFonts w:ascii="Courier New" w:cs="Courier New" w:eastAsia="Courier New" w:hAnsi="Courier New"/>
          <w:sz w:val="16"/>
          <w:szCs w:val="16"/>
          <w:color w:val="auto"/>
        </w:rPr>
        <w:t>/S/ STEVEN R. APPLETON - ---------------------- (Steven R. Appleton)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Chairman of the Board,</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4"/>
          <w:szCs w:val="14"/>
          <w:color w:val="auto"/>
        </w:rPr>
        <w:t>Chief Executive Officer</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President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November 9, 1999</w:t>
      </w:r>
    </w:p>
    <w:p>
      <w:pPr>
        <w:spacing w:after="0" w:line="574" w:lineRule="exact"/>
        <w:rPr>
          <w:sz w:val="20"/>
          <w:szCs w:val="20"/>
          <w:color w:val="auto"/>
        </w:rPr>
      </w:pPr>
    </w:p>
    <w:p>
      <w:pPr>
        <w:sectPr>
          <w:pgSz w:w="11900" w:h="16838" w:orient="portrait"/>
          <w:cols w:equalWidth="0" w:num="3">
            <w:col w:w="2345" w:space="720"/>
            <w:col w:w="2340" w:space="260"/>
            <w:col w:w="4559"/>
          </w:cols>
          <w:pgMar w:left="235" w:top="648" w:right="1440" w:bottom="1440" w:gutter="0" w:footer="0" w:header="0"/>
          <w:type w:val="continuous"/>
        </w:sectPr>
      </w:pPr>
    </w:p>
    <w:p>
      <w:pPr>
        <w:spacing w:after="0" w:line="162"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/S/ JAMES W. BAGLEY</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November 9, 1999</w:t>
      </w:r>
    </w:p>
    <w:p>
      <w:pPr>
        <w:spacing w:after="0" w:line="20" w:lineRule="exact"/>
        <w:rPr>
          <w:sz w:val="20"/>
          <w:szCs w:val="20"/>
          <w:color w:val="auto"/>
        </w:rPr>
      </w:pPr>
    </w:p>
    <w:p>
      <w:pPr>
        <w:sectPr>
          <w:pgSz w:w="11900" w:h="16838" w:orient="portrait"/>
          <w:cols w:equalWidth="0" w:num="3">
            <w:col w:w="2345" w:space="720"/>
            <w:col w:w="1880" w:space="720"/>
            <w:col w:w="4559"/>
          </w:cols>
          <w:pgMar w:left="235" w:top="648" w:right="1440" w:bottom="1440" w:gutter="0" w:footer="0" w:header="0"/>
          <w:type w:val="continuous"/>
        </w:sectPr>
      </w:pPr>
    </w:p>
    <w:p>
      <w:pPr>
        <w:ind w:left="5"/>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0"/>
          <w:szCs w:val="20"/>
          <w:color w:val="auto"/>
        </w:rPr>
      </w:pPr>
    </w:p>
    <w:p>
      <w:pPr>
        <w:ind w:left="185"/>
        <w:spacing w:after="0"/>
        <w:rPr>
          <w:sz w:val="20"/>
          <w:szCs w:val="20"/>
          <w:color w:val="auto"/>
        </w:rPr>
      </w:pPr>
      <w:r>
        <w:rPr>
          <w:rFonts w:ascii="Courier New" w:cs="Courier New" w:eastAsia="Courier New" w:hAnsi="Courier New"/>
          <w:sz w:val="16"/>
          <w:szCs w:val="16"/>
          <w:color w:val="auto"/>
        </w:rPr>
        <w:t>(James W. Bagley)</w:t>
      </w:r>
    </w:p>
    <w:p>
      <w:pPr>
        <w:sectPr>
          <w:pgSz w:w="11900" w:h="16838" w:orient="portrait"/>
          <w:cols w:equalWidth="0" w:num="1">
            <w:col w:w="10224"/>
          </w:cols>
          <w:pgMar w:left="235" w:top="648" w:right="1440" w:bottom="1440" w:gutter="0" w:footer="0" w:header="0"/>
          <w:type w:val="continuous"/>
        </w:sectPr>
      </w:pPr>
    </w:p>
    <w:p>
      <w:pPr>
        <w:spacing w:after="0" w:line="355" w:lineRule="exact"/>
        <w:rPr>
          <w:sz w:val="20"/>
          <w:szCs w:val="20"/>
          <w:color w:val="auto"/>
        </w:rPr>
      </w:pPr>
    </w:p>
    <w:p>
      <w:pPr>
        <w:ind w:left="5"/>
        <w:spacing w:after="0"/>
        <w:tabs>
          <w:tab w:leader="none" w:pos="3044" w:val="left"/>
          <w:tab w:leader="none" w:pos="5644" w:val="left"/>
        </w:tabs>
        <w:rPr>
          <w:sz w:val="20"/>
          <w:szCs w:val="20"/>
          <w:color w:val="auto"/>
        </w:rPr>
      </w:pPr>
      <w:r>
        <w:rPr>
          <w:rFonts w:ascii="Courier New" w:cs="Courier New" w:eastAsia="Courier New" w:hAnsi="Courier New"/>
          <w:sz w:val="16"/>
          <w:szCs w:val="16"/>
          <w:color w:val="auto"/>
        </w:rPr>
        <w:t>/S/ ROBERT A. LOTHROP</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4"/>
          <w:szCs w:val="14"/>
          <w:color w:val="auto"/>
        </w:rPr>
        <w:t>November 9, 1999</w:t>
      </w:r>
    </w:p>
    <w:p>
      <w:pPr>
        <w:ind w:left="185" w:hanging="185"/>
        <w:spacing w:after="0" w:line="236" w:lineRule="auto"/>
        <w:tabs>
          <w:tab w:leader="none" w:pos="185"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8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(Robert A. Lothrop)</w:t>
      </w:r>
    </w:p>
    <w:p>
      <w:pPr>
        <w:spacing w:after="0" w:line="356" w:lineRule="exact"/>
        <w:rPr>
          <w:sz w:val="20"/>
          <w:szCs w:val="20"/>
          <w:color w:val="auto"/>
        </w:rPr>
      </w:pPr>
    </w:p>
    <w:p>
      <w:pPr>
        <w:ind w:left="5"/>
        <w:spacing w:after="0"/>
        <w:tabs>
          <w:tab w:leader="none" w:pos="3044" w:val="left"/>
          <w:tab w:leader="none" w:pos="5644" w:val="left"/>
        </w:tabs>
        <w:rPr>
          <w:sz w:val="20"/>
          <w:szCs w:val="20"/>
          <w:color w:val="auto"/>
        </w:rPr>
      </w:pPr>
      <w:r>
        <w:rPr>
          <w:rFonts w:ascii="Courier New" w:cs="Courier New" w:eastAsia="Courier New" w:hAnsi="Courier New"/>
          <w:sz w:val="16"/>
          <w:szCs w:val="16"/>
          <w:color w:val="auto"/>
        </w:rPr>
        <w:t>/S/ THOMAS T. NICHOLSON</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4"/>
          <w:szCs w:val="14"/>
          <w:color w:val="auto"/>
        </w:rPr>
        <w:t>November 9, 1999</w:t>
      </w:r>
    </w:p>
    <w:p>
      <w:pPr>
        <w:ind w:left="185" w:hanging="185"/>
        <w:spacing w:after="0" w:line="236" w:lineRule="auto"/>
        <w:tabs>
          <w:tab w:leader="none" w:pos="185"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8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(Thomas T. Nicholson)</w:t>
      </w:r>
    </w:p>
    <w:p>
      <w:pPr>
        <w:spacing w:after="0" w:line="356" w:lineRule="exact"/>
        <w:rPr>
          <w:sz w:val="20"/>
          <w:szCs w:val="20"/>
          <w:color w:val="auto"/>
        </w:rPr>
      </w:pPr>
    </w:p>
    <w:p>
      <w:pPr>
        <w:ind w:left="5"/>
        <w:spacing w:after="0"/>
        <w:tabs>
          <w:tab w:leader="none" w:pos="3044" w:val="left"/>
          <w:tab w:leader="none" w:pos="5644" w:val="left"/>
        </w:tabs>
        <w:rPr>
          <w:sz w:val="20"/>
          <w:szCs w:val="20"/>
          <w:color w:val="auto"/>
        </w:rPr>
      </w:pPr>
      <w:r>
        <w:rPr>
          <w:rFonts w:ascii="Courier New" w:cs="Courier New" w:eastAsia="Courier New" w:hAnsi="Courier New"/>
          <w:sz w:val="16"/>
          <w:szCs w:val="16"/>
          <w:color w:val="auto"/>
        </w:rPr>
        <w:t>/S/ DON J. SIMPLOT</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4"/>
          <w:szCs w:val="14"/>
          <w:color w:val="auto"/>
        </w:rPr>
        <w:t>November 9, 1999</w:t>
      </w:r>
    </w:p>
    <w:p>
      <w:pPr>
        <w:ind w:left="185" w:hanging="185"/>
        <w:spacing w:after="0" w:line="236" w:lineRule="auto"/>
        <w:tabs>
          <w:tab w:leader="none" w:pos="185"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8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(Don J. Simplot)</w:t>
      </w:r>
    </w:p>
    <w:p>
      <w:pPr>
        <w:spacing w:after="0" w:line="356" w:lineRule="exact"/>
        <w:rPr>
          <w:sz w:val="20"/>
          <w:szCs w:val="20"/>
          <w:color w:val="auto"/>
        </w:rPr>
      </w:pPr>
    </w:p>
    <w:p>
      <w:pPr>
        <w:ind w:left="5"/>
        <w:spacing w:after="0"/>
        <w:tabs>
          <w:tab w:leader="none" w:pos="3044" w:val="left"/>
          <w:tab w:leader="none" w:pos="5644" w:val="left"/>
        </w:tabs>
        <w:rPr>
          <w:sz w:val="20"/>
          <w:szCs w:val="20"/>
          <w:color w:val="auto"/>
        </w:rPr>
      </w:pPr>
      <w:r>
        <w:rPr>
          <w:rFonts w:ascii="Courier New" w:cs="Courier New" w:eastAsia="Courier New" w:hAnsi="Courier New"/>
          <w:sz w:val="16"/>
          <w:szCs w:val="16"/>
          <w:color w:val="auto"/>
        </w:rPr>
        <w:t>/S/ GORDON C. SMITH</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4"/>
          <w:szCs w:val="14"/>
          <w:color w:val="auto"/>
        </w:rPr>
        <w:t>November 9, 1999</w:t>
      </w:r>
    </w:p>
    <w:p>
      <w:pPr>
        <w:ind w:left="185" w:hanging="185"/>
        <w:spacing w:after="0" w:line="236" w:lineRule="auto"/>
        <w:tabs>
          <w:tab w:leader="none" w:pos="185"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8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(Gordon C. Smith)</w:t>
      </w:r>
    </w:p>
    <w:p>
      <w:pPr>
        <w:spacing w:after="0" w:line="356" w:lineRule="exact"/>
        <w:rPr>
          <w:sz w:val="20"/>
          <w:szCs w:val="20"/>
          <w:color w:val="auto"/>
        </w:rPr>
      </w:pPr>
    </w:p>
    <w:p>
      <w:pPr>
        <w:ind w:left="5"/>
        <w:spacing w:after="0"/>
        <w:tabs>
          <w:tab w:leader="none" w:pos="3044" w:val="left"/>
          <w:tab w:leader="none" w:pos="5644" w:val="left"/>
        </w:tabs>
        <w:rPr>
          <w:sz w:val="20"/>
          <w:szCs w:val="20"/>
          <w:color w:val="auto"/>
        </w:rPr>
      </w:pPr>
      <w:r>
        <w:rPr>
          <w:rFonts w:ascii="Courier New" w:cs="Courier New" w:eastAsia="Courier New" w:hAnsi="Courier New"/>
          <w:sz w:val="16"/>
          <w:szCs w:val="16"/>
          <w:color w:val="auto"/>
        </w:rPr>
        <w:t>/S/ WILLIAM P. WEBER</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4"/>
          <w:szCs w:val="14"/>
          <w:color w:val="auto"/>
        </w:rPr>
        <w:t>November 9, 1999</w:t>
      </w:r>
    </w:p>
    <w:p>
      <w:pPr>
        <w:ind w:left="185" w:hanging="185"/>
        <w:spacing w:after="0" w:line="236" w:lineRule="auto"/>
        <w:tabs>
          <w:tab w:leader="none" w:pos="185"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8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(William P. Weber)</w:t>
      </w:r>
    </w:p>
    <w:p>
      <w:pPr>
        <w:spacing w:after="0" w:line="200" w:lineRule="exact"/>
        <w:rPr>
          <w:sz w:val="20"/>
          <w:szCs w:val="20"/>
          <w:color w:val="auto"/>
        </w:rPr>
      </w:pPr>
    </w:p>
    <w:p>
      <w:pPr>
        <w:spacing w:after="0" w:line="335" w:lineRule="exact"/>
        <w:rPr>
          <w:sz w:val="20"/>
          <w:szCs w:val="20"/>
          <w:color w:val="auto"/>
        </w:rPr>
      </w:pPr>
    </w:p>
    <w:p>
      <w:pPr>
        <w:ind w:left="3445"/>
        <w:spacing w:after="0"/>
        <w:rPr>
          <w:sz w:val="20"/>
          <w:szCs w:val="20"/>
          <w:color w:val="auto"/>
        </w:rPr>
      </w:pPr>
      <w:r>
        <w:rPr>
          <w:rFonts w:ascii="Courier New" w:cs="Courier New" w:eastAsia="Courier New" w:hAnsi="Courier New"/>
          <w:sz w:val="16"/>
          <w:szCs w:val="16"/>
          <w:color w:val="auto"/>
        </w:rPr>
        <w:t>56/57</w:t>
      </w:r>
    </w:p>
    <w:p>
      <w:pPr>
        <w:sectPr>
          <w:pgSz w:w="11900" w:h="16838" w:orient="portrait"/>
          <w:cols w:equalWidth="0" w:num="1">
            <w:col w:w="10224"/>
          </w:cols>
          <w:pgMar w:left="235" w:top="648" w:right="1440" w:bottom="1440" w:gutter="0" w:footer="0" w:header="0"/>
          <w:type w:val="continuous"/>
        </w:sectPr>
      </w:pPr>
    </w:p>
    <w:bookmarkStart w:id="60" w:name="page61"/>
    <w:bookmarkEnd w:id="60"/>
    <w:p>
      <w:pPr>
        <w:jc w:val="center"/>
        <w:ind w:right="3820"/>
        <w:spacing w:after="0"/>
        <w:rPr>
          <w:sz w:val="20"/>
          <w:szCs w:val="20"/>
          <w:color w:val="auto"/>
        </w:rPr>
      </w:pPr>
      <w:r>
        <w:rPr>
          <w:rFonts w:ascii="Courier New" w:cs="Courier New" w:eastAsia="Courier New" w:hAnsi="Courier New"/>
          <w:sz w:val="16"/>
          <w:szCs w:val="16"/>
          <w:color w:val="auto"/>
        </w:rPr>
        <w:t>Schedule II</w:t>
      </w:r>
    </w:p>
    <w:p>
      <w:pPr>
        <w:spacing w:after="0" w:line="177"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MICRON TECHNOLOGY, INC.</w:t>
      </w:r>
    </w:p>
    <w:p>
      <w:pPr>
        <w:ind w:left="2040"/>
        <w:spacing w:after="0" w:line="236" w:lineRule="auto"/>
        <w:rPr>
          <w:sz w:val="20"/>
          <w:szCs w:val="20"/>
          <w:color w:val="auto"/>
        </w:rPr>
      </w:pPr>
      <w:r>
        <w:rPr>
          <w:rFonts w:ascii="Courier New" w:cs="Courier New" w:eastAsia="Courier New" w:hAnsi="Courier New"/>
          <w:sz w:val="16"/>
          <w:szCs w:val="16"/>
          <w:color w:val="auto"/>
        </w:rPr>
        <w:t>Valuation and Qualification Accounts</w:t>
      </w:r>
    </w:p>
    <w:p>
      <w:pPr>
        <w:ind w:left="2700"/>
        <w:spacing w:after="0" w:line="237" w:lineRule="auto"/>
        <w:rPr>
          <w:sz w:val="20"/>
          <w:szCs w:val="20"/>
          <w:color w:val="auto"/>
        </w:rPr>
      </w:pPr>
      <w:r>
        <w:rPr>
          <w:rFonts w:ascii="Courier New" w:cs="Courier New" w:eastAsia="Courier New" w:hAnsi="Courier New"/>
          <w:sz w:val="16"/>
          <w:szCs w:val="16"/>
          <w:color w:val="auto"/>
        </w:rPr>
        <w:t>(dollars in millions)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940" w:type="dxa"/>
            <w:vAlign w:val="bottom"/>
          </w:tcPr>
          <w:p>
            <w:pPr>
              <w:spacing w:after="0"/>
              <w:rPr>
                <w:sz w:val="15"/>
                <w:szCs w:val="15"/>
                <w:color w:val="auto"/>
              </w:rPr>
            </w:pPr>
          </w:p>
        </w:tc>
        <w:tc>
          <w:tcPr>
            <w:tcW w:w="1460" w:type="dxa"/>
            <w:vAlign w:val="bottom"/>
          </w:tcPr>
          <w:p>
            <w:pPr>
              <w:jc w:val="center"/>
              <w:ind w:right="162"/>
              <w:spacing w:after="0"/>
              <w:rPr>
                <w:sz w:val="20"/>
                <w:szCs w:val="20"/>
                <w:color w:val="auto"/>
              </w:rPr>
            </w:pPr>
            <w:r>
              <w:rPr>
                <w:rFonts w:ascii="Courier New" w:cs="Courier New" w:eastAsia="Courier New" w:hAnsi="Courier New"/>
                <w:sz w:val="16"/>
                <w:szCs w:val="16"/>
                <w:color w:val="auto"/>
                <w:w w:val="97"/>
              </w:rPr>
              <w:t>Balance at</w:t>
            </w:r>
          </w:p>
        </w:tc>
        <w:tc>
          <w:tcPr>
            <w:tcW w:w="2320" w:type="dxa"/>
            <w:vAlign w:val="bottom"/>
          </w:tcPr>
          <w:p>
            <w:pPr>
              <w:jc w:val="right"/>
              <w:ind w:right="862"/>
              <w:spacing w:after="0"/>
              <w:rPr>
                <w:sz w:val="20"/>
                <w:szCs w:val="20"/>
                <w:color w:val="auto"/>
              </w:rPr>
            </w:pPr>
            <w:r>
              <w:rPr>
                <w:rFonts w:ascii="Courier New" w:cs="Courier New" w:eastAsia="Courier New" w:hAnsi="Courier New"/>
                <w:sz w:val="16"/>
                <w:szCs w:val="16"/>
                <w:color w:val="auto"/>
              </w:rPr>
              <w:t>Charged</w:t>
            </w:r>
          </w:p>
        </w:tc>
        <w:tc>
          <w:tcPr>
            <w:tcW w:w="4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760" w:type="dxa"/>
            <w:vAlign w:val="bottom"/>
          </w:tcPr>
          <w:p>
            <w:pPr>
              <w:spacing w:after="0"/>
              <w:rPr>
                <w:sz w:val="15"/>
                <w:szCs w:val="15"/>
                <w:color w:val="auto"/>
              </w:rPr>
            </w:pPr>
          </w:p>
        </w:tc>
      </w:tr>
      <w:tr>
        <w:trPr>
          <w:trHeight w:val="179"/>
        </w:trPr>
        <w:tc>
          <w:tcPr>
            <w:tcW w:w="3940" w:type="dxa"/>
            <w:vAlign w:val="bottom"/>
          </w:tcPr>
          <w:p>
            <w:pPr>
              <w:spacing w:after="0"/>
              <w:rPr>
                <w:sz w:val="15"/>
                <w:szCs w:val="15"/>
                <w:color w:val="auto"/>
              </w:rPr>
            </w:pPr>
          </w:p>
        </w:tc>
        <w:tc>
          <w:tcPr>
            <w:tcW w:w="1460" w:type="dxa"/>
            <w:vAlign w:val="bottom"/>
          </w:tcPr>
          <w:p>
            <w:pPr>
              <w:jc w:val="center"/>
              <w:ind w:right="142"/>
              <w:spacing w:after="0" w:line="179" w:lineRule="exact"/>
              <w:rPr>
                <w:sz w:val="20"/>
                <w:szCs w:val="20"/>
                <w:color w:val="auto"/>
              </w:rPr>
            </w:pPr>
            <w:r>
              <w:rPr>
                <w:rFonts w:ascii="Courier New" w:cs="Courier New" w:eastAsia="Courier New" w:hAnsi="Courier New"/>
                <w:sz w:val="16"/>
                <w:szCs w:val="16"/>
                <w:color w:val="auto"/>
                <w:w w:val="97"/>
              </w:rPr>
              <w:t>Beginning of</w:t>
            </w:r>
          </w:p>
        </w:tc>
        <w:tc>
          <w:tcPr>
            <w:tcW w:w="232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(Credited) to</w:t>
            </w:r>
          </w:p>
        </w:tc>
        <w:tc>
          <w:tcPr>
            <w:tcW w:w="1680" w:type="dxa"/>
            <w:vAlign w:val="bottom"/>
            <w:gridSpan w:val="2"/>
          </w:tcPr>
          <w:p>
            <w:pPr>
              <w:ind w:left="360"/>
              <w:spacing w:after="0" w:line="179" w:lineRule="exact"/>
              <w:rPr>
                <w:sz w:val="20"/>
                <w:szCs w:val="20"/>
                <w:color w:val="auto"/>
              </w:rPr>
            </w:pPr>
            <w:r>
              <w:rPr>
                <w:rFonts w:ascii="Courier New" w:cs="Courier New" w:eastAsia="Courier New" w:hAnsi="Courier New"/>
                <w:sz w:val="16"/>
                <w:szCs w:val="16"/>
                <w:color w:val="auto"/>
              </w:rPr>
              <w:t>Deduction/</w:t>
            </w:r>
          </w:p>
        </w:tc>
        <w:tc>
          <w:tcPr>
            <w:tcW w:w="17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Balance at End</w:t>
            </w:r>
          </w:p>
        </w:tc>
      </w:tr>
      <w:tr>
        <w:trPr>
          <w:trHeight w:val="179"/>
        </w:trPr>
        <w:tc>
          <w:tcPr>
            <w:tcW w:w="3940" w:type="dxa"/>
            <w:vAlign w:val="bottom"/>
          </w:tcPr>
          <w:p>
            <w:pPr>
              <w:spacing w:after="0"/>
              <w:rPr>
                <w:sz w:val="15"/>
                <w:szCs w:val="15"/>
                <w:color w:val="auto"/>
              </w:rPr>
            </w:pPr>
          </w:p>
        </w:tc>
        <w:tc>
          <w:tcPr>
            <w:tcW w:w="1460" w:type="dxa"/>
            <w:vAlign w:val="bottom"/>
          </w:tcPr>
          <w:p>
            <w:pPr>
              <w:jc w:val="center"/>
              <w:ind w:right="142"/>
              <w:spacing w:after="0" w:line="179" w:lineRule="exact"/>
              <w:rPr>
                <w:sz w:val="20"/>
                <w:szCs w:val="20"/>
                <w:color w:val="auto"/>
              </w:rPr>
            </w:pPr>
            <w:r>
              <w:rPr>
                <w:rFonts w:ascii="Courier New" w:cs="Courier New" w:eastAsia="Courier New" w:hAnsi="Courier New"/>
                <w:sz w:val="16"/>
                <w:szCs w:val="16"/>
                <w:color w:val="auto"/>
                <w:w w:val="97"/>
              </w:rPr>
              <w:t>Period</w:t>
            </w:r>
          </w:p>
        </w:tc>
        <w:tc>
          <w:tcPr>
            <w:tcW w:w="23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Costs and Expenses</w:t>
            </w:r>
          </w:p>
        </w:tc>
        <w:tc>
          <w:tcPr>
            <w:tcW w:w="1680" w:type="dxa"/>
            <w:vAlign w:val="bottom"/>
            <w:gridSpan w:val="2"/>
          </w:tcPr>
          <w:p>
            <w:pPr>
              <w:ind w:left="360"/>
              <w:spacing w:after="0" w:line="179" w:lineRule="exact"/>
              <w:rPr>
                <w:sz w:val="20"/>
                <w:szCs w:val="20"/>
                <w:color w:val="auto"/>
              </w:rPr>
            </w:pPr>
            <w:r>
              <w:rPr>
                <w:rFonts w:ascii="Courier New" w:cs="Courier New" w:eastAsia="Courier New" w:hAnsi="Courier New"/>
                <w:sz w:val="16"/>
                <w:szCs w:val="16"/>
                <w:color w:val="auto"/>
              </w:rPr>
              <w:t>Write-Off</w:t>
            </w:r>
          </w:p>
        </w:tc>
        <w:tc>
          <w:tcPr>
            <w:tcW w:w="17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of Period</w:t>
            </w:r>
          </w:p>
        </w:tc>
      </w:tr>
      <w:tr>
        <w:trPr>
          <w:trHeight w:val="179"/>
        </w:trPr>
        <w:tc>
          <w:tcPr>
            <w:tcW w:w="11160" w:type="dxa"/>
            <w:vAlign w:val="bottom"/>
            <w:gridSpan w:val="6"/>
          </w:tcPr>
          <w:p>
            <w:pPr>
              <w:ind w:left="3540"/>
              <w:spacing w:after="0" w:line="179" w:lineRule="exact"/>
              <w:rPr>
                <w:sz w:val="20"/>
                <w:szCs w:val="20"/>
                <w:color w:val="auto"/>
              </w:rPr>
            </w:pPr>
            <w:r>
              <w:rPr>
                <w:rFonts w:ascii="Courier New" w:cs="Courier New" w:eastAsia="Courier New" w:hAnsi="Courier New"/>
                <w:sz w:val="16"/>
                <w:szCs w:val="16"/>
                <w:color w:val="auto"/>
                <w:w w:val="96"/>
              </w:rPr>
              <w:t>----------------------------------------------------------------------------------</w:t>
            </w:r>
          </w:p>
        </w:tc>
      </w:tr>
      <w:tr>
        <w:trPr>
          <w:trHeight w:val="358"/>
        </w:trPr>
        <w:tc>
          <w:tcPr>
            <w:tcW w:w="3940" w:type="dxa"/>
            <w:vAlign w:val="bottom"/>
          </w:tcPr>
          <w:p>
            <w:pPr>
              <w:spacing w:after="0"/>
              <w:rPr>
                <w:sz w:val="20"/>
                <w:szCs w:val="20"/>
                <w:color w:val="auto"/>
              </w:rPr>
            </w:pPr>
            <w:r>
              <w:rPr>
                <w:rFonts w:ascii="Courier New" w:cs="Courier New" w:eastAsia="Courier New" w:hAnsi="Courier New"/>
                <w:sz w:val="16"/>
                <w:szCs w:val="16"/>
                <w:color w:val="auto"/>
              </w:rPr>
              <w:t>Allowance for Doubtful Accounts</w:t>
            </w:r>
          </w:p>
        </w:tc>
        <w:tc>
          <w:tcPr>
            <w:tcW w:w="14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79"/>
        </w:trPr>
        <w:tc>
          <w:tcPr>
            <w:tcW w:w="394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146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760" w:type="dxa"/>
            <w:vAlign w:val="bottom"/>
          </w:tcPr>
          <w:p>
            <w:pPr>
              <w:spacing w:after="0"/>
              <w:rPr>
                <w:sz w:val="15"/>
                <w:szCs w:val="15"/>
                <w:color w:val="auto"/>
              </w:rPr>
            </w:pPr>
          </w:p>
        </w:tc>
      </w:tr>
      <w:tr>
        <w:trPr>
          <w:trHeight w:val="179"/>
        </w:trPr>
        <w:tc>
          <w:tcPr>
            <w:tcW w:w="39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Year ended September 2, 1999</w:t>
            </w:r>
          </w:p>
        </w:tc>
        <w:tc>
          <w:tcPr>
            <w:tcW w:w="146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$ 6.5</w:t>
            </w:r>
          </w:p>
        </w:tc>
        <w:tc>
          <w:tcPr>
            <w:tcW w:w="2320" w:type="dxa"/>
            <w:vAlign w:val="bottom"/>
          </w:tcPr>
          <w:p>
            <w:pPr>
              <w:jc w:val="right"/>
              <w:ind w:right="1042"/>
              <w:spacing w:after="0" w:line="179" w:lineRule="exact"/>
              <w:rPr>
                <w:sz w:val="20"/>
                <w:szCs w:val="20"/>
                <w:color w:val="auto"/>
              </w:rPr>
            </w:pPr>
            <w:r>
              <w:rPr>
                <w:rFonts w:ascii="Courier New" w:cs="Courier New" w:eastAsia="Courier New" w:hAnsi="Courier New"/>
                <w:sz w:val="16"/>
                <w:szCs w:val="16"/>
                <w:color w:val="auto"/>
              </w:rPr>
              <w:t>$ 6.2</w:t>
            </w:r>
          </w:p>
        </w:tc>
        <w:tc>
          <w:tcPr>
            <w:tcW w:w="46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w w:val="82"/>
              </w:rPr>
              <w:t>$</w:t>
            </w:r>
          </w:p>
        </w:tc>
        <w:tc>
          <w:tcPr>
            <w:tcW w:w="122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(2.9)</w:t>
            </w:r>
          </w:p>
        </w:tc>
        <w:tc>
          <w:tcPr>
            <w:tcW w:w="176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$ 9.8</w:t>
            </w:r>
          </w:p>
        </w:tc>
      </w:tr>
      <w:tr>
        <w:trPr>
          <w:trHeight w:val="179"/>
        </w:trPr>
        <w:tc>
          <w:tcPr>
            <w:tcW w:w="39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Year ended September 3, 1998</w:t>
            </w:r>
          </w:p>
        </w:tc>
        <w:tc>
          <w:tcPr>
            <w:tcW w:w="146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9.0</w:t>
            </w:r>
          </w:p>
        </w:tc>
        <w:tc>
          <w:tcPr>
            <w:tcW w:w="2320" w:type="dxa"/>
            <w:vAlign w:val="bottom"/>
          </w:tcPr>
          <w:p>
            <w:pPr>
              <w:jc w:val="right"/>
              <w:ind w:right="942"/>
              <w:spacing w:after="0" w:line="179" w:lineRule="exact"/>
              <w:rPr>
                <w:sz w:val="20"/>
                <w:szCs w:val="20"/>
                <w:color w:val="auto"/>
              </w:rPr>
            </w:pPr>
            <w:r>
              <w:rPr>
                <w:rFonts w:ascii="Courier New" w:cs="Courier New" w:eastAsia="Courier New" w:hAnsi="Courier New"/>
                <w:sz w:val="16"/>
                <w:szCs w:val="16"/>
                <w:color w:val="auto"/>
              </w:rPr>
              <w:t>(2.2)</w:t>
            </w:r>
          </w:p>
        </w:tc>
        <w:tc>
          <w:tcPr>
            <w:tcW w:w="460" w:type="dxa"/>
            <w:vAlign w:val="bottom"/>
          </w:tcPr>
          <w:p>
            <w:pPr>
              <w:spacing w:after="0"/>
              <w:rPr>
                <w:sz w:val="15"/>
                <w:szCs w:val="15"/>
                <w:color w:val="auto"/>
              </w:rPr>
            </w:pPr>
          </w:p>
        </w:tc>
        <w:tc>
          <w:tcPr>
            <w:tcW w:w="122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(0.3)</w:t>
            </w:r>
          </w:p>
        </w:tc>
        <w:tc>
          <w:tcPr>
            <w:tcW w:w="176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6.5</w:t>
            </w:r>
          </w:p>
        </w:tc>
      </w:tr>
      <w:tr>
        <w:trPr>
          <w:trHeight w:val="179"/>
        </w:trPr>
        <w:tc>
          <w:tcPr>
            <w:tcW w:w="39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Year ended August 28, 1997</w:t>
            </w:r>
          </w:p>
        </w:tc>
        <w:tc>
          <w:tcPr>
            <w:tcW w:w="146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9.0</w:t>
            </w:r>
          </w:p>
        </w:tc>
        <w:tc>
          <w:tcPr>
            <w:tcW w:w="2320" w:type="dxa"/>
            <w:vAlign w:val="bottom"/>
          </w:tcPr>
          <w:p>
            <w:pPr>
              <w:jc w:val="right"/>
              <w:ind w:right="1042"/>
              <w:spacing w:after="0" w:line="179" w:lineRule="exact"/>
              <w:rPr>
                <w:sz w:val="20"/>
                <w:szCs w:val="20"/>
                <w:color w:val="auto"/>
              </w:rPr>
            </w:pPr>
            <w:r>
              <w:rPr>
                <w:rFonts w:ascii="Courier New" w:cs="Courier New" w:eastAsia="Courier New" w:hAnsi="Courier New"/>
                <w:sz w:val="16"/>
                <w:szCs w:val="16"/>
                <w:color w:val="auto"/>
              </w:rPr>
              <w:t>0.2</w:t>
            </w:r>
          </w:p>
        </w:tc>
        <w:tc>
          <w:tcPr>
            <w:tcW w:w="460" w:type="dxa"/>
            <w:vAlign w:val="bottom"/>
          </w:tcPr>
          <w:p>
            <w:pPr>
              <w:spacing w:after="0"/>
              <w:rPr>
                <w:sz w:val="15"/>
                <w:szCs w:val="15"/>
                <w:color w:val="auto"/>
              </w:rPr>
            </w:pPr>
          </w:p>
        </w:tc>
        <w:tc>
          <w:tcPr>
            <w:tcW w:w="122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(0.2)</w:t>
            </w:r>
          </w:p>
        </w:tc>
        <w:tc>
          <w:tcPr>
            <w:tcW w:w="176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9.0</w:t>
            </w:r>
          </w:p>
        </w:tc>
      </w:tr>
      <w:tr>
        <w:trPr>
          <w:trHeight w:val="358"/>
        </w:trPr>
        <w:tc>
          <w:tcPr>
            <w:tcW w:w="3940" w:type="dxa"/>
            <w:vAlign w:val="bottom"/>
          </w:tcPr>
          <w:p>
            <w:pPr>
              <w:spacing w:after="0"/>
              <w:rPr>
                <w:sz w:val="20"/>
                <w:szCs w:val="20"/>
                <w:color w:val="auto"/>
              </w:rPr>
            </w:pPr>
            <w:r>
              <w:rPr>
                <w:rFonts w:ascii="Courier New" w:cs="Courier New" w:eastAsia="Courier New" w:hAnsi="Courier New"/>
                <w:sz w:val="16"/>
                <w:szCs w:val="16"/>
                <w:color w:val="auto"/>
              </w:rPr>
              <w:t>Allowance for Obsolete Inventory</w:t>
            </w:r>
          </w:p>
        </w:tc>
        <w:tc>
          <w:tcPr>
            <w:tcW w:w="14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79"/>
        </w:trPr>
        <w:tc>
          <w:tcPr>
            <w:tcW w:w="394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146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760" w:type="dxa"/>
            <w:vAlign w:val="bottom"/>
          </w:tcPr>
          <w:p>
            <w:pPr>
              <w:spacing w:after="0"/>
              <w:rPr>
                <w:sz w:val="15"/>
                <w:szCs w:val="15"/>
                <w:color w:val="auto"/>
              </w:rPr>
            </w:pPr>
          </w:p>
        </w:tc>
      </w:tr>
      <w:tr>
        <w:trPr>
          <w:trHeight w:val="179"/>
        </w:trPr>
        <w:tc>
          <w:tcPr>
            <w:tcW w:w="39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Year ended September 2, 1999</w:t>
            </w:r>
          </w:p>
        </w:tc>
        <w:tc>
          <w:tcPr>
            <w:tcW w:w="146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$19.8</w:t>
            </w:r>
          </w:p>
        </w:tc>
        <w:tc>
          <w:tcPr>
            <w:tcW w:w="2320" w:type="dxa"/>
            <w:vAlign w:val="bottom"/>
          </w:tcPr>
          <w:p>
            <w:pPr>
              <w:jc w:val="right"/>
              <w:ind w:right="1042"/>
              <w:spacing w:after="0" w:line="179" w:lineRule="exact"/>
              <w:rPr>
                <w:sz w:val="20"/>
                <w:szCs w:val="20"/>
                <w:color w:val="auto"/>
              </w:rPr>
            </w:pPr>
            <w:r>
              <w:rPr>
                <w:rFonts w:ascii="Courier New" w:cs="Courier New" w:eastAsia="Courier New" w:hAnsi="Courier New"/>
                <w:sz w:val="16"/>
                <w:szCs w:val="16"/>
                <w:color w:val="auto"/>
              </w:rPr>
              <w:t>$ 0.9</w:t>
            </w:r>
          </w:p>
        </w:tc>
        <w:tc>
          <w:tcPr>
            <w:tcW w:w="46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w w:val="82"/>
              </w:rPr>
              <w:t>$</w:t>
            </w:r>
          </w:p>
        </w:tc>
        <w:tc>
          <w:tcPr>
            <w:tcW w:w="122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(5.0)</w:t>
            </w:r>
          </w:p>
        </w:tc>
        <w:tc>
          <w:tcPr>
            <w:tcW w:w="176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$15.7</w:t>
            </w:r>
          </w:p>
        </w:tc>
      </w:tr>
      <w:tr>
        <w:trPr>
          <w:trHeight w:val="179"/>
        </w:trPr>
        <w:tc>
          <w:tcPr>
            <w:tcW w:w="39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Year ended September 3, 1998</w:t>
            </w:r>
          </w:p>
        </w:tc>
        <w:tc>
          <w:tcPr>
            <w:tcW w:w="146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23.7</w:t>
            </w:r>
          </w:p>
        </w:tc>
        <w:tc>
          <w:tcPr>
            <w:tcW w:w="2320" w:type="dxa"/>
            <w:vAlign w:val="bottom"/>
          </w:tcPr>
          <w:p>
            <w:pPr>
              <w:jc w:val="right"/>
              <w:ind w:right="1042"/>
              <w:spacing w:after="0" w:line="179" w:lineRule="exact"/>
              <w:rPr>
                <w:sz w:val="20"/>
                <w:szCs w:val="20"/>
                <w:color w:val="auto"/>
              </w:rPr>
            </w:pPr>
            <w:r>
              <w:rPr>
                <w:rFonts w:ascii="Courier New" w:cs="Courier New" w:eastAsia="Courier New" w:hAnsi="Courier New"/>
                <w:sz w:val="16"/>
                <w:szCs w:val="16"/>
                <w:color w:val="auto"/>
              </w:rPr>
              <w:t>12.4</w:t>
            </w:r>
          </w:p>
        </w:tc>
        <w:tc>
          <w:tcPr>
            <w:tcW w:w="460" w:type="dxa"/>
            <w:vAlign w:val="bottom"/>
          </w:tcPr>
          <w:p>
            <w:pPr>
              <w:spacing w:after="0"/>
              <w:rPr>
                <w:sz w:val="15"/>
                <w:szCs w:val="15"/>
                <w:color w:val="auto"/>
              </w:rPr>
            </w:pPr>
          </w:p>
        </w:tc>
        <w:tc>
          <w:tcPr>
            <w:tcW w:w="122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w w:val="93"/>
              </w:rPr>
              <w:t>(16.3)</w:t>
            </w:r>
          </w:p>
        </w:tc>
        <w:tc>
          <w:tcPr>
            <w:tcW w:w="176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19.8</w:t>
            </w:r>
          </w:p>
        </w:tc>
      </w:tr>
      <w:tr>
        <w:trPr>
          <w:trHeight w:val="179"/>
        </w:trPr>
        <w:tc>
          <w:tcPr>
            <w:tcW w:w="39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Year ended August 28, 1997</w:t>
            </w:r>
          </w:p>
        </w:tc>
        <w:tc>
          <w:tcPr>
            <w:tcW w:w="146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14.5</w:t>
            </w:r>
          </w:p>
        </w:tc>
        <w:tc>
          <w:tcPr>
            <w:tcW w:w="2320" w:type="dxa"/>
            <w:vAlign w:val="bottom"/>
          </w:tcPr>
          <w:p>
            <w:pPr>
              <w:jc w:val="right"/>
              <w:ind w:right="1042"/>
              <w:spacing w:after="0" w:line="179" w:lineRule="exact"/>
              <w:rPr>
                <w:sz w:val="20"/>
                <w:szCs w:val="20"/>
                <w:color w:val="auto"/>
              </w:rPr>
            </w:pPr>
            <w:r>
              <w:rPr>
                <w:rFonts w:ascii="Courier New" w:cs="Courier New" w:eastAsia="Courier New" w:hAnsi="Courier New"/>
                <w:sz w:val="16"/>
                <w:szCs w:val="16"/>
                <w:color w:val="auto"/>
              </w:rPr>
              <w:t>15.9</w:t>
            </w:r>
          </w:p>
        </w:tc>
        <w:tc>
          <w:tcPr>
            <w:tcW w:w="460" w:type="dxa"/>
            <w:vAlign w:val="bottom"/>
          </w:tcPr>
          <w:p>
            <w:pPr>
              <w:spacing w:after="0"/>
              <w:rPr>
                <w:sz w:val="15"/>
                <w:szCs w:val="15"/>
                <w:color w:val="auto"/>
              </w:rPr>
            </w:pPr>
          </w:p>
        </w:tc>
        <w:tc>
          <w:tcPr>
            <w:tcW w:w="122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(6.7)</w:t>
            </w:r>
          </w:p>
        </w:tc>
        <w:tc>
          <w:tcPr>
            <w:tcW w:w="176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23.7</w:t>
            </w:r>
          </w:p>
        </w:tc>
      </w:tr>
      <w:tr>
        <w:trPr>
          <w:trHeight w:val="358"/>
        </w:trPr>
        <w:tc>
          <w:tcPr>
            <w:tcW w:w="3940" w:type="dxa"/>
            <w:vAlign w:val="bottom"/>
          </w:tcPr>
          <w:p>
            <w:pPr>
              <w:spacing w:after="0"/>
              <w:rPr>
                <w:sz w:val="20"/>
                <w:szCs w:val="20"/>
                <w:color w:val="auto"/>
              </w:rPr>
            </w:pPr>
            <w:r>
              <w:rPr>
                <w:rFonts w:ascii="Courier New" w:cs="Courier New" w:eastAsia="Courier New" w:hAnsi="Courier New"/>
                <w:sz w:val="16"/>
                <w:szCs w:val="16"/>
                <w:color w:val="auto"/>
              </w:rPr>
              <w:t>Deferred Tax Asset Valuation Allowance</w:t>
            </w:r>
          </w:p>
        </w:tc>
        <w:tc>
          <w:tcPr>
            <w:tcW w:w="14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79"/>
        </w:trPr>
        <w:tc>
          <w:tcPr>
            <w:tcW w:w="394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146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760" w:type="dxa"/>
            <w:vAlign w:val="bottom"/>
          </w:tcPr>
          <w:p>
            <w:pPr>
              <w:spacing w:after="0"/>
              <w:rPr>
                <w:sz w:val="15"/>
                <w:szCs w:val="15"/>
                <w:color w:val="auto"/>
              </w:rPr>
            </w:pPr>
          </w:p>
        </w:tc>
      </w:tr>
      <w:tr>
        <w:trPr>
          <w:trHeight w:val="179"/>
        </w:trPr>
        <w:tc>
          <w:tcPr>
            <w:tcW w:w="39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Year ended September 2, 1999</w:t>
            </w:r>
          </w:p>
        </w:tc>
        <w:tc>
          <w:tcPr>
            <w:tcW w:w="146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$ 4.1</w:t>
            </w:r>
          </w:p>
        </w:tc>
        <w:tc>
          <w:tcPr>
            <w:tcW w:w="2320" w:type="dxa"/>
            <w:vAlign w:val="bottom"/>
          </w:tcPr>
          <w:p>
            <w:pPr>
              <w:jc w:val="right"/>
              <w:ind w:right="1042"/>
              <w:spacing w:after="0" w:line="179" w:lineRule="exact"/>
              <w:rPr>
                <w:sz w:val="20"/>
                <w:szCs w:val="20"/>
                <w:color w:val="auto"/>
              </w:rPr>
            </w:pPr>
            <w:r>
              <w:rPr>
                <w:rFonts w:ascii="Courier New" w:cs="Courier New" w:eastAsia="Courier New" w:hAnsi="Courier New"/>
                <w:sz w:val="16"/>
                <w:szCs w:val="16"/>
                <w:color w:val="auto"/>
              </w:rPr>
              <w:t>$10.5</w:t>
            </w:r>
          </w:p>
        </w:tc>
        <w:tc>
          <w:tcPr>
            <w:tcW w:w="46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w w:val="82"/>
              </w:rPr>
              <w:t>$</w:t>
            </w:r>
          </w:p>
        </w:tc>
        <w:tc>
          <w:tcPr>
            <w:tcW w:w="1220" w:type="dxa"/>
            <w:vAlign w:val="bottom"/>
          </w:tcPr>
          <w:p>
            <w:pPr>
              <w:jc w:val="right"/>
              <w:ind w:right="682"/>
              <w:spacing w:after="0" w:line="179" w:lineRule="exact"/>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$14.6</w:t>
            </w:r>
          </w:p>
        </w:tc>
      </w:tr>
      <w:tr>
        <w:trPr>
          <w:trHeight w:val="179"/>
        </w:trPr>
        <w:tc>
          <w:tcPr>
            <w:tcW w:w="39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Year ended September 3, 1998</w:t>
            </w:r>
          </w:p>
        </w:tc>
        <w:tc>
          <w:tcPr>
            <w:tcW w:w="146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w:t>
            </w:r>
          </w:p>
        </w:tc>
        <w:tc>
          <w:tcPr>
            <w:tcW w:w="2320" w:type="dxa"/>
            <w:vAlign w:val="bottom"/>
          </w:tcPr>
          <w:p>
            <w:pPr>
              <w:jc w:val="right"/>
              <w:ind w:right="1042"/>
              <w:spacing w:after="0" w:line="179" w:lineRule="exact"/>
              <w:rPr>
                <w:sz w:val="20"/>
                <w:szCs w:val="20"/>
                <w:color w:val="auto"/>
              </w:rPr>
            </w:pPr>
            <w:r>
              <w:rPr>
                <w:rFonts w:ascii="Courier New" w:cs="Courier New" w:eastAsia="Courier New" w:hAnsi="Courier New"/>
                <w:sz w:val="16"/>
                <w:szCs w:val="16"/>
                <w:color w:val="auto"/>
              </w:rPr>
              <w:t>4.1</w:t>
            </w:r>
          </w:p>
        </w:tc>
        <w:tc>
          <w:tcPr>
            <w:tcW w:w="460" w:type="dxa"/>
            <w:vAlign w:val="bottom"/>
          </w:tcPr>
          <w:p>
            <w:pPr>
              <w:spacing w:after="0"/>
              <w:rPr>
                <w:sz w:val="15"/>
                <w:szCs w:val="15"/>
                <w:color w:val="auto"/>
              </w:rPr>
            </w:pPr>
          </w:p>
        </w:tc>
        <w:tc>
          <w:tcPr>
            <w:tcW w:w="1220" w:type="dxa"/>
            <w:vAlign w:val="bottom"/>
          </w:tcPr>
          <w:p>
            <w:pPr>
              <w:jc w:val="right"/>
              <w:ind w:right="682"/>
              <w:spacing w:after="0" w:line="179" w:lineRule="exact"/>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4.1</w:t>
            </w:r>
          </w:p>
        </w:tc>
      </w:tr>
      <w:tr>
        <w:trPr>
          <w:trHeight w:val="179"/>
        </w:trPr>
        <w:tc>
          <w:tcPr>
            <w:tcW w:w="39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Year ended August 28, 1997</w:t>
            </w:r>
          </w:p>
        </w:tc>
        <w:tc>
          <w:tcPr>
            <w:tcW w:w="146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w:t>
            </w:r>
          </w:p>
        </w:tc>
        <w:tc>
          <w:tcPr>
            <w:tcW w:w="2320" w:type="dxa"/>
            <w:vAlign w:val="bottom"/>
          </w:tcPr>
          <w:p>
            <w:pPr>
              <w:jc w:val="right"/>
              <w:ind w:right="1042"/>
              <w:spacing w:after="0" w:line="179" w:lineRule="exact"/>
              <w:rPr>
                <w:sz w:val="20"/>
                <w:szCs w:val="20"/>
                <w:color w:val="auto"/>
              </w:rPr>
            </w:pPr>
            <w:r>
              <w:rPr>
                <w:rFonts w:ascii="Courier New" w:cs="Courier New" w:eastAsia="Courier New" w:hAnsi="Courier New"/>
                <w:sz w:val="16"/>
                <w:szCs w:val="16"/>
                <w:color w:val="auto"/>
              </w:rPr>
              <w:t>--</w:t>
            </w:r>
          </w:p>
        </w:tc>
        <w:tc>
          <w:tcPr>
            <w:tcW w:w="460" w:type="dxa"/>
            <w:vAlign w:val="bottom"/>
          </w:tcPr>
          <w:p>
            <w:pPr>
              <w:spacing w:after="0"/>
              <w:rPr>
                <w:sz w:val="15"/>
                <w:szCs w:val="15"/>
                <w:color w:val="auto"/>
              </w:rPr>
            </w:pPr>
          </w:p>
        </w:tc>
        <w:tc>
          <w:tcPr>
            <w:tcW w:w="1220" w:type="dxa"/>
            <w:vAlign w:val="bottom"/>
          </w:tcPr>
          <w:p>
            <w:pPr>
              <w:jc w:val="right"/>
              <w:ind w:right="682"/>
              <w:spacing w:after="0" w:line="179" w:lineRule="exact"/>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w:t>
            </w:r>
          </w:p>
        </w:tc>
      </w:tr>
      <w:tr>
        <w:trPr>
          <w:trHeight w:val="537"/>
        </w:trPr>
        <w:tc>
          <w:tcPr>
            <w:tcW w:w="3940" w:type="dxa"/>
            <w:vAlign w:val="bottom"/>
          </w:tcPr>
          <w:p>
            <w:pPr>
              <w:ind w:left="3440"/>
              <w:spacing w:after="0"/>
              <w:rPr>
                <w:sz w:val="20"/>
                <w:szCs w:val="20"/>
                <w:color w:val="auto"/>
              </w:rPr>
            </w:pPr>
            <w:r>
              <w:rPr>
                <w:rFonts w:ascii="Courier New" w:cs="Courier New" w:eastAsia="Courier New" w:hAnsi="Courier New"/>
                <w:sz w:val="16"/>
                <w:szCs w:val="16"/>
                <w:color w:val="auto"/>
                <w:w w:val="99"/>
              </w:rPr>
              <w:t>57/57</w:t>
            </w:r>
          </w:p>
        </w:tc>
        <w:tc>
          <w:tcPr>
            <w:tcW w:w="14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760" w:type="dxa"/>
            <w:vAlign w:val="bottom"/>
          </w:tcPr>
          <w:p>
            <w:pPr>
              <w:spacing w:after="0"/>
              <w:rPr>
                <w:sz w:val="24"/>
                <w:szCs w:val="24"/>
                <w:color w:val="auto"/>
              </w:rPr>
            </w:pPr>
          </w:p>
        </w:tc>
      </w:tr>
    </w:tbl>
    <w:p>
      <w:pPr>
        <w:sectPr>
          <w:pgSz w:w="11900" w:h="16838" w:orient="portrait"/>
          <w:cols w:equalWidth="0" w:num="1">
            <w:col w:w="11160"/>
          </w:cols>
          <w:pgMar w:left="240" w:top="648" w:right="499" w:bottom="1440" w:gutter="0" w:footer="0" w:header="0"/>
        </w:sectPr>
      </w:pPr>
    </w:p>
    <w:bookmarkStart w:id="61" w:name="page62"/>
    <w:bookmarkEnd w:id="61"/>
    <w:p>
      <w:pPr>
        <w:jc w:val="right"/>
        <w:ind w:right="2779"/>
        <w:spacing w:after="0"/>
        <w:rPr>
          <w:sz w:val="20"/>
          <w:szCs w:val="20"/>
          <w:color w:val="auto"/>
        </w:rPr>
      </w:pPr>
      <w:r>
        <w:rPr>
          <w:rFonts w:ascii="Courier New" w:cs="Courier New" w:eastAsia="Courier New" w:hAnsi="Courier New"/>
          <w:sz w:val="16"/>
          <w:szCs w:val="16"/>
          <w:color w:val="auto"/>
        </w:rPr>
        <w:t>EXHIBIT 3.1</w:t>
      </w:r>
    </w:p>
    <w:p>
      <w:pPr>
        <w:spacing w:after="0" w:line="177" w:lineRule="exact"/>
        <w:rPr>
          <w:sz w:val="20"/>
          <w:szCs w:val="20"/>
          <w:color w:val="auto"/>
        </w:rPr>
      </w:pPr>
    </w:p>
    <w:p>
      <w:pPr>
        <w:jc w:val="center"/>
        <w:ind w:right="2775"/>
        <w:spacing w:after="0"/>
        <w:rPr>
          <w:sz w:val="20"/>
          <w:szCs w:val="20"/>
          <w:color w:val="auto"/>
        </w:rPr>
      </w:pPr>
      <w:r>
        <w:rPr>
          <w:rFonts w:ascii="Courier New" w:cs="Courier New" w:eastAsia="Courier New" w:hAnsi="Courier New"/>
          <w:sz w:val="16"/>
          <w:szCs w:val="16"/>
          <w:color w:val="auto"/>
        </w:rPr>
        <w:t>CERTIFICATE OF INCORPORATION</w:t>
      </w:r>
    </w:p>
    <w:p>
      <w:pPr>
        <w:jc w:val="center"/>
        <w:ind w:right="2775"/>
        <w:spacing w:after="0" w:line="236" w:lineRule="auto"/>
        <w:rPr>
          <w:sz w:val="20"/>
          <w:szCs w:val="20"/>
          <w:color w:val="auto"/>
        </w:rPr>
      </w:pPr>
      <w:r>
        <w:rPr>
          <w:rFonts w:ascii="Courier New" w:cs="Courier New" w:eastAsia="Courier New" w:hAnsi="Courier New"/>
          <w:sz w:val="16"/>
          <w:szCs w:val="16"/>
          <w:color w:val="auto"/>
        </w:rPr>
        <w:t>OF</w:t>
      </w:r>
    </w:p>
    <w:p>
      <w:pPr>
        <w:jc w:val="center"/>
        <w:ind w:right="2875"/>
        <w:spacing w:after="0" w:line="237" w:lineRule="auto"/>
        <w:rPr>
          <w:sz w:val="20"/>
          <w:szCs w:val="20"/>
          <w:color w:val="auto"/>
        </w:rPr>
      </w:pPr>
      <w:r>
        <w:rPr>
          <w:rFonts w:ascii="Courier New" w:cs="Courier New" w:eastAsia="Courier New" w:hAnsi="Courier New"/>
          <w:sz w:val="16"/>
          <w:szCs w:val="16"/>
          <w:color w:val="auto"/>
        </w:rPr>
        <w:t>MICRON TECHNOLOGY, INC.</w:t>
      </w:r>
    </w:p>
    <w:p>
      <w:pPr>
        <w:jc w:val="center"/>
        <w:ind w:right="2875"/>
        <w:spacing w:after="0" w:line="237" w:lineRule="auto"/>
        <w:rPr>
          <w:sz w:val="20"/>
          <w:szCs w:val="20"/>
          <w:color w:val="auto"/>
        </w:rPr>
      </w:pPr>
      <w:r>
        <w:rPr>
          <w:rFonts w:ascii="Courier New" w:cs="Courier New" w:eastAsia="Courier New" w:hAnsi="Courier New"/>
          <w:sz w:val="16"/>
          <w:szCs w:val="16"/>
          <w:color w:val="auto"/>
        </w:rPr>
        <w:t>* * * * *</w:t>
      </w:r>
    </w:p>
    <w:p>
      <w:pPr>
        <w:spacing w:after="0" w:line="177" w:lineRule="exact"/>
        <w:rPr>
          <w:sz w:val="20"/>
          <w:szCs w:val="20"/>
          <w:color w:val="auto"/>
        </w:rPr>
      </w:pPr>
    </w:p>
    <w:p>
      <w:pPr>
        <w:ind w:left="365" w:hanging="365"/>
        <w:spacing w:after="0"/>
        <w:tabs>
          <w:tab w:leader="none" w:pos="365"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name of the corporation is MICRON TECHNOLOGY, INC.</w:t>
      </w:r>
    </w:p>
    <w:p>
      <w:pPr>
        <w:spacing w:after="0" w:line="176" w:lineRule="exact"/>
        <w:rPr>
          <w:rFonts w:ascii="Courier New" w:cs="Courier New" w:eastAsia="Courier New" w:hAnsi="Courier New"/>
          <w:sz w:val="16"/>
          <w:szCs w:val="16"/>
          <w:color w:val="auto"/>
        </w:rPr>
      </w:pPr>
    </w:p>
    <w:p>
      <w:pPr>
        <w:ind w:left="365" w:hanging="365"/>
        <w:spacing w:after="0"/>
        <w:tabs>
          <w:tab w:leader="none" w:pos="365"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address of its registered office in the State of Delaware is No. 100</w:t>
      </w:r>
    </w:p>
    <w:p>
      <w:pPr>
        <w:spacing w:after="0" w:line="3" w:lineRule="exact"/>
        <w:rPr>
          <w:rFonts w:ascii="Courier New" w:cs="Courier New" w:eastAsia="Courier New" w:hAnsi="Courier New"/>
          <w:sz w:val="16"/>
          <w:szCs w:val="16"/>
          <w:color w:val="auto"/>
        </w:rPr>
      </w:pPr>
    </w:p>
    <w:p>
      <w:pPr>
        <w:ind w:left="5" w:right="2779"/>
        <w:spacing w:after="0" w:line="23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West Tenth Street, in the City of Wilmington, County of New Castle. The name of its registered agent at such address is The Corporation Trust Company.</w:t>
      </w:r>
    </w:p>
    <w:p>
      <w:pPr>
        <w:spacing w:after="0" w:line="183" w:lineRule="exact"/>
        <w:rPr>
          <w:rFonts w:ascii="Courier New" w:cs="Courier New" w:eastAsia="Courier New" w:hAnsi="Courier New"/>
          <w:sz w:val="16"/>
          <w:szCs w:val="16"/>
          <w:color w:val="auto"/>
        </w:rPr>
      </w:pPr>
    </w:p>
    <w:p>
      <w:pPr>
        <w:jc w:val="both"/>
        <w:ind w:left="5" w:right="3159" w:hanging="5"/>
        <w:spacing w:after="0" w:line="235" w:lineRule="auto"/>
        <w:tabs>
          <w:tab w:leader="none" w:pos="377"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nature of the business or purposes to be conducted or promoted is to engage in any lawful act or activity for which corporations may be organized under the General Corporation Law of Delaware.</w:t>
      </w:r>
    </w:p>
    <w:p>
      <w:pPr>
        <w:spacing w:after="0" w:line="183" w:lineRule="exact"/>
        <w:rPr>
          <w:rFonts w:ascii="Courier New" w:cs="Courier New" w:eastAsia="Courier New" w:hAnsi="Courier New"/>
          <w:sz w:val="16"/>
          <w:szCs w:val="16"/>
          <w:color w:val="auto"/>
        </w:rPr>
      </w:pPr>
    </w:p>
    <w:p>
      <w:pPr>
        <w:ind w:left="5" w:right="3059" w:hanging="5"/>
        <w:spacing w:after="0" w:line="235" w:lineRule="auto"/>
        <w:tabs>
          <w:tab w:leader="none" w:pos="377"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total number of shares of stock which the corporation shall have authority to issue is fifty million (50,000,000) and the par value of each of such shares is Ten Cents ($0.10) amounting in the aggregate to Five Million Dollars ($5,000,000.00).</w:t>
      </w:r>
    </w:p>
    <w:p>
      <w:pPr>
        <w:spacing w:after="0" w:line="185"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At all elections of directors of the corporation, each stockholder shall be entitled to as many votes as shall equal the number of votes which (except for such provision as to cumulative voting) he would be entitled to cast for the election of directors with respect to his shares of stock multiplied by the number of directors to be elected by him, and he may cast all of such votes for a single director or may distribute them among the number to be voted for, or for any two or more of them as he may see fit.</w:t>
      </w:r>
    </w:p>
    <w:p>
      <w:pPr>
        <w:spacing w:after="0" w:line="177" w:lineRule="exact"/>
        <w:rPr>
          <w:sz w:val="20"/>
          <w:szCs w:val="20"/>
          <w:color w:val="auto"/>
        </w:rPr>
      </w:pPr>
    </w:p>
    <w:p>
      <w:pPr>
        <w:ind w:left="365" w:hanging="365"/>
        <w:spacing w:after="0"/>
        <w:tabs>
          <w:tab w:leader="none" w:pos="365"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name and mailing address of each incorporator is as follows:</w:t>
      </w:r>
    </w:p>
    <w:p>
      <w:pPr>
        <w:spacing w:after="0" w:line="177" w:lineRule="exact"/>
        <w:rPr>
          <w:sz w:val="20"/>
          <w:szCs w:val="20"/>
          <w:color w:val="auto"/>
        </w:rPr>
      </w:pPr>
    </w:p>
    <w:tbl>
      <w:tblPr>
        <w:tblLayout w:type="fixed"/>
        <w:tblInd w:w="465" w:type="dxa"/>
        <w:tblCellMar>
          <w:top w:w="0" w:type="dxa"/>
          <w:left w:w="0" w:type="dxa"/>
          <w:bottom w:w="0" w:type="dxa"/>
          <w:right w:w="0" w:type="dxa"/>
        </w:tblCellMar>
      </w:tblPr>
      <w:tr>
        <w:trPr>
          <w:trHeight w:val="181"/>
        </w:trPr>
        <w:tc>
          <w:tcPr>
            <w:tcW w:w="1820" w:type="dxa"/>
            <w:vAlign w:val="bottom"/>
          </w:tcPr>
          <w:p>
            <w:pPr>
              <w:spacing w:after="0"/>
              <w:rPr>
                <w:sz w:val="20"/>
                <w:szCs w:val="20"/>
                <w:color w:val="auto"/>
              </w:rPr>
            </w:pPr>
            <w:r>
              <w:rPr>
                <w:rFonts w:ascii="Courier New" w:cs="Courier New" w:eastAsia="Courier New" w:hAnsi="Courier New"/>
                <w:sz w:val="16"/>
                <w:szCs w:val="16"/>
                <w:color w:val="auto"/>
              </w:rPr>
              <w:t>NAME</w:t>
            </w:r>
          </w:p>
        </w:tc>
        <w:tc>
          <w:tcPr>
            <w:tcW w:w="2920" w:type="dxa"/>
            <w:vAlign w:val="bottom"/>
            <w:gridSpan w:val="2"/>
          </w:tcPr>
          <w:p>
            <w:pPr>
              <w:ind w:left="500"/>
              <w:spacing w:after="0"/>
              <w:rPr>
                <w:sz w:val="20"/>
                <w:szCs w:val="20"/>
                <w:color w:val="auto"/>
              </w:rPr>
            </w:pPr>
            <w:r>
              <w:rPr>
                <w:rFonts w:ascii="Courier New" w:cs="Courier New" w:eastAsia="Courier New" w:hAnsi="Courier New"/>
                <w:sz w:val="16"/>
                <w:szCs w:val="16"/>
                <w:color w:val="auto"/>
              </w:rPr>
              <w:t>MAILING ADDRESS</w:t>
            </w:r>
          </w:p>
        </w:tc>
      </w:tr>
      <w:tr>
        <w:trPr>
          <w:trHeight w:val="179"/>
        </w:trPr>
        <w:tc>
          <w:tcPr>
            <w:tcW w:w="1820" w:type="dxa"/>
            <w:vAlign w:val="bottom"/>
          </w:tcPr>
          <w:p>
            <w:pPr>
              <w:spacing w:after="0" w:line="179" w:lineRule="exact"/>
              <w:rPr>
                <w:sz w:val="20"/>
                <w:szCs w:val="20"/>
                <w:color w:val="auto"/>
              </w:rPr>
            </w:pPr>
            <w:r>
              <w:rPr>
                <w:rFonts w:ascii="Courier New" w:cs="Courier New" w:eastAsia="Courier New" w:hAnsi="Courier New"/>
                <w:sz w:val="16"/>
                <w:szCs w:val="16"/>
                <w:color w:val="auto"/>
              </w:rPr>
              <w:t>W. J. Reif</w:t>
            </w:r>
          </w:p>
        </w:tc>
        <w:tc>
          <w:tcPr>
            <w:tcW w:w="840" w:type="dxa"/>
            <w:vAlign w:val="bottom"/>
          </w:tcPr>
          <w:p>
            <w:pPr>
              <w:ind w:left="500"/>
              <w:spacing w:after="0" w:line="179" w:lineRule="exact"/>
              <w:rPr>
                <w:sz w:val="20"/>
                <w:szCs w:val="20"/>
                <w:color w:val="auto"/>
              </w:rPr>
            </w:pPr>
            <w:r>
              <w:rPr>
                <w:rFonts w:ascii="Courier New" w:cs="Courier New" w:eastAsia="Courier New" w:hAnsi="Courier New"/>
                <w:sz w:val="16"/>
                <w:szCs w:val="16"/>
                <w:color w:val="auto"/>
              </w:rPr>
              <w:t>100</w:t>
            </w:r>
          </w:p>
        </w:tc>
        <w:tc>
          <w:tcPr>
            <w:tcW w:w="208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West Tenth Street</w:t>
            </w:r>
          </w:p>
        </w:tc>
      </w:tr>
      <w:tr>
        <w:trPr>
          <w:trHeight w:val="179"/>
        </w:trPr>
        <w:tc>
          <w:tcPr>
            <w:tcW w:w="1820" w:type="dxa"/>
            <w:vAlign w:val="bottom"/>
          </w:tcPr>
          <w:p>
            <w:pPr>
              <w:spacing w:after="0"/>
              <w:rPr>
                <w:sz w:val="15"/>
                <w:szCs w:val="15"/>
                <w:color w:val="auto"/>
              </w:rPr>
            </w:pPr>
          </w:p>
        </w:tc>
        <w:tc>
          <w:tcPr>
            <w:tcW w:w="2920" w:type="dxa"/>
            <w:vAlign w:val="bottom"/>
            <w:gridSpan w:val="2"/>
          </w:tcPr>
          <w:p>
            <w:pPr>
              <w:ind w:left="500"/>
              <w:spacing w:after="0" w:line="179" w:lineRule="exact"/>
              <w:rPr>
                <w:sz w:val="20"/>
                <w:szCs w:val="20"/>
                <w:color w:val="auto"/>
              </w:rPr>
            </w:pPr>
            <w:r>
              <w:rPr>
                <w:rFonts w:ascii="Courier New" w:cs="Courier New" w:eastAsia="Courier New" w:hAnsi="Courier New"/>
                <w:sz w:val="16"/>
                <w:szCs w:val="16"/>
                <w:color w:val="auto"/>
                <w:w w:val="96"/>
              </w:rPr>
              <w:t>Wilmington, Delaware 19801</w:t>
            </w:r>
          </w:p>
        </w:tc>
      </w:tr>
      <w:tr>
        <w:trPr>
          <w:trHeight w:val="358"/>
        </w:trPr>
        <w:tc>
          <w:tcPr>
            <w:tcW w:w="1820" w:type="dxa"/>
            <w:vAlign w:val="bottom"/>
          </w:tcPr>
          <w:p>
            <w:pPr>
              <w:spacing w:after="0"/>
              <w:rPr>
                <w:sz w:val="20"/>
                <w:szCs w:val="20"/>
                <w:color w:val="auto"/>
              </w:rPr>
            </w:pPr>
            <w:r>
              <w:rPr>
                <w:rFonts w:ascii="Courier New" w:cs="Courier New" w:eastAsia="Courier New" w:hAnsi="Courier New"/>
                <w:sz w:val="16"/>
                <w:szCs w:val="16"/>
                <w:color w:val="auto"/>
              </w:rPr>
              <w:t>V. A. Brookens</w:t>
            </w:r>
          </w:p>
        </w:tc>
        <w:tc>
          <w:tcPr>
            <w:tcW w:w="840" w:type="dxa"/>
            <w:vAlign w:val="bottom"/>
          </w:tcPr>
          <w:p>
            <w:pPr>
              <w:ind w:left="500"/>
              <w:spacing w:after="0"/>
              <w:rPr>
                <w:sz w:val="20"/>
                <w:szCs w:val="20"/>
                <w:color w:val="auto"/>
              </w:rPr>
            </w:pPr>
            <w:r>
              <w:rPr>
                <w:rFonts w:ascii="Courier New" w:cs="Courier New" w:eastAsia="Courier New" w:hAnsi="Courier New"/>
                <w:sz w:val="16"/>
                <w:szCs w:val="16"/>
                <w:color w:val="auto"/>
              </w:rPr>
              <w:t>100</w:t>
            </w:r>
          </w:p>
        </w:tc>
        <w:tc>
          <w:tcPr>
            <w:tcW w:w="2080" w:type="dxa"/>
            <w:vAlign w:val="bottom"/>
          </w:tcPr>
          <w:p>
            <w:pPr>
              <w:ind w:left="40"/>
              <w:spacing w:after="0"/>
              <w:rPr>
                <w:sz w:val="20"/>
                <w:szCs w:val="20"/>
                <w:color w:val="auto"/>
              </w:rPr>
            </w:pPr>
            <w:r>
              <w:rPr>
                <w:rFonts w:ascii="Courier New" w:cs="Courier New" w:eastAsia="Courier New" w:hAnsi="Courier New"/>
                <w:sz w:val="16"/>
                <w:szCs w:val="16"/>
                <w:color w:val="auto"/>
              </w:rPr>
              <w:t>West Tenth Street,</w:t>
            </w:r>
          </w:p>
        </w:tc>
      </w:tr>
      <w:tr>
        <w:trPr>
          <w:trHeight w:val="179"/>
        </w:trPr>
        <w:tc>
          <w:tcPr>
            <w:tcW w:w="1820" w:type="dxa"/>
            <w:vAlign w:val="bottom"/>
          </w:tcPr>
          <w:p>
            <w:pPr>
              <w:spacing w:after="0"/>
              <w:rPr>
                <w:sz w:val="15"/>
                <w:szCs w:val="15"/>
                <w:color w:val="auto"/>
              </w:rPr>
            </w:pPr>
          </w:p>
        </w:tc>
        <w:tc>
          <w:tcPr>
            <w:tcW w:w="2920" w:type="dxa"/>
            <w:vAlign w:val="bottom"/>
            <w:gridSpan w:val="2"/>
          </w:tcPr>
          <w:p>
            <w:pPr>
              <w:ind w:left="500"/>
              <w:spacing w:after="0" w:line="179" w:lineRule="exact"/>
              <w:rPr>
                <w:sz w:val="20"/>
                <w:szCs w:val="20"/>
                <w:color w:val="auto"/>
              </w:rPr>
            </w:pPr>
            <w:r>
              <w:rPr>
                <w:rFonts w:ascii="Courier New" w:cs="Courier New" w:eastAsia="Courier New" w:hAnsi="Courier New"/>
                <w:sz w:val="16"/>
                <w:szCs w:val="16"/>
                <w:color w:val="auto"/>
                <w:w w:val="96"/>
              </w:rPr>
              <w:t>Wilmington, Delaware 19801</w:t>
            </w:r>
          </w:p>
        </w:tc>
      </w:tr>
      <w:tr>
        <w:trPr>
          <w:trHeight w:val="358"/>
        </w:trPr>
        <w:tc>
          <w:tcPr>
            <w:tcW w:w="1820" w:type="dxa"/>
            <w:vAlign w:val="bottom"/>
          </w:tcPr>
          <w:p>
            <w:pPr>
              <w:spacing w:after="0"/>
              <w:rPr>
                <w:sz w:val="20"/>
                <w:szCs w:val="20"/>
                <w:color w:val="auto"/>
              </w:rPr>
            </w:pPr>
            <w:r>
              <w:rPr>
                <w:rFonts w:ascii="Courier New" w:cs="Courier New" w:eastAsia="Courier New" w:hAnsi="Courier New"/>
                <w:sz w:val="16"/>
                <w:szCs w:val="16"/>
                <w:color w:val="auto"/>
              </w:rPr>
              <w:t>J. L. Austin</w:t>
            </w:r>
          </w:p>
        </w:tc>
        <w:tc>
          <w:tcPr>
            <w:tcW w:w="840" w:type="dxa"/>
            <w:vAlign w:val="bottom"/>
          </w:tcPr>
          <w:p>
            <w:pPr>
              <w:ind w:left="500"/>
              <w:spacing w:after="0"/>
              <w:rPr>
                <w:sz w:val="20"/>
                <w:szCs w:val="20"/>
                <w:color w:val="auto"/>
              </w:rPr>
            </w:pPr>
            <w:r>
              <w:rPr>
                <w:rFonts w:ascii="Courier New" w:cs="Courier New" w:eastAsia="Courier New" w:hAnsi="Courier New"/>
                <w:sz w:val="16"/>
                <w:szCs w:val="16"/>
                <w:color w:val="auto"/>
              </w:rPr>
              <w:t>100</w:t>
            </w:r>
          </w:p>
        </w:tc>
        <w:tc>
          <w:tcPr>
            <w:tcW w:w="2080" w:type="dxa"/>
            <w:vAlign w:val="bottom"/>
          </w:tcPr>
          <w:p>
            <w:pPr>
              <w:ind w:left="40"/>
              <w:spacing w:after="0"/>
              <w:rPr>
                <w:sz w:val="20"/>
                <w:szCs w:val="20"/>
                <w:color w:val="auto"/>
              </w:rPr>
            </w:pPr>
            <w:r>
              <w:rPr>
                <w:rFonts w:ascii="Courier New" w:cs="Courier New" w:eastAsia="Courier New" w:hAnsi="Courier New"/>
                <w:sz w:val="16"/>
                <w:szCs w:val="16"/>
                <w:color w:val="auto"/>
              </w:rPr>
              <w:t>West Tenth Street,</w:t>
            </w:r>
          </w:p>
        </w:tc>
      </w:tr>
      <w:tr>
        <w:trPr>
          <w:trHeight w:val="179"/>
        </w:trPr>
        <w:tc>
          <w:tcPr>
            <w:tcW w:w="1820" w:type="dxa"/>
            <w:vAlign w:val="bottom"/>
          </w:tcPr>
          <w:p>
            <w:pPr>
              <w:spacing w:after="0"/>
              <w:rPr>
                <w:sz w:val="15"/>
                <w:szCs w:val="15"/>
                <w:color w:val="auto"/>
              </w:rPr>
            </w:pPr>
          </w:p>
        </w:tc>
        <w:tc>
          <w:tcPr>
            <w:tcW w:w="2920" w:type="dxa"/>
            <w:vAlign w:val="bottom"/>
            <w:gridSpan w:val="2"/>
          </w:tcPr>
          <w:p>
            <w:pPr>
              <w:ind w:left="500"/>
              <w:spacing w:after="0" w:line="179" w:lineRule="exact"/>
              <w:rPr>
                <w:sz w:val="20"/>
                <w:szCs w:val="20"/>
                <w:color w:val="auto"/>
              </w:rPr>
            </w:pPr>
            <w:r>
              <w:rPr>
                <w:rFonts w:ascii="Courier New" w:cs="Courier New" w:eastAsia="Courier New" w:hAnsi="Courier New"/>
                <w:sz w:val="16"/>
                <w:szCs w:val="16"/>
                <w:color w:val="auto"/>
                <w:w w:val="96"/>
              </w:rPr>
              <w:t>Wilmington, Delaware 19801</w:t>
            </w:r>
          </w:p>
        </w:tc>
      </w:tr>
    </w:tbl>
    <w:p>
      <w:pPr>
        <w:spacing w:after="0" w:line="177" w:lineRule="exact"/>
        <w:rPr>
          <w:sz w:val="20"/>
          <w:szCs w:val="20"/>
          <w:color w:val="auto"/>
        </w:rPr>
      </w:pPr>
    </w:p>
    <w:p>
      <w:pPr>
        <w:ind w:left="365" w:hanging="365"/>
        <w:spacing w:after="0"/>
        <w:tabs>
          <w:tab w:leader="none" w:pos="365"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corporation is to have perpetual existence.</w:t>
      </w:r>
    </w:p>
    <w:p>
      <w:pPr>
        <w:spacing w:after="0" w:line="182" w:lineRule="exact"/>
        <w:rPr>
          <w:rFonts w:ascii="Courier New" w:cs="Courier New" w:eastAsia="Courier New" w:hAnsi="Courier New"/>
          <w:sz w:val="16"/>
          <w:szCs w:val="16"/>
          <w:color w:val="auto"/>
        </w:rPr>
      </w:pPr>
    </w:p>
    <w:p>
      <w:pPr>
        <w:ind w:left="5" w:right="2779" w:hanging="5"/>
        <w:spacing w:after="0" w:line="235" w:lineRule="auto"/>
        <w:tabs>
          <w:tab w:leader="none" w:pos="377"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furtherance and not in limitation of the powers conferred by statute, the board of directors is expressly authorized to make, alter or repeal the by-laws of the corporation.</w:t>
      </w:r>
    </w:p>
    <w:p>
      <w:pPr>
        <w:sectPr>
          <w:pgSz w:w="11900" w:h="16838" w:orient="portrait"/>
          <w:cols w:equalWidth="0" w:num="1">
            <w:col w:w="10224"/>
          </w:cols>
          <w:pgMar w:left="235" w:top="493" w:right="1440" w:bottom="1440" w:gutter="0" w:footer="0" w:header="0"/>
        </w:sectPr>
      </w:pPr>
    </w:p>
    <w:bookmarkStart w:id="62" w:name="page63"/>
    <w:bookmarkEnd w:id="62"/>
    <w:p>
      <w:pPr>
        <w:ind w:left="5" w:right="2959" w:hanging="5"/>
        <w:spacing w:after="0" w:line="234" w:lineRule="auto"/>
        <w:tabs>
          <w:tab w:leader="none" w:pos="377"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Elections of directors need not be by written ballot unless the by-laws of the corporation shall so provide.</w:t>
      </w:r>
    </w:p>
    <w:p>
      <w:pPr>
        <w:spacing w:after="0" w:line="183" w:lineRule="exact"/>
        <w:rPr>
          <w:sz w:val="20"/>
          <w:szCs w:val="20"/>
          <w:color w:val="auto"/>
        </w:rPr>
      </w:pPr>
    </w:p>
    <w:p>
      <w:pPr>
        <w:ind w:left="5" w:right="2879" w:firstLine="465"/>
        <w:spacing w:after="0" w:line="235" w:lineRule="auto"/>
        <w:rPr>
          <w:sz w:val="20"/>
          <w:szCs w:val="20"/>
          <w:color w:val="auto"/>
        </w:rPr>
      </w:pPr>
      <w:r>
        <w:rPr>
          <w:rFonts w:ascii="Courier New" w:cs="Courier New" w:eastAsia="Courier New" w:hAnsi="Courier New"/>
          <w:sz w:val="16"/>
          <w:szCs w:val="16"/>
          <w:color w:val="auto"/>
        </w:rPr>
        <w:t>Meetings of stockholders may by held within or without the State of Delaware, as the by-laws may provide. The books of the corporation may be kept (subject to any provision contained in the statutes) outside the State of Delaware at such place or places as may be designated from time to time by the board of directors or in the by-laws of the corporation.</w:t>
      </w:r>
    </w:p>
    <w:p>
      <w:pPr>
        <w:spacing w:after="0" w:line="186" w:lineRule="exact"/>
        <w:rPr>
          <w:sz w:val="20"/>
          <w:szCs w:val="20"/>
          <w:color w:val="auto"/>
        </w:rPr>
      </w:pPr>
    </w:p>
    <w:p>
      <w:pPr>
        <w:ind w:left="5" w:right="2959" w:hanging="5"/>
        <w:spacing w:after="0" w:line="235" w:lineRule="auto"/>
        <w:tabs>
          <w:tab w:leader="none" w:pos="377"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corporation reserves the right to amend, alter, change or repeal any provision contained in this certificate of incorporation, in the manner now or hereafter prescribed by statute, and all rights conferred upon stockholders herein are granted subject to this reservation.</w:t>
      </w:r>
    </w:p>
    <w:p>
      <w:pPr>
        <w:spacing w:after="0" w:line="185" w:lineRule="exact"/>
        <w:rPr>
          <w:sz w:val="20"/>
          <w:szCs w:val="20"/>
          <w:color w:val="auto"/>
        </w:rPr>
      </w:pPr>
    </w:p>
    <w:p>
      <w:pPr>
        <w:ind w:left="5" w:right="2779" w:firstLine="465"/>
        <w:spacing w:after="0" w:line="235" w:lineRule="auto"/>
        <w:rPr>
          <w:sz w:val="20"/>
          <w:szCs w:val="20"/>
          <w:color w:val="auto"/>
        </w:rPr>
      </w:pPr>
      <w:r>
        <w:rPr>
          <w:rFonts w:ascii="Courier New" w:cs="Courier New" w:eastAsia="Courier New" w:hAnsi="Courier New"/>
          <w:sz w:val="16"/>
          <w:szCs w:val="16"/>
          <w:color w:val="auto"/>
        </w:rPr>
        <w:t>WE, THE UNDERSIGNED, being each of the incorporators hereinbefore named, for the purpose of forming a corporation pursuant to the General Corporation Law of the State of</w:t>
      </w:r>
    </w:p>
    <w:p>
      <w:pPr>
        <w:spacing w:after="0" w:line="183" w:lineRule="exact"/>
        <w:rPr>
          <w:sz w:val="20"/>
          <w:szCs w:val="20"/>
          <w:color w:val="auto"/>
        </w:rPr>
      </w:pPr>
    </w:p>
    <w:p>
      <w:pPr>
        <w:ind w:left="5" w:right="2779"/>
        <w:spacing w:after="0" w:line="235" w:lineRule="auto"/>
        <w:rPr>
          <w:sz w:val="20"/>
          <w:szCs w:val="20"/>
          <w:color w:val="auto"/>
        </w:rPr>
      </w:pPr>
      <w:r>
        <w:rPr>
          <w:rFonts w:ascii="Courier New" w:cs="Courier New" w:eastAsia="Courier New" w:hAnsi="Courier New"/>
          <w:sz w:val="16"/>
          <w:szCs w:val="16"/>
          <w:color w:val="auto"/>
        </w:rPr>
        <w:t>Delaware, do make this certificate, hereby declaring and certifying that this is our act and deed and the facts herein stated are true, and accordingly have hereunto set our hands this 6th day of April, 1984.</w:t>
      </w:r>
    </w:p>
    <w:p>
      <w:pPr>
        <w:spacing w:after="0" w:line="177" w:lineRule="exact"/>
        <w:rPr>
          <w:sz w:val="20"/>
          <w:szCs w:val="20"/>
          <w:color w:val="auto"/>
        </w:rPr>
      </w:pPr>
    </w:p>
    <w:p>
      <w:pPr>
        <w:ind w:left="3725"/>
        <w:spacing w:after="0"/>
        <w:rPr>
          <w:sz w:val="20"/>
          <w:szCs w:val="20"/>
          <w:color w:val="auto"/>
        </w:rPr>
      </w:pPr>
      <w:r>
        <w:rPr>
          <w:rFonts w:ascii="Courier New" w:cs="Courier New" w:eastAsia="Courier New" w:hAnsi="Courier New"/>
          <w:sz w:val="16"/>
          <w:szCs w:val="16"/>
          <w:color w:val="auto"/>
        </w:rPr>
        <w:t>W. J. REIF</w:t>
      </w:r>
    </w:p>
    <w:p>
      <w:pPr>
        <w:ind w:left="3725"/>
        <w:spacing w:after="0" w:line="236" w:lineRule="auto"/>
        <w:rPr>
          <w:sz w:val="20"/>
          <w:szCs w:val="20"/>
          <w:color w:val="auto"/>
        </w:rPr>
      </w:pPr>
      <w:r>
        <w:rPr>
          <w:rFonts w:ascii="Courier New" w:cs="Courier New" w:eastAsia="Courier New" w:hAnsi="Courier New"/>
          <w:sz w:val="16"/>
          <w:szCs w:val="16"/>
          <w:color w:val="auto"/>
        </w:rPr>
        <w:t>----------</w:t>
      </w:r>
    </w:p>
    <w:p>
      <w:pPr>
        <w:ind w:left="3725"/>
        <w:spacing w:after="0" w:line="237" w:lineRule="auto"/>
        <w:rPr>
          <w:sz w:val="20"/>
          <w:szCs w:val="20"/>
          <w:color w:val="auto"/>
        </w:rPr>
      </w:pPr>
      <w:r>
        <w:rPr>
          <w:rFonts w:ascii="Courier New" w:cs="Courier New" w:eastAsia="Courier New" w:hAnsi="Courier New"/>
          <w:sz w:val="16"/>
          <w:szCs w:val="16"/>
          <w:color w:val="auto"/>
        </w:rPr>
        <w:t>W. J. REIF</w:t>
      </w:r>
    </w:p>
    <w:p>
      <w:pPr>
        <w:spacing w:after="0" w:line="177" w:lineRule="exact"/>
        <w:rPr>
          <w:sz w:val="20"/>
          <w:szCs w:val="20"/>
          <w:color w:val="auto"/>
        </w:rPr>
      </w:pPr>
    </w:p>
    <w:p>
      <w:pPr>
        <w:ind w:left="3725"/>
        <w:spacing w:after="0"/>
        <w:rPr>
          <w:sz w:val="20"/>
          <w:szCs w:val="20"/>
          <w:color w:val="auto"/>
        </w:rPr>
      </w:pPr>
      <w:r>
        <w:rPr>
          <w:rFonts w:ascii="Courier New" w:cs="Courier New" w:eastAsia="Courier New" w:hAnsi="Courier New"/>
          <w:sz w:val="16"/>
          <w:szCs w:val="16"/>
          <w:color w:val="auto"/>
        </w:rPr>
        <w:t>V. A. BROOKENS</w:t>
      </w:r>
    </w:p>
    <w:p>
      <w:pPr>
        <w:ind w:left="3725"/>
        <w:spacing w:after="0" w:line="236" w:lineRule="auto"/>
        <w:rPr>
          <w:sz w:val="20"/>
          <w:szCs w:val="20"/>
          <w:color w:val="auto"/>
        </w:rPr>
      </w:pPr>
      <w:r>
        <w:rPr>
          <w:rFonts w:ascii="Courier New" w:cs="Courier New" w:eastAsia="Courier New" w:hAnsi="Courier New"/>
          <w:sz w:val="16"/>
          <w:szCs w:val="16"/>
          <w:color w:val="auto"/>
        </w:rPr>
        <w:t>--------------</w:t>
      </w:r>
    </w:p>
    <w:p>
      <w:pPr>
        <w:ind w:left="3725"/>
        <w:spacing w:after="0" w:line="237" w:lineRule="auto"/>
        <w:rPr>
          <w:sz w:val="20"/>
          <w:szCs w:val="20"/>
          <w:color w:val="auto"/>
        </w:rPr>
      </w:pPr>
      <w:r>
        <w:rPr>
          <w:rFonts w:ascii="Courier New" w:cs="Courier New" w:eastAsia="Courier New" w:hAnsi="Courier New"/>
          <w:sz w:val="16"/>
          <w:szCs w:val="16"/>
          <w:color w:val="auto"/>
        </w:rPr>
        <w:t>V. A. BROOKENS</w:t>
      </w:r>
    </w:p>
    <w:p>
      <w:pPr>
        <w:spacing w:after="0" w:line="177" w:lineRule="exact"/>
        <w:rPr>
          <w:sz w:val="20"/>
          <w:szCs w:val="20"/>
          <w:color w:val="auto"/>
        </w:rPr>
      </w:pPr>
    </w:p>
    <w:p>
      <w:pPr>
        <w:ind w:left="3725"/>
        <w:spacing w:after="0"/>
        <w:rPr>
          <w:sz w:val="20"/>
          <w:szCs w:val="20"/>
          <w:color w:val="auto"/>
        </w:rPr>
      </w:pPr>
      <w:r>
        <w:rPr>
          <w:rFonts w:ascii="Courier New" w:cs="Courier New" w:eastAsia="Courier New" w:hAnsi="Courier New"/>
          <w:sz w:val="16"/>
          <w:szCs w:val="16"/>
          <w:color w:val="auto"/>
        </w:rPr>
        <w:t>J. L. AUSTIN</w:t>
      </w:r>
    </w:p>
    <w:p>
      <w:pPr>
        <w:ind w:left="3725"/>
        <w:spacing w:after="0" w:line="236" w:lineRule="auto"/>
        <w:rPr>
          <w:sz w:val="20"/>
          <w:szCs w:val="20"/>
          <w:color w:val="auto"/>
        </w:rPr>
      </w:pPr>
      <w:r>
        <w:rPr>
          <w:rFonts w:ascii="Courier New" w:cs="Courier New" w:eastAsia="Courier New" w:hAnsi="Courier New"/>
          <w:sz w:val="16"/>
          <w:szCs w:val="16"/>
          <w:color w:val="auto"/>
        </w:rPr>
        <w:t>------------</w:t>
      </w:r>
    </w:p>
    <w:p>
      <w:pPr>
        <w:ind w:left="3725"/>
        <w:spacing w:after="0" w:line="237" w:lineRule="auto"/>
        <w:rPr>
          <w:sz w:val="20"/>
          <w:szCs w:val="20"/>
          <w:color w:val="auto"/>
        </w:rPr>
      </w:pPr>
      <w:r>
        <w:rPr>
          <w:rFonts w:ascii="Courier New" w:cs="Courier New" w:eastAsia="Courier New" w:hAnsi="Courier New"/>
          <w:sz w:val="16"/>
          <w:szCs w:val="16"/>
          <w:color w:val="auto"/>
        </w:rPr>
        <w:t>J. L. AUSTIN</w:t>
      </w:r>
    </w:p>
    <w:p>
      <w:pPr>
        <w:sectPr>
          <w:pgSz w:w="11900" w:h="16838" w:orient="portrait"/>
          <w:cols w:equalWidth="0" w:num="1">
            <w:col w:w="10224"/>
          </w:cols>
          <w:pgMar w:left="235" w:top="654" w:right="1440" w:bottom="1440" w:gutter="0" w:footer="0" w:header="0"/>
        </w:sectPr>
      </w:pPr>
    </w:p>
    <w:bookmarkStart w:id="63" w:name="page64"/>
    <w:bookmarkEnd w:id="63"/>
    <w:p>
      <w:pPr>
        <w:ind w:left="2325"/>
        <w:spacing w:after="0"/>
        <w:rPr>
          <w:sz w:val="20"/>
          <w:szCs w:val="20"/>
          <w:color w:val="auto"/>
        </w:rPr>
      </w:pPr>
      <w:r>
        <w:rPr>
          <w:rFonts w:ascii="Courier New" w:cs="Courier New" w:eastAsia="Courier New" w:hAnsi="Courier New"/>
          <w:sz w:val="16"/>
          <w:szCs w:val="16"/>
          <w:color w:val="auto"/>
        </w:rPr>
        <w:t>CERTIFICATE OF FIRST AMENDMENT</w:t>
      </w:r>
    </w:p>
    <w:p>
      <w:pPr>
        <w:ind w:left="1945"/>
        <w:spacing w:after="0" w:line="236" w:lineRule="auto"/>
        <w:rPr>
          <w:sz w:val="20"/>
          <w:szCs w:val="20"/>
          <w:color w:val="auto"/>
        </w:rPr>
      </w:pPr>
      <w:r>
        <w:rPr>
          <w:rFonts w:ascii="Courier New" w:cs="Courier New" w:eastAsia="Courier New" w:hAnsi="Courier New"/>
          <w:sz w:val="16"/>
          <w:szCs w:val="16"/>
          <w:color w:val="auto"/>
        </w:rPr>
        <w:t>TO THE CERTIFICATE OF INCORPORATION OF</w:t>
      </w:r>
    </w:p>
    <w:p>
      <w:pPr>
        <w:ind w:left="2605"/>
        <w:spacing w:after="0" w:line="237" w:lineRule="auto"/>
        <w:rPr>
          <w:sz w:val="20"/>
          <w:szCs w:val="20"/>
          <w:color w:val="auto"/>
        </w:rPr>
      </w:pPr>
      <w:r>
        <w:rPr>
          <w:rFonts w:ascii="Courier New" w:cs="Courier New" w:eastAsia="Courier New" w:hAnsi="Courier New"/>
          <w:sz w:val="16"/>
          <w:szCs w:val="16"/>
          <w:color w:val="auto"/>
        </w:rPr>
        <w:t>MICRON TECHNOLOGY, INC.</w:t>
      </w:r>
    </w:p>
    <w:p>
      <w:pPr>
        <w:spacing w:after="0" w:line="183"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The undersigned, Juan A. Benitez, President and Cathy L. Smith, Corporate Secretary of Micron Technology, Inc. a Delaware corporation, hereby certify that the following amendment to the Certificate of Incorporation of Micron Technology, Inc. has been duly adopted in accordance with Section 242 of the General Corporation Law of the State of Delaware, as amended. Said amendment was adopted by a resolution of the Board of Directors on October 27, 1986 which sets forth the proposed amendment, declared its advisability and directed that at be considered at the Annual Meeting of Shareholders. At the regularly scheduled Annual Meeting of Shareholders held on January 26, 1987, after due notice thereof in accordance with the law, a majority of said shareholders entitled to vote thereon has been voted in favor of said amendment. Said amendment as adopted and approved adds the following provisions to the Certificate of Incorporation:</w:t>
      </w:r>
    </w:p>
    <w:p>
      <w:pPr>
        <w:spacing w:after="0" w:line="188" w:lineRule="exact"/>
        <w:rPr>
          <w:sz w:val="20"/>
          <w:szCs w:val="20"/>
          <w:color w:val="auto"/>
        </w:rPr>
      </w:pPr>
    </w:p>
    <w:p>
      <w:pPr>
        <w:ind w:left="5" w:right="2779" w:firstLine="461"/>
        <w:spacing w:after="0" w:line="270" w:lineRule="auto"/>
        <w:tabs>
          <w:tab w:leader="none" w:pos="935" w:val="left"/>
        </w:tabs>
        <w:numPr>
          <w:ilvl w:val="1"/>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Pursuant to, and to the full extent permitted by Section 102(b) and any other relevant provisions of the General Corporation Law of the State of Delaware, no director shall be liable to the corporation or its stockholders for monetary damages for breach of fiduciary duty as a director, provided that this provision shall not eliminate or limit the liability of a director (i) for any breach of director's duty of loyalty to the corporation or its stockholders,</w:t>
      </w:r>
    </w:p>
    <w:p>
      <w:pPr>
        <w:spacing w:after="0" w:line="2" w:lineRule="exact"/>
        <w:rPr>
          <w:rFonts w:ascii="Courier New" w:cs="Courier New" w:eastAsia="Courier New" w:hAnsi="Courier New"/>
          <w:sz w:val="14"/>
          <w:szCs w:val="14"/>
          <w:color w:val="auto"/>
        </w:rPr>
      </w:pPr>
    </w:p>
    <w:p>
      <w:pPr>
        <w:ind w:left="5" w:right="2779" w:hanging="5"/>
        <w:spacing w:after="0" w:line="235" w:lineRule="auto"/>
        <w:tabs>
          <w:tab w:leader="none" w:pos="47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acts or omissions not in good faith or which involve intentional misconduct or a knowing violation of law, (iii) under Section 174 of the General Corporation Law of the State of Delaware, or (iv) for any transaction from which the director derived an improper personal benefit.</w:t>
      </w:r>
    </w:p>
    <w:p>
      <w:pPr>
        <w:spacing w:after="0" w:line="184" w:lineRule="exact"/>
        <w:rPr>
          <w:rFonts w:ascii="Courier New" w:cs="Courier New" w:eastAsia="Courier New" w:hAnsi="Courier New"/>
          <w:sz w:val="16"/>
          <w:szCs w:val="16"/>
          <w:color w:val="auto"/>
        </w:rPr>
      </w:pPr>
    </w:p>
    <w:p>
      <w:pPr>
        <w:ind w:left="5" w:right="2779" w:firstLine="461"/>
        <w:spacing w:after="0" w:line="236" w:lineRule="auto"/>
        <w:tabs>
          <w:tab w:leader="none" w:pos="935" w:val="left"/>
        </w:tabs>
        <w:numPr>
          <w:ilvl w:val="1"/>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Pursuant to, and to the full extent permitted by, Section 145 and any other relevant provisions of the General Corporation Law of the State of Delaware, the corporation shall, and is hereby obligated to, indemnify any person, or the heirs, executors, or administrators of such person, who was or is a party or is threatened to be made a party to any threatened, pending, or completed action, suit, or proceeding, whether civil, criminal, administrative, or investigative, by reason of the fact that such person is or was a director, officer, employee, or agent of the corporation, or is or was serving at the request of the corporation as a director, officer, employee, or agent of another corporation, partnership, joint venture, trust, or other enterprise. The corporation shall, and is hereby obligated to, indemnify any of said persons in each and every situation where the corporation is obligated to make such indemnification pursuant to said statutory provisions. The corporation shall also, and is hereby obligated to, indemnify any of said persons in each and every situation where, under the aforesaid statutory provisions, the corporation is not obligated, but is nevertheless permitted or empowered, to make such indemnification, it being understood that, prior to making such indemnification, the corporation shall make, or cause to be made, such determinations or decisions, following such procedures or methods, as are required by said statutes.</w:t>
      </w:r>
    </w:p>
    <w:p>
      <w:pPr>
        <w:sectPr>
          <w:pgSz w:w="11900" w:h="16838" w:orient="portrait"/>
          <w:cols w:equalWidth="0" w:num="1">
            <w:col w:w="10224"/>
          </w:cols>
          <w:pgMar w:left="235" w:top="648" w:right="1440" w:bottom="1440" w:gutter="0" w:footer="0" w:header="0"/>
        </w:sectPr>
      </w:pPr>
    </w:p>
    <w:bookmarkStart w:id="64" w:name="page65"/>
    <w:bookmarkEnd w:id="64"/>
    <w:p>
      <w:pPr>
        <w:ind w:right="3619" w:firstLine="465"/>
        <w:spacing w:after="0" w:line="295" w:lineRule="auto"/>
        <w:rPr>
          <w:sz w:val="20"/>
          <w:szCs w:val="20"/>
          <w:color w:val="auto"/>
        </w:rPr>
      </w:pPr>
      <w:r>
        <w:rPr>
          <w:rFonts w:ascii="Courier New" w:cs="Courier New" w:eastAsia="Courier New" w:hAnsi="Courier New"/>
          <w:sz w:val="14"/>
          <w:szCs w:val="14"/>
          <w:color w:val="auto"/>
        </w:rPr>
        <w:t>IN WITNESS WHEREOF, we have hereunto set our hands and affixed the corporate seal of said corporation as of this 28th of January 1987.</w:t>
      </w:r>
    </w:p>
    <w:p>
      <w:pPr>
        <w:spacing w:after="0" w:line="141"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Juan A. Benitez</w:t>
      </w:r>
    </w:p>
    <w:p>
      <w:pPr>
        <w:ind w:left="3620"/>
        <w:spacing w:after="0" w:line="236" w:lineRule="auto"/>
        <w:rPr>
          <w:sz w:val="20"/>
          <w:szCs w:val="20"/>
          <w:color w:val="auto"/>
        </w:rPr>
      </w:pPr>
      <w:r>
        <w:rPr>
          <w:rFonts w:ascii="Courier New" w:cs="Courier New" w:eastAsia="Courier New" w:hAnsi="Courier New"/>
          <w:sz w:val="16"/>
          <w:szCs w:val="16"/>
          <w:color w:val="auto"/>
        </w:rPr>
        <w:t>---------------</w:t>
      </w:r>
    </w:p>
    <w:p>
      <w:pPr>
        <w:ind w:left="3620"/>
        <w:spacing w:after="0" w:line="237" w:lineRule="auto"/>
        <w:rPr>
          <w:sz w:val="20"/>
          <w:szCs w:val="20"/>
          <w:color w:val="auto"/>
        </w:rPr>
      </w:pPr>
      <w:r>
        <w:rPr>
          <w:rFonts w:ascii="Courier New" w:cs="Courier New" w:eastAsia="Courier New" w:hAnsi="Courier New"/>
          <w:sz w:val="16"/>
          <w:szCs w:val="16"/>
          <w:color w:val="auto"/>
        </w:rPr>
        <w:t>Juan A. Benitez, President</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Cathy L. Smith</w:t>
      </w:r>
    </w:p>
    <w:p>
      <w:pPr>
        <w:ind w:left="3620"/>
        <w:spacing w:after="0" w:line="236" w:lineRule="auto"/>
        <w:rPr>
          <w:sz w:val="20"/>
          <w:szCs w:val="20"/>
          <w:color w:val="auto"/>
        </w:rPr>
      </w:pPr>
      <w:r>
        <w:rPr>
          <w:rFonts w:ascii="Courier New" w:cs="Courier New" w:eastAsia="Courier New" w:hAnsi="Courier New"/>
          <w:sz w:val="16"/>
          <w:szCs w:val="16"/>
          <w:color w:val="auto"/>
        </w:rPr>
        <w:t>--------------</w:t>
      </w:r>
    </w:p>
    <w:p>
      <w:pPr>
        <w:ind w:left="3620"/>
        <w:spacing w:after="0" w:line="237" w:lineRule="auto"/>
        <w:rPr>
          <w:sz w:val="20"/>
          <w:szCs w:val="20"/>
          <w:color w:val="auto"/>
        </w:rPr>
      </w:pPr>
      <w:r>
        <w:rPr>
          <w:rFonts w:ascii="Courier New" w:cs="Courier New" w:eastAsia="Courier New" w:hAnsi="Courier New"/>
          <w:sz w:val="16"/>
          <w:szCs w:val="16"/>
          <w:color w:val="auto"/>
        </w:rPr>
        <w:t>Cathy L. Smith, Secretary</w:t>
      </w:r>
    </w:p>
    <w:p>
      <w:pPr>
        <w:spacing w:after="0" w:line="356"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ACKNOWLEDGMENT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 OF IDAHO</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COUNTY OF ADA</w:t>
      </w:r>
    </w:p>
    <w:p>
      <w:pPr>
        <w:spacing w:after="0" w:line="183"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The foregoing instrument was acknowledged before me this 28th day of January, 1987 by Juan A. Benitez, as President and Cathy L. Smith, as Corporate Secretary of Micron Technology, Inc., a Delaware corporation, on behalf of the corporation and that the same is the act and deed of the corporation and the facts stated therein are true.</w:t>
      </w:r>
    </w:p>
    <w:p>
      <w:pPr>
        <w:spacing w:after="0" w:line="359" w:lineRule="exact"/>
        <w:rPr>
          <w:sz w:val="20"/>
          <w:szCs w:val="20"/>
          <w:color w:val="auto"/>
        </w:rPr>
      </w:pPr>
    </w:p>
    <w:p>
      <w:pPr>
        <w:ind w:left="3160"/>
        <w:spacing w:after="0"/>
        <w:tabs>
          <w:tab w:leader="none" w:pos="4620" w:val="left"/>
        </w:tabs>
        <w:rPr>
          <w:sz w:val="20"/>
          <w:szCs w:val="20"/>
          <w:color w:val="auto"/>
        </w:rPr>
      </w:pPr>
      <w:r>
        <w:rPr>
          <w:rFonts w:ascii="Courier New" w:cs="Courier New" w:eastAsia="Courier New" w:hAnsi="Courier New"/>
          <w:sz w:val="16"/>
          <w:szCs w:val="16"/>
          <w:color w:val="auto"/>
        </w:rPr>
        <w:t>Notary Public</w:t>
      </w:r>
      <w:r>
        <w:rPr>
          <w:sz w:val="20"/>
          <w:szCs w:val="20"/>
          <w:color w:val="auto"/>
        </w:rPr>
        <w:tab/>
      </w:r>
      <w:r>
        <w:rPr>
          <w:rFonts w:ascii="Courier New" w:cs="Courier New" w:eastAsia="Courier New" w:hAnsi="Courier New"/>
          <w:sz w:val="14"/>
          <w:szCs w:val="14"/>
          <w:color w:val="auto"/>
        </w:rPr>
        <w:t>Jill L. Henson</w:t>
      </w:r>
    </w:p>
    <w:p>
      <w:pPr>
        <w:ind w:left="4640"/>
        <w:spacing w:after="0" w:line="236" w:lineRule="auto"/>
        <w:rPr>
          <w:sz w:val="20"/>
          <w:szCs w:val="20"/>
          <w:color w:val="auto"/>
        </w:rPr>
      </w:pPr>
      <w:r>
        <w:rPr>
          <w:rFonts w:ascii="Courier New" w:cs="Courier New" w:eastAsia="Courier New" w:hAnsi="Courier New"/>
          <w:sz w:val="16"/>
          <w:szCs w:val="16"/>
          <w:color w:val="auto"/>
        </w:rPr>
        <w:t>--------------</w:t>
      </w:r>
    </w:p>
    <w:p>
      <w:pPr>
        <w:spacing w:after="0" w:line="177" w:lineRule="exact"/>
        <w:rPr>
          <w:sz w:val="20"/>
          <w:szCs w:val="20"/>
          <w:color w:val="auto"/>
        </w:rPr>
      </w:pPr>
    </w:p>
    <w:p>
      <w:pPr>
        <w:ind w:left="3160"/>
        <w:spacing w:after="0"/>
        <w:tabs>
          <w:tab w:leader="none" w:pos="5380" w:val="left"/>
        </w:tabs>
        <w:rPr>
          <w:sz w:val="20"/>
          <w:szCs w:val="20"/>
          <w:color w:val="auto"/>
        </w:rPr>
      </w:pPr>
      <w:r>
        <w:rPr>
          <w:rFonts w:ascii="Courier New" w:cs="Courier New" w:eastAsia="Courier New" w:hAnsi="Courier New"/>
          <w:sz w:val="16"/>
          <w:szCs w:val="16"/>
          <w:color w:val="auto"/>
        </w:rPr>
        <w:t>My commission expires</w:t>
      </w:r>
      <w:r>
        <w:rPr>
          <w:sz w:val="20"/>
          <w:szCs w:val="20"/>
          <w:color w:val="auto"/>
        </w:rPr>
        <w:tab/>
      </w:r>
      <w:r>
        <w:rPr>
          <w:rFonts w:ascii="Courier New" w:cs="Courier New" w:eastAsia="Courier New" w:hAnsi="Courier New"/>
          <w:sz w:val="14"/>
          <w:szCs w:val="14"/>
          <w:color w:val="auto"/>
        </w:rPr>
        <w:t>7/88</w:t>
      </w:r>
    </w:p>
    <w:p>
      <w:pPr>
        <w:ind w:left="5400"/>
        <w:spacing w:after="0" w:line="236" w:lineRule="auto"/>
        <w:rPr>
          <w:sz w:val="20"/>
          <w:szCs w:val="20"/>
          <w:color w:val="auto"/>
        </w:rPr>
      </w:pPr>
      <w:r>
        <w:rPr>
          <w:rFonts w:ascii="Courier New" w:cs="Courier New" w:eastAsia="Courier New" w:hAnsi="Courier New"/>
          <w:sz w:val="16"/>
          <w:szCs w:val="16"/>
          <w:color w:val="auto"/>
        </w:rPr>
        <w: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(SEAL)</w:t>
      </w:r>
    </w:p>
    <w:p>
      <w:pPr>
        <w:sectPr>
          <w:pgSz w:w="11900" w:h="16838" w:orient="portrait"/>
          <w:cols w:equalWidth="0" w:num="1">
            <w:col w:w="10219"/>
          </w:cols>
          <w:pgMar w:left="240" w:top="654" w:right="1440" w:bottom="1440" w:gutter="0" w:footer="0" w:header="0"/>
        </w:sectPr>
      </w:pPr>
    </w:p>
    <w:bookmarkStart w:id="65" w:name="page66"/>
    <w:bookmarkEnd w:id="65"/>
    <w:p>
      <w:pPr>
        <w:ind w:left="2220"/>
        <w:spacing w:after="0"/>
        <w:rPr>
          <w:sz w:val="20"/>
          <w:szCs w:val="20"/>
          <w:color w:val="auto"/>
        </w:rPr>
      </w:pPr>
      <w:r>
        <w:rPr>
          <w:rFonts w:ascii="Courier New" w:cs="Courier New" w:eastAsia="Courier New" w:hAnsi="Courier New"/>
          <w:sz w:val="16"/>
          <w:szCs w:val="16"/>
          <w:color w:val="auto"/>
        </w:rPr>
        <w:t>CERTIFICATE OF SECOND AMENDMENT</w:t>
      </w:r>
    </w:p>
    <w:p>
      <w:pPr>
        <w:ind w:left="1940"/>
        <w:spacing w:after="0" w:line="236" w:lineRule="auto"/>
        <w:rPr>
          <w:sz w:val="20"/>
          <w:szCs w:val="20"/>
          <w:color w:val="auto"/>
        </w:rPr>
      </w:pPr>
      <w:r>
        <w:rPr>
          <w:rFonts w:ascii="Courier New" w:cs="Courier New" w:eastAsia="Courier New" w:hAnsi="Courier New"/>
          <w:sz w:val="16"/>
          <w:szCs w:val="16"/>
          <w:color w:val="auto"/>
        </w:rPr>
        <w:t>TO THE CERTIFICATE OF INCORPORATION OF</w:t>
      </w:r>
    </w:p>
    <w:p>
      <w:pPr>
        <w:ind w:left="2600"/>
        <w:spacing w:after="0" w:line="237" w:lineRule="auto"/>
        <w:rPr>
          <w:sz w:val="20"/>
          <w:szCs w:val="20"/>
          <w:color w:val="auto"/>
        </w:rPr>
      </w:pPr>
      <w:r>
        <w:rPr>
          <w:rFonts w:ascii="Courier New" w:cs="Courier New" w:eastAsia="Courier New" w:hAnsi="Courier New"/>
          <w:sz w:val="16"/>
          <w:szCs w:val="16"/>
          <w:color w:val="auto"/>
        </w:rPr>
        <w:t>MICRON TECHNOLOGY, INC.</w:t>
      </w:r>
    </w:p>
    <w:p>
      <w:pPr>
        <w:spacing w:after="0" w:line="183"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The undersigned, Randal W. Chance, President and Chief Operating Officer and Cathy L. Smith, Corporate Secretary of Micron Technology, Inc. a Delaware corporation, hereby certify that the following amendment to the Certificate of Incorporation of Micron Technology, Inc. has been duly adopted in accordance with Section 242 of the General Corporation Law of the State of Delaware, as amended. Said amendment was adopted by a resolution of the Board of Directors on October 31, 1988 which sets forth the proposed amendment, declared its advisability and directed that it be considered at the Company's Annual Meeting of Shareholders. At the regularly scheduled 1988 Annual Meeting of Shareholders held on January 30, 1989, after due notice thereof in accordance with the law, a majority of the outstanding stock entitled to vote thereon has been voted in favor of said amendment. Said amendment as adopted and approved amends paragraph 4 of the Certificate of Incorporation to read as follows:</w:t>
      </w:r>
    </w:p>
    <w:p>
      <w:pPr>
        <w:spacing w:after="0" w:line="340" w:lineRule="exact"/>
        <w:rPr>
          <w:sz w:val="20"/>
          <w:szCs w:val="20"/>
          <w:color w:val="auto"/>
        </w:rPr>
      </w:pPr>
    </w:p>
    <w:p>
      <w:pPr>
        <w:ind w:right="3059" w:firstLine="461"/>
        <w:spacing w:after="0" w:line="235" w:lineRule="auto"/>
        <w:tabs>
          <w:tab w:leader="none" w:pos="837"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total number of shares of stock which the corporation shall have authority to issue is one hundred million (100,000,000) and the par value of each of such shares is Ten Cents ($0.10) amounting in the aggregate to Ten Million Dollars ($10,000,000.00).</w:t>
      </w:r>
    </w:p>
    <w:p>
      <w:pPr>
        <w:spacing w:after="0" w:line="185" w:lineRule="exact"/>
        <w:rPr>
          <w:sz w:val="20"/>
          <w:szCs w:val="20"/>
          <w:color w:val="auto"/>
        </w:rPr>
      </w:pPr>
    </w:p>
    <w:p>
      <w:pPr>
        <w:ind w:right="3619" w:firstLine="465"/>
        <w:spacing w:after="0" w:line="295" w:lineRule="auto"/>
        <w:rPr>
          <w:sz w:val="20"/>
          <w:szCs w:val="20"/>
          <w:color w:val="auto"/>
        </w:rPr>
      </w:pPr>
      <w:r>
        <w:rPr>
          <w:rFonts w:ascii="Courier New" w:cs="Courier New" w:eastAsia="Courier New" w:hAnsi="Courier New"/>
          <w:sz w:val="14"/>
          <w:szCs w:val="14"/>
          <w:color w:val="auto"/>
        </w:rPr>
        <w:t>IN WITNESS WHEREOF, we have hereunto set our hands and affixed the corporate seal of said corporation as of the 31st of January, 1989.</w:t>
      </w:r>
    </w:p>
    <w:p>
      <w:pPr>
        <w:spacing w:after="0" w:line="141"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Randal W. Chance</w:t>
      </w:r>
    </w:p>
    <w:p>
      <w:pPr>
        <w:ind w:left="3340"/>
        <w:spacing w:after="0" w:line="236" w:lineRule="auto"/>
        <w:rPr>
          <w:sz w:val="20"/>
          <w:szCs w:val="20"/>
          <w:color w:val="auto"/>
        </w:rPr>
      </w:pPr>
      <w:r>
        <w:rPr>
          <w:rFonts w:ascii="Courier New" w:cs="Courier New" w:eastAsia="Courier New" w:hAnsi="Courier New"/>
          <w:sz w:val="16"/>
          <w:szCs w:val="16"/>
          <w:color w:val="auto"/>
        </w:rPr>
        <w:t>----------------</w:t>
      </w:r>
    </w:p>
    <w:p>
      <w:pPr>
        <w:ind w:left="3340"/>
        <w:spacing w:after="0" w:line="237" w:lineRule="auto"/>
        <w:rPr>
          <w:sz w:val="20"/>
          <w:szCs w:val="20"/>
          <w:color w:val="auto"/>
        </w:rPr>
      </w:pPr>
      <w:r>
        <w:rPr>
          <w:rFonts w:ascii="Courier New" w:cs="Courier New" w:eastAsia="Courier New" w:hAnsi="Courier New"/>
          <w:sz w:val="16"/>
          <w:szCs w:val="16"/>
          <w:color w:val="auto"/>
        </w:rPr>
        <w:t>Randal W. Chance, President and</w:t>
      </w:r>
    </w:p>
    <w:p>
      <w:pPr>
        <w:ind w:left="3340"/>
        <w:spacing w:after="0" w:line="237" w:lineRule="auto"/>
        <w:rPr>
          <w:sz w:val="20"/>
          <w:szCs w:val="20"/>
          <w:color w:val="auto"/>
        </w:rPr>
      </w:pPr>
      <w:r>
        <w:rPr>
          <w:rFonts w:ascii="Courier New" w:cs="Courier New" w:eastAsia="Courier New" w:hAnsi="Courier New"/>
          <w:sz w:val="16"/>
          <w:szCs w:val="16"/>
          <w:color w:val="auto"/>
        </w:rPr>
        <w:t>Chief Operating Officer</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Cathy L. Smith</w:t>
      </w:r>
    </w:p>
    <w:p>
      <w:pPr>
        <w:spacing w:after="0" w:line="236" w:lineRule="auto"/>
        <w:rPr>
          <w:sz w:val="20"/>
          <w:szCs w:val="20"/>
          <w:color w:val="auto"/>
        </w:rPr>
      </w:pPr>
      <w:r>
        <w:rPr>
          <w:rFonts w:ascii="Courier New" w:cs="Courier New" w:eastAsia="Courier New" w:hAnsi="Courier New"/>
          <w:sz w:val="16"/>
          <w:szCs w:val="16"/>
          <w:color w:val="auto"/>
        </w:rPr>
        <w:t>- --------------</w:t>
      </w:r>
    </w:p>
    <w:p>
      <w:pPr>
        <w:spacing w:after="0" w:line="237" w:lineRule="auto"/>
        <w:rPr>
          <w:sz w:val="20"/>
          <w:szCs w:val="20"/>
          <w:color w:val="auto"/>
        </w:rPr>
      </w:pPr>
      <w:r>
        <w:rPr>
          <w:rFonts w:ascii="Courier New" w:cs="Courier New" w:eastAsia="Courier New" w:hAnsi="Courier New"/>
          <w:sz w:val="16"/>
          <w:szCs w:val="16"/>
          <w:color w:val="auto"/>
        </w:rPr>
        <w:t>Cathy L. Smith, Corporate Secretary</w:t>
      </w:r>
    </w:p>
    <w:p>
      <w:pPr>
        <w:spacing w:after="0" w:line="356"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ACKNOWLEDGEMENT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 OF IDAHO</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COUNTY OF ADA</w:t>
      </w:r>
    </w:p>
    <w:p>
      <w:pPr>
        <w:spacing w:after="0" w:line="183"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The foregoing instrument was acknowledged before me this 31st day ofJanuary, 1989 by Randal W. Chance, as President and Chief Operation Officer and Cathy L. Smith as Corporate Secretary of Micron Technology, Inc., a Delware corporation, on behalf of the corporation and that the same is the act and deed of the corporation and the facts stated thereinare true.</w:t>
      </w:r>
    </w:p>
    <w:p>
      <w:pPr>
        <w:spacing w:after="0" w:line="180"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Benicia R. Morrison</w:t>
      </w:r>
    </w:p>
    <w:p>
      <w:pPr>
        <w:ind w:left="3620"/>
        <w:spacing w:after="0" w:line="236" w:lineRule="auto"/>
        <w:rPr>
          <w:sz w:val="20"/>
          <w:szCs w:val="20"/>
          <w:color w:val="auto"/>
        </w:rPr>
      </w:pPr>
      <w:r>
        <w:rPr>
          <w:rFonts w:ascii="Courier New" w:cs="Courier New" w:eastAsia="Courier New" w:hAnsi="Courier New"/>
          <w:sz w:val="16"/>
          <w:szCs w:val="16"/>
          <w:color w:val="auto"/>
        </w:rPr>
        <w:t>-------------------</w:t>
      </w:r>
    </w:p>
    <w:p>
      <w:pPr>
        <w:ind w:left="3620"/>
        <w:spacing w:after="0" w:line="237" w:lineRule="auto"/>
        <w:rPr>
          <w:sz w:val="20"/>
          <w:szCs w:val="20"/>
          <w:color w:val="auto"/>
        </w:rPr>
      </w:pPr>
      <w:r>
        <w:rPr>
          <w:rFonts w:ascii="Courier New" w:cs="Courier New" w:eastAsia="Courier New" w:hAnsi="Courier New"/>
          <w:sz w:val="16"/>
          <w:szCs w:val="16"/>
          <w:color w:val="auto"/>
        </w:rPr>
        <w:t>Notary Public</w:t>
      </w:r>
    </w:p>
    <w:p>
      <w:pPr>
        <w:ind w:left="3620"/>
        <w:spacing w:after="0" w:line="237" w:lineRule="auto"/>
        <w:rPr>
          <w:sz w:val="20"/>
          <w:szCs w:val="20"/>
          <w:color w:val="auto"/>
        </w:rPr>
      </w:pPr>
      <w:r>
        <w:rPr>
          <w:rFonts w:ascii="Courier New" w:cs="Courier New" w:eastAsia="Courier New" w:hAnsi="Courier New"/>
          <w:sz w:val="16"/>
          <w:szCs w:val="16"/>
          <w:color w:val="auto"/>
        </w:rPr>
        <w:t>My Commission Expires 6-24-94</w:t>
      </w:r>
    </w:p>
    <w:p>
      <w:pPr>
        <w:ind w:left="5660"/>
        <w:spacing w:after="0" w:line="237" w:lineRule="auto"/>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(SEAL)</w:t>
      </w:r>
    </w:p>
    <w:p>
      <w:pPr>
        <w:sectPr>
          <w:pgSz w:w="11900" w:h="16838" w:orient="portrait"/>
          <w:cols w:equalWidth="0" w:num="1">
            <w:col w:w="10219"/>
          </w:cols>
          <w:pgMar w:left="240" w:top="648" w:right="1440" w:bottom="1440" w:gutter="0" w:footer="0" w:header="0"/>
        </w:sectPr>
      </w:pPr>
    </w:p>
    <w:bookmarkStart w:id="66" w:name="page67"/>
    <w:bookmarkEnd w:id="66"/>
    <w:p>
      <w:pPr>
        <w:ind w:left="2320"/>
        <w:spacing w:after="0"/>
        <w:rPr>
          <w:sz w:val="20"/>
          <w:szCs w:val="20"/>
          <w:color w:val="auto"/>
        </w:rPr>
      </w:pPr>
      <w:r>
        <w:rPr>
          <w:rFonts w:ascii="Courier New" w:cs="Courier New" w:eastAsia="Courier New" w:hAnsi="Courier New"/>
          <w:sz w:val="16"/>
          <w:szCs w:val="16"/>
          <w:color w:val="auto"/>
        </w:rPr>
        <w:t>CERTIFICATE OF THIRD AMENDMENT</w:t>
      </w:r>
    </w:p>
    <w:p>
      <w:pPr>
        <w:ind w:left="1940"/>
        <w:spacing w:after="0" w:line="236" w:lineRule="auto"/>
        <w:rPr>
          <w:sz w:val="20"/>
          <w:szCs w:val="20"/>
          <w:color w:val="auto"/>
        </w:rPr>
      </w:pPr>
      <w:r>
        <w:rPr>
          <w:rFonts w:ascii="Courier New" w:cs="Courier New" w:eastAsia="Courier New" w:hAnsi="Courier New"/>
          <w:sz w:val="16"/>
          <w:szCs w:val="16"/>
          <w:color w:val="auto"/>
        </w:rPr>
        <w:t>TO THE CERTIFICATE OF INCORPORATION OF</w:t>
      </w:r>
    </w:p>
    <w:p>
      <w:pPr>
        <w:ind w:left="2600"/>
        <w:spacing w:after="0" w:line="237" w:lineRule="auto"/>
        <w:rPr>
          <w:sz w:val="20"/>
          <w:szCs w:val="20"/>
          <w:color w:val="auto"/>
        </w:rPr>
      </w:pPr>
      <w:r>
        <w:rPr>
          <w:rFonts w:ascii="Courier New" w:cs="Courier New" w:eastAsia="Courier New" w:hAnsi="Courier New"/>
          <w:sz w:val="16"/>
          <w:szCs w:val="16"/>
          <w:color w:val="auto"/>
        </w:rPr>
        <w:t>MICRON TECHNOLOGY, INC.</w:t>
      </w:r>
    </w:p>
    <w:p>
      <w:pPr>
        <w:spacing w:after="0" w:line="183"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The undersigned, James W. Garrett, President and Chief Operating Officer and Jill L. Devereaux, Assistant Corporate Secretary of Micron Technology, Inc. a Delaware corporation, hereby certify that the following amendment to the Certificate of Incorporation of Micron Technology, Inc. has been duly adopted in accordance with Section 242 of the General Corporation Law of the State of Delaware, as amended. Said amendment was adopted by a resolution of the Board of Directors on December 2, 1993 which set forth the proposed amendment, declared its advisability and directed that it be considered at the Company's Annual Meeting of Shareholders. At the regularly scheduled 1993 Annual Meeting of Shareholders duly held on January 31, 1994, after due notice thereof in accordance with applicable law, a majority of the outstanding stock entitled to vote thereon voted in favor of said amendment. Said amendment as adopted and approved amends paragraph 4 of the Certificate of Incorporation to read as follows:</w:t>
      </w:r>
    </w:p>
    <w:p>
      <w:pPr>
        <w:spacing w:after="0" w:line="188" w:lineRule="exact"/>
        <w:rPr>
          <w:sz w:val="20"/>
          <w:szCs w:val="20"/>
          <w:color w:val="auto"/>
        </w:rPr>
      </w:pPr>
    </w:p>
    <w:p>
      <w:pPr>
        <w:ind w:right="2879" w:firstLine="461"/>
        <w:spacing w:after="0" w:line="235" w:lineRule="auto"/>
        <w:tabs>
          <w:tab w:leader="none" w:pos="837"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total number of shares of stock which the corporation shall have authority to issue is one hundred fifty million (150,000,000) and the par value of each of such shares is Ten Cents ($0.10).</w:t>
      </w:r>
    </w:p>
    <w:p>
      <w:pPr>
        <w:spacing w:after="0" w:line="183" w:lineRule="exact"/>
        <w:rPr>
          <w:sz w:val="20"/>
          <w:szCs w:val="20"/>
          <w:color w:val="auto"/>
        </w:rPr>
      </w:pPr>
    </w:p>
    <w:p>
      <w:pPr>
        <w:ind w:right="2879" w:firstLine="465"/>
        <w:spacing w:after="0" w:line="295" w:lineRule="auto"/>
        <w:rPr>
          <w:sz w:val="20"/>
          <w:szCs w:val="20"/>
          <w:color w:val="auto"/>
        </w:rPr>
      </w:pPr>
      <w:r>
        <w:rPr>
          <w:rFonts w:ascii="Courier New" w:cs="Courier New" w:eastAsia="Courier New" w:hAnsi="Courier New"/>
          <w:sz w:val="14"/>
          <w:szCs w:val="14"/>
          <w:color w:val="auto"/>
        </w:rPr>
        <w:t>IN WITNESS WHEREOF, this Certificate of Third Amendment to the Company's Certificate of Incorporation have been executed this 8th day of February, 1994.</w:t>
      </w:r>
    </w:p>
    <w:p>
      <w:pPr>
        <w:spacing w:after="0" w:line="320"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James W. Garrett</w:t>
      </w:r>
    </w:p>
    <w:p>
      <w:pPr>
        <w:ind w:left="3720"/>
        <w:spacing w:after="0" w:line="236" w:lineRule="auto"/>
        <w:rPr>
          <w:sz w:val="20"/>
          <w:szCs w:val="20"/>
          <w:color w:val="auto"/>
        </w:rPr>
      </w:pPr>
      <w:r>
        <w:rPr>
          <w:rFonts w:ascii="Courier New" w:cs="Courier New" w:eastAsia="Courier New" w:hAnsi="Courier New"/>
          <w:sz w:val="16"/>
          <w:szCs w:val="16"/>
          <w:color w:val="auto"/>
        </w:rPr>
        <w:t>----------------</w:t>
      </w:r>
    </w:p>
    <w:p>
      <w:pPr>
        <w:ind w:left="3720"/>
        <w:spacing w:after="0" w:line="237" w:lineRule="auto"/>
        <w:rPr>
          <w:sz w:val="20"/>
          <w:szCs w:val="20"/>
          <w:color w:val="auto"/>
        </w:rPr>
      </w:pPr>
      <w:r>
        <w:rPr>
          <w:rFonts w:ascii="Courier New" w:cs="Courier New" w:eastAsia="Courier New" w:hAnsi="Courier New"/>
          <w:sz w:val="16"/>
          <w:szCs w:val="16"/>
          <w:color w:val="auto"/>
        </w:rPr>
        <w:t>James W. Garrett, President and</w:t>
      </w:r>
    </w:p>
    <w:p>
      <w:pPr>
        <w:ind w:left="3720"/>
        <w:spacing w:after="0" w:line="237" w:lineRule="auto"/>
        <w:rPr>
          <w:sz w:val="20"/>
          <w:szCs w:val="20"/>
          <w:color w:val="auto"/>
        </w:rPr>
      </w:pPr>
      <w:r>
        <w:rPr>
          <w:rFonts w:ascii="Courier New" w:cs="Courier New" w:eastAsia="Courier New" w:hAnsi="Courier New"/>
          <w:sz w:val="16"/>
          <w:szCs w:val="16"/>
          <w:color w:val="auto"/>
        </w:rPr>
        <w:t>Chief Operating Officer</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Jill L. Devereaux</w:t>
      </w:r>
    </w:p>
    <w:p>
      <w:pPr>
        <w:spacing w:after="0" w:line="236" w:lineRule="auto"/>
        <w:rPr>
          <w:sz w:val="20"/>
          <w:szCs w:val="20"/>
          <w:color w:val="auto"/>
        </w:rPr>
      </w:pPr>
      <w:r>
        <w:rPr>
          <w:rFonts w:ascii="Courier New" w:cs="Courier New" w:eastAsia="Courier New" w:hAnsi="Courier New"/>
          <w:sz w:val="16"/>
          <w:szCs w:val="16"/>
          <w:color w:val="auto"/>
        </w:rPr>
        <w:t>- -----------------</w:t>
      </w:r>
    </w:p>
    <w:p>
      <w:pPr>
        <w:spacing w:after="0" w:line="237" w:lineRule="auto"/>
        <w:rPr>
          <w:sz w:val="20"/>
          <w:szCs w:val="20"/>
          <w:color w:val="auto"/>
        </w:rPr>
      </w:pPr>
      <w:r>
        <w:rPr>
          <w:rFonts w:ascii="Courier New" w:cs="Courier New" w:eastAsia="Courier New" w:hAnsi="Courier New"/>
          <w:sz w:val="16"/>
          <w:szCs w:val="16"/>
          <w:color w:val="auto"/>
        </w:rPr>
        <w:t>Jill L. Devereaux, Assistant Corporate</w:t>
      </w:r>
    </w:p>
    <w:p>
      <w:pPr>
        <w:spacing w:after="0" w:line="237" w:lineRule="auto"/>
        <w:rPr>
          <w:sz w:val="20"/>
          <w:szCs w:val="20"/>
          <w:color w:val="auto"/>
        </w:rPr>
      </w:pPr>
      <w:r>
        <w:rPr>
          <w:rFonts w:ascii="Courier New" w:cs="Courier New" w:eastAsia="Courier New" w:hAnsi="Courier New"/>
          <w:sz w:val="16"/>
          <w:szCs w:val="16"/>
          <w:color w:val="auto"/>
        </w:rPr>
        <w:t>Secretary</w:t>
      </w:r>
    </w:p>
    <w:p>
      <w:pPr>
        <w:spacing w:after="0" w:line="183"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I, Sherilyn Maxfield, a notary public, do hereby certify that on this 8th day of February, 1994, personally appeared before me James W. Garrett and Jill L. Devereaux who, being by me first duly sworn, declared that they are the President and Chief Operating Officer and Assistant Corporate Secretary, respectively, of Micron Technology, Inc., that they signed the foregoing document as President and Chief Operating Officer and Assistant Corporate Secretary of the corporation, and that the statements therein contained are true.</w:t>
      </w:r>
    </w:p>
    <w:p>
      <w:pPr>
        <w:spacing w:after="0" w:line="17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Sherilyn Maxfield</w:t>
      </w:r>
    </w:p>
    <w:p>
      <w:pPr>
        <w:ind w:left="3720"/>
        <w:spacing w:after="0" w:line="236" w:lineRule="auto"/>
        <w:rPr>
          <w:sz w:val="20"/>
          <w:szCs w:val="20"/>
          <w:color w:val="auto"/>
        </w:rPr>
      </w:pPr>
      <w:r>
        <w:rPr>
          <w:rFonts w:ascii="Courier New" w:cs="Courier New" w:eastAsia="Courier New" w:hAnsi="Courier New"/>
          <w:sz w:val="16"/>
          <w:szCs w:val="16"/>
          <w:color w:val="auto"/>
        </w:rPr>
        <w:t>-----------------</w:t>
      </w:r>
    </w:p>
    <w:p>
      <w:pPr>
        <w:ind w:left="3720"/>
        <w:spacing w:after="0" w:line="237" w:lineRule="auto"/>
        <w:rPr>
          <w:sz w:val="20"/>
          <w:szCs w:val="20"/>
          <w:color w:val="auto"/>
        </w:rPr>
      </w:pPr>
      <w:r>
        <w:rPr>
          <w:rFonts w:ascii="Courier New" w:cs="Courier New" w:eastAsia="Courier New" w:hAnsi="Courier New"/>
          <w:sz w:val="16"/>
          <w:szCs w:val="16"/>
          <w:color w:val="auto"/>
        </w:rPr>
        <w:t>Notary Public</w:t>
      </w:r>
    </w:p>
    <w:p>
      <w:pPr>
        <w:ind w:left="3720"/>
        <w:spacing w:after="0" w:line="237" w:lineRule="auto"/>
        <w:rPr>
          <w:sz w:val="20"/>
          <w:szCs w:val="20"/>
          <w:color w:val="auto"/>
        </w:rPr>
      </w:pPr>
      <w:r>
        <w:rPr>
          <w:rFonts w:ascii="Courier New" w:cs="Courier New" w:eastAsia="Courier New" w:hAnsi="Courier New"/>
          <w:sz w:val="16"/>
          <w:szCs w:val="16"/>
          <w:color w:val="auto"/>
        </w:rPr>
        <w:t>Residing at Boise, Idaho</w:t>
      </w:r>
    </w:p>
    <w:p>
      <w:pPr>
        <w:ind w:left="4840"/>
        <w:spacing w:after="0" w:line="237" w:lineRule="auto"/>
        <w:rPr>
          <w:sz w:val="20"/>
          <w:szCs w:val="20"/>
          <w:color w:val="auto"/>
        </w:rPr>
      </w:pPr>
      <w:r>
        <w:rPr>
          <w:rFonts w:ascii="Courier New" w:cs="Courier New" w:eastAsia="Courier New" w:hAnsi="Courier New"/>
          <w:sz w:val="16"/>
          <w:szCs w:val="16"/>
          <w:color w:val="auto"/>
        </w:rPr>
        <w:t>------------</w:t>
      </w:r>
    </w:p>
    <w:p>
      <w:pPr>
        <w:spacing w:after="0"/>
        <w:tabs>
          <w:tab w:leader="none" w:pos="1840" w:val="left"/>
        </w:tabs>
        <w:rPr>
          <w:sz w:val="20"/>
          <w:szCs w:val="20"/>
          <w:color w:val="auto"/>
        </w:rPr>
      </w:pPr>
      <w:r>
        <w:rPr>
          <w:rFonts w:ascii="Courier New" w:cs="Courier New" w:eastAsia="Courier New" w:hAnsi="Courier New"/>
          <w:sz w:val="16"/>
          <w:szCs w:val="16"/>
          <w:color w:val="auto"/>
        </w:rPr>
        <w:t>Commission Expires</w:t>
      </w:r>
      <w:r>
        <w:rPr>
          <w:sz w:val="20"/>
          <w:szCs w:val="20"/>
          <w:color w:val="auto"/>
        </w:rPr>
        <w:tab/>
      </w:r>
      <w:r>
        <w:rPr>
          <w:rFonts w:ascii="Courier New" w:cs="Courier New" w:eastAsia="Courier New" w:hAnsi="Courier New"/>
          <w:sz w:val="14"/>
          <w:szCs w:val="14"/>
          <w:color w:val="auto"/>
        </w:rPr>
        <w:t>10/21/97</w:t>
      </w:r>
    </w:p>
    <w:p>
      <w:pPr>
        <w:ind w:left="1860"/>
        <w:spacing w:after="0" w:line="237" w:lineRule="auto"/>
        <w:rPr>
          <w:sz w:val="20"/>
          <w:szCs w:val="20"/>
          <w:color w:val="auto"/>
        </w:rPr>
      </w:pPr>
      <w:r>
        <w:rPr>
          <w:rFonts w:ascii="Courier New" w:cs="Courier New" w:eastAsia="Courier New" w:hAnsi="Courier New"/>
          <w:sz w:val="16"/>
          <w:szCs w:val="16"/>
          <w:color w:val="auto"/>
        </w:rPr>
        <w: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(seal)</w:t>
      </w:r>
    </w:p>
    <w:p>
      <w:pPr>
        <w:sectPr>
          <w:pgSz w:w="11900" w:h="16838" w:orient="portrait"/>
          <w:cols w:equalWidth="0" w:num="1">
            <w:col w:w="10219"/>
          </w:cols>
          <w:pgMar w:left="240" w:top="648" w:right="1440" w:bottom="1440" w:gutter="0" w:footer="0" w:header="0"/>
        </w:sectPr>
      </w:pPr>
    </w:p>
    <w:bookmarkStart w:id="67" w:name="page68"/>
    <w:bookmarkEnd w:id="67"/>
    <w:p>
      <w:pPr>
        <w:ind w:left="2220"/>
        <w:spacing w:after="0"/>
        <w:rPr>
          <w:sz w:val="20"/>
          <w:szCs w:val="20"/>
          <w:color w:val="auto"/>
        </w:rPr>
      </w:pPr>
      <w:r>
        <w:rPr>
          <w:rFonts w:ascii="Courier New" w:cs="Courier New" w:eastAsia="Courier New" w:hAnsi="Courier New"/>
          <w:sz w:val="16"/>
          <w:szCs w:val="16"/>
          <w:color w:val="auto"/>
        </w:rPr>
        <w:t>CERTIFICATE OF FOURTH AMENDMENT</w:t>
      </w:r>
    </w:p>
    <w:p>
      <w:pPr>
        <w:ind w:left="1940"/>
        <w:spacing w:after="0" w:line="236" w:lineRule="auto"/>
        <w:rPr>
          <w:sz w:val="20"/>
          <w:szCs w:val="20"/>
          <w:color w:val="auto"/>
        </w:rPr>
      </w:pPr>
      <w:r>
        <w:rPr>
          <w:rFonts w:ascii="Courier New" w:cs="Courier New" w:eastAsia="Courier New" w:hAnsi="Courier New"/>
          <w:sz w:val="16"/>
          <w:szCs w:val="16"/>
          <w:color w:val="auto"/>
        </w:rPr>
        <w:t>TO THE CERTIFICATE OF INCORPORATION OF</w:t>
      </w:r>
    </w:p>
    <w:p>
      <w:pPr>
        <w:ind w:left="2600"/>
        <w:spacing w:after="0" w:line="237" w:lineRule="auto"/>
        <w:rPr>
          <w:sz w:val="20"/>
          <w:szCs w:val="20"/>
          <w:color w:val="auto"/>
        </w:rPr>
      </w:pPr>
      <w:r>
        <w:rPr>
          <w:rFonts w:ascii="Courier New" w:cs="Courier New" w:eastAsia="Courier New" w:hAnsi="Courier New"/>
          <w:sz w:val="16"/>
          <w:szCs w:val="16"/>
          <w:color w:val="auto"/>
        </w:rPr>
        <w:t>MICRON TECHNOLOGY, INC.</w:t>
      </w:r>
    </w:p>
    <w:p>
      <w:pPr>
        <w:spacing w:after="0" w:line="183"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The undersigned, Steven R. Appleton, Chief Executive Officer and President and Cathy L. Smith, Corporate Secretary of Micron Technology, Inc. a Delaware corporation, hereby certify that the following amendment to the Certificate of Incorporation of Micron Technology, Inc. has been duly adopted in accordance with Section 242 of the General Corporation Law of the State of Delaware, as amended. Said amendment was adopted by a resolution of the Board of Directors on October 27, 1994 which set forth the proposed amendment, declared its advisability and directed that it be considered at the Company's Annual Meeting of Shareholders. At the regularly scheduled 1994 Annual Meeting of Shareholders duly held on January 30, 1995, after due notice thereof in accordance with applicable law, a majority of the outstanding stock entitled to vote thereon voted in favor of said amendment. Said amendment as adopted and approved amends paragraph 4 of the Certificate of Incorporation to read as follows:</w:t>
      </w:r>
    </w:p>
    <w:p>
      <w:pPr>
        <w:spacing w:after="0" w:line="340" w:lineRule="exact"/>
        <w:rPr>
          <w:sz w:val="20"/>
          <w:szCs w:val="20"/>
          <w:color w:val="auto"/>
        </w:rPr>
      </w:pPr>
    </w:p>
    <w:p>
      <w:pPr>
        <w:ind w:right="2959" w:firstLine="461"/>
        <w:spacing w:after="0" w:line="235" w:lineRule="auto"/>
        <w:tabs>
          <w:tab w:leader="none" w:pos="837"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total number of shares of stock which the corporation shall have authority to issue is three hundred million (300,000,000) and the par value of each of such shares is Ten Cents ($0.10).</w:t>
      </w:r>
    </w:p>
    <w:p>
      <w:pPr>
        <w:spacing w:after="0" w:line="183" w:lineRule="exact"/>
        <w:rPr>
          <w:sz w:val="20"/>
          <w:szCs w:val="20"/>
          <w:color w:val="auto"/>
        </w:rPr>
      </w:pPr>
    </w:p>
    <w:p>
      <w:pPr>
        <w:ind w:right="2879" w:firstLine="465"/>
        <w:spacing w:after="0" w:line="295" w:lineRule="auto"/>
        <w:rPr>
          <w:sz w:val="20"/>
          <w:szCs w:val="20"/>
          <w:color w:val="auto"/>
        </w:rPr>
      </w:pPr>
      <w:r>
        <w:rPr>
          <w:rFonts w:ascii="Courier New" w:cs="Courier New" w:eastAsia="Courier New" w:hAnsi="Courier New"/>
          <w:sz w:val="14"/>
          <w:szCs w:val="14"/>
          <w:color w:val="auto"/>
        </w:rPr>
        <w:t>IN WITNESS WHEREOF, this Certificate of Fourth Amendment to the Company's Certificate of Incorporation have been executed this 30th day of January, 1995.</w:t>
      </w:r>
    </w:p>
    <w:p>
      <w:pPr>
        <w:spacing w:after="0" w:line="320"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Steven R. Appleton</w:t>
      </w:r>
    </w:p>
    <w:p>
      <w:pPr>
        <w:ind w:left="3720"/>
        <w:spacing w:after="0" w:line="236" w:lineRule="auto"/>
        <w:rPr>
          <w:sz w:val="20"/>
          <w:szCs w:val="20"/>
          <w:color w:val="auto"/>
        </w:rPr>
      </w:pPr>
      <w:r>
        <w:rPr>
          <w:rFonts w:ascii="Courier New" w:cs="Courier New" w:eastAsia="Courier New" w:hAnsi="Courier New"/>
          <w:sz w:val="16"/>
          <w:szCs w:val="16"/>
          <w:color w:val="auto"/>
        </w:rPr>
        <w:t>------------------</w:t>
      </w:r>
    </w:p>
    <w:p>
      <w:pPr>
        <w:ind w:left="3720"/>
        <w:spacing w:after="0" w:line="237" w:lineRule="auto"/>
        <w:rPr>
          <w:sz w:val="20"/>
          <w:szCs w:val="20"/>
          <w:color w:val="auto"/>
        </w:rPr>
      </w:pPr>
      <w:r>
        <w:rPr>
          <w:rFonts w:ascii="Courier New" w:cs="Courier New" w:eastAsia="Courier New" w:hAnsi="Courier New"/>
          <w:sz w:val="16"/>
          <w:szCs w:val="16"/>
          <w:color w:val="auto"/>
        </w:rPr>
        <w:t>Steven R. Appleton, Chairman,</w:t>
      </w:r>
    </w:p>
    <w:p>
      <w:pPr>
        <w:ind w:left="3720"/>
        <w:spacing w:after="0" w:line="237" w:lineRule="auto"/>
        <w:rPr>
          <w:sz w:val="20"/>
          <w:szCs w:val="20"/>
          <w:color w:val="auto"/>
        </w:rPr>
      </w:pPr>
      <w:r>
        <w:rPr>
          <w:rFonts w:ascii="Courier New" w:cs="Courier New" w:eastAsia="Courier New" w:hAnsi="Courier New"/>
          <w:sz w:val="16"/>
          <w:szCs w:val="16"/>
          <w:color w:val="auto"/>
        </w:rPr>
        <w:t>Chief Executive Officer and</w:t>
      </w:r>
    </w:p>
    <w:p>
      <w:pPr>
        <w:ind w:left="3720"/>
        <w:spacing w:after="0" w:line="237" w:lineRule="auto"/>
        <w:rPr>
          <w:sz w:val="20"/>
          <w:szCs w:val="20"/>
          <w:color w:val="auto"/>
        </w:rPr>
      </w:pPr>
      <w:r>
        <w:rPr>
          <w:rFonts w:ascii="Courier New" w:cs="Courier New" w:eastAsia="Courier New" w:hAnsi="Courier New"/>
          <w:sz w:val="16"/>
          <w:szCs w:val="16"/>
          <w:color w:val="auto"/>
        </w:rPr>
        <w:t>President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Cathy L. Smith</w:t>
      </w:r>
    </w:p>
    <w:p>
      <w:pPr>
        <w:spacing w:after="0" w:line="236" w:lineRule="auto"/>
        <w:rPr>
          <w:sz w:val="20"/>
          <w:szCs w:val="20"/>
          <w:color w:val="auto"/>
        </w:rPr>
      </w:pPr>
      <w:r>
        <w:rPr>
          <w:rFonts w:ascii="Courier New" w:cs="Courier New" w:eastAsia="Courier New" w:hAnsi="Courier New"/>
          <w:sz w:val="16"/>
          <w:szCs w:val="16"/>
          <w:color w:val="auto"/>
        </w:rPr>
        <w:t>- --------------</w:t>
      </w:r>
    </w:p>
    <w:p>
      <w:pPr>
        <w:spacing w:after="0" w:line="237" w:lineRule="auto"/>
        <w:rPr>
          <w:sz w:val="20"/>
          <w:szCs w:val="20"/>
          <w:color w:val="auto"/>
        </w:rPr>
      </w:pPr>
      <w:r>
        <w:rPr>
          <w:rFonts w:ascii="Courier New" w:cs="Courier New" w:eastAsia="Courier New" w:hAnsi="Courier New"/>
          <w:sz w:val="16"/>
          <w:szCs w:val="16"/>
          <w:color w:val="auto"/>
        </w:rPr>
        <w:t>Cathy L. Smith, Corporate Secretary</w:t>
      </w:r>
    </w:p>
    <w:p>
      <w:pPr>
        <w:spacing w:after="0" w:line="183" w:lineRule="exact"/>
        <w:rPr>
          <w:sz w:val="20"/>
          <w:szCs w:val="20"/>
          <w:color w:val="auto"/>
        </w:rPr>
      </w:pPr>
    </w:p>
    <w:p>
      <w:pPr>
        <w:ind w:right="2779" w:firstLine="465"/>
        <w:spacing w:after="0" w:line="274" w:lineRule="auto"/>
        <w:rPr>
          <w:sz w:val="20"/>
          <w:szCs w:val="20"/>
          <w:color w:val="auto"/>
        </w:rPr>
      </w:pPr>
      <w:r>
        <w:rPr>
          <w:rFonts w:ascii="Courier New" w:cs="Courier New" w:eastAsia="Courier New" w:hAnsi="Courier New"/>
          <w:sz w:val="14"/>
          <w:szCs w:val="14"/>
          <w:color w:val="auto"/>
        </w:rPr>
        <w:t>I, Sherilyn Maxfield, a notary public, do hereby certify that on this 30th day of January, 1995, personally appeared before me Steven R. Appleton and Cathy L. Smith who, being by me first duly sworn, declared that they are the Chairman, Chief Executive Officer and President and Corporate Secretary, respectively, of Micron Technology, Inc., that they signed the foregoing document as Chairman, Chief Executive Officer and President and Corporate Secretary of the corporation, and that the statements therein contained are true.</w:t>
      </w:r>
    </w:p>
    <w:p>
      <w:pPr>
        <w:spacing w:after="0" w:line="15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Sherilyn Maxfield</w:t>
      </w:r>
    </w:p>
    <w:p>
      <w:pPr>
        <w:ind w:left="3720"/>
        <w:spacing w:after="0" w:line="236" w:lineRule="auto"/>
        <w:rPr>
          <w:sz w:val="20"/>
          <w:szCs w:val="20"/>
          <w:color w:val="auto"/>
        </w:rPr>
      </w:pPr>
      <w:r>
        <w:rPr>
          <w:rFonts w:ascii="Courier New" w:cs="Courier New" w:eastAsia="Courier New" w:hAnsi="Courier New"/>
          <w:sz w:val="16"/>
          <w:szCs w:val="16"/>
          <w:color w:val="auto"/>
        </w:rPr>
        <w:t>-----------------</w:t>
      </w:r>
    </w:p>
    <w:p>
      <w:pPr>
        <w:ind w:left="3720"/>
        <w:spacing w:after="0" w:line="237" w:lineRule="auto"/>
        <w:rPr>
          <w:sz w:val="20"/>
          <w:szCs w:val="20"/>
          <w:color w:val="auto"/>
        </w:rPr>
      </w:pPr>
      <w:r>
        <w:rPr>
          <w:rFonts w:ascii="Courier New" w:cs="Courier New" w:eastAsia="Courier New" w:hAnsi="Courier New"/>
          <w:sz w:val="16"/>
          <w:szCs w:val="16"/>
          <w:color w:val="auto"/>
        </w:rPr>
        <w:t>Notary Public</w:t>
      </w:r>
    </w:p>
    <w:p>
      <w:pPr>
        <w:ind w:left="3720"/>
        <w:spacing w:after="0" w:line="237" w:lineRule="auto"/>
        <w:rPr>
          <w:sz w:val="20"/>
          <w:szCs w:val="20"/>
          <w:color w:val="auto"/>
        </w:rPr>
      </w:pPr>
      <w:r>
        <w:rPr>
          <w:rFonts w:ascii="Courier New" w:cs="Courier New" w:eastAsia="Courier New" w:hAnsi="Courier New"/>
          <w:sz w:val="16"/>
          <w:szCs w:val="16"/>
          <w:color w:val="auto"/>
        </w:rPr>
        <w:t>Residing at Ada County</w:t>
      </w:r>
    </w:p>
    <w:p>
      <w:pPr>
        <w:ind w:left="4840"/>
        <w:spacing w:after="0" w:line="237" w:lineRule="auto"/>
        <w:rPr>
          <w:sz w:val="20"/>
          <w:szCs w:val="20"/>
          <w:color w:val="auto"/>
        </w:rPr>
      </w:pPr>
      <w:r>
        <w:rPr>
          <w:rFonts w:ascii="Courier New" w:cs="Courier New" w:eastAsia="Courier New" w:hAnsi="Courier New"/>
          <w:sz w:val="16"/>
          <w:szCs w:val="16"/>
          <w:color w:val="auto"/>
        </w:rPr>
        <w:t>----------</w:t>
      </w:r>
    </w:p>
    <w:p>
      <w:pPr>
        <w:ind w:left="3720"/>
        <w:spacing w:after="0"/>
        <w:tabs>
          <w:tab w:leader="none" w:pos="5560" w:val="left"/>
        </w:tabs>
        <w:rPr>
          <w:sz w:val="20"/>
          <w:szCs w:val="20"/>
          <w:color w:val="auto"/>
        </w:rPr>
      </w:pPr>
      <w:r>
        <w:rPr>
          <w:rFonts w:ascii="Courier New" w:cs="Courier New" w:eastAsia="Courier New" w:hAnsi="Courier New"/>
          <w:sz w:val="16"/>
          <w:szCs w:val="16"/>
          <w:color w:val="auto"/>
        </w:rPr>
        <w:t>Commission Expires</w:t>
      </w:r>
      <w:r>
        <w:rPr>
          <w:sz w:val="20"/>
          <w:szCs w:val="20"/>
          <w:color w:val="auto"/>
        </w:rPr>
        <w:tab/>
      </w:r>
      <w:r>
        <w:rPr>
          <w:rFonts w:ascii="Courier New" w:cs="Courier New" w:eastAsia="Courier New" w:hAnsi="Courier New"/>
          <w:sz w:val="14"/>
          <w:szCs w:val="14"/>
          <w:color w:val="auto"/>
        </w:rPr>
        <w:t>10/21/97</w:t>
      </w:r>
    </w:p>
    <w:p>
      <w:pPr>
        <w:ind w:left="5580"/>
        <w:spacing w:after="0" w:line="237" w:lineRule="auto"/>
        <w:rPr>
          <w:sz w:val="20"/>
          <w:szCs w:val="20"/>
          <w:color w:val="auto"/>
        </w:rPr>
      </w:pPr>
      <w:r>
        <w:rPr>
          <w:rFonts w:ascii="Courier New" w:cs="Courier New" w:eastAsia="Courier New" w:hAnsi="Courier New"/>
          <w:sz w:val="16"/>
          <w:szCs w:val="16"/>
          <w:color w:val="auto"/>
        </w:rPr>
        <w: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(seal)</w:t>
      </w:r>
    </w:p>
    <w:p>
      <w:pPr>
        <w:sectPr>
          <w:pgSz w:w="11900" w:h="16838" w:orient="portrait"/>
          <w:cols w:equalWidth="0" w:num="1">
            <w:col w:w="10219"/>
          </w:cols>
          <w:pgMar w:left="240" w:top="648" w:right="1440" w:bottom="1440" w:gutter="0" w:footer="0" w:header="0"/>
        </w:sectPr>
      </w:pPr>
    </w:p>
    <w:bookmarkStart w:id="68" w:name="page69"/>
    <w:bookmarkEnd w:id="68"/>
    <w:p>
      <w:pPr>
        <w:ind w:left="2325"/>
        <w:spacing w:after="0"/>
        <w:rPr>
          <w:sz w:val="20"/>
          <w:szCs w:val="20"/>
          <w:color w:val="auto"/>
        </w:rPr>
      </w:pPr>
      <w:r>
        <w:rPr>
          <w:rFonts w:ascii="Courier New" w:cs="Courier New" w:eastAsia="Courier New" w:hAnsi="Courier New"/>
          <w:sz w:val="16"/>
          <w:szCs w:val="16"/>
          <w:color w:val="auto"/>
        </w:rPr>
        <w:t>CERTIFICATE OF FIFTH AMENDMENT</w:t>
      </w:r>
    </w:p>
    <w:p>
      <w:pPr>
        <w:ind w:left="1945"/>
        <w:spacing w:after="0" w:line="236" w:lineRule="auto"/>
        <w:rPr>
          <w:sz w:val="20"/>
          <w:szCs w:val="20"/>
          <w:color w:val="auto"/>
        </w:rPr>
      </w:pPr>
      <w:r>
        <w:rPr>
          <w:rFonts w:ascii="Courier New" w:cs="Courier New" w:eastAsia="Courier New" w:hAnsi="Courier New"/>
          <w:sz w:val="16"/>
          <w:szCs w:val="16"/>
          <w:color w:val="auto"/>
        </w:rPr>
        <w:t>TO THE CERTIFICATE OF INCORPORATION OF</w:t>
      </w:r>
    </w:p>
    <w:p>
      <w:pPr>
        <w:ind w:left="2605"/>
        <w:spacing w:after="0" w:line="237" w:lineRule="auto"/>
        <w:rPr>
          <w:sz w:val="20"/>
          <w:szCs w:val="20"/>
          <w:color w:val="auto"/>
        </w:rPr>
      </w:pPr>
      <w:r>
        <w:rPr>
          <w:rFonts w:ascii="Courier New" w:cs="Courier New" w:eastAsia="Courier New" w:hAnsi="Courier New"/>
          <w:sz w:val="16"/>
          <w:szCs w:val="16"/>
          <w:color w:val="auto"/>
        </w:rPr>
        <w:t>MICRON TECHNOLOGY, INC.</w:t>
      </w:r>
    </w:p>
    <w:p>
      <w:pPr>
        <w:spacing w:after="0" w:line="183"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The undersigned, Steven R. Appleton, Chairman, Chief Executive Officer and President of Micron Technology, Inc., a Delaware corporation, hereby certify that the following amendment to the Certificate of Incorporation of Micron Technology, Inc. has been duly adopted in accordance with Section 242 of the General Corporation Law of the State of Delaware, as amended. Said amendment was adopted by a resolution of the Board of Directors on October 2, 1995 which set forth the proposed amendment, declared its advisability and directed that it be considered at the Company's Annual Meeting of Shareholders. At the regularly scheduled 1995 Annual Meeting of Shareholders duly held on January 29, 1996, after due notice thereof in accordance with applicable law, a majority of the outstanding stock entitled to vote thereon voted in favor of said amendment. Said amendment as adopted and approved amends paragraph 4 of the Certificate of Incorporation to read as follows:</w:t>
      </w:r>
    </w:p>
    <w:p>
      <w:pPr>
        <w:spacing w:after="0" w:line="188" w:lineRule="exact"/>
        <w:rPr>
          <w:sz w:val="20"/>
          <w:szCs w:val="20"/>
          <w:color w:val="auto"/>
        </w:rPr>
      </w:pPr>
    </w:p>
    <w:p>
      <w:pPr>
        <w:ind w:left="5" w:right="2959" w:firstLine="461"/>
        <w:spacing w:after="0" w:line="235" w:lineRule="auto"/>
        <w:tabs>
          <w:tab w:leader="none" w:pos="842"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total number of shares of stock which the corporation shall have authority to issue is one billion (1,000,000,000) and the par value of each of such shares is Ten Cents ($0.10).</w:t>
      </w:r>
    </w:p>
    <w:p>
      <w:pPr>
        <w:spacing w:after="0" w:line="183" w:lineRule="exact"/>
        <w:rPr>
          <w:sz w:val="20"/>
          <w:szCs w:val="20"/>
          <w:color w:val="auto"/>
        </w:rPr>
      </w:pPr>
    </w:p>
    <w:p>
      <w:pPr>
        <w:ind w:left="5" w:right="2879" w:firstLine="465"/>
        <w:spacing w:after="0" w:line="235" w:lineRule="auto"/>
        <w:rPr>
          <w:sz w:val="20"/>
          <w:szCs w:val="20"/>
          <w:color w:val="auto"/>
        </w:rPr>
      </w:pPr>
      <w:r>
        <w:rPr>
          <w:rFonts w:ascii="Courier New" w:cs="Courier New" w:eastAsia="Courier New" w:hAnsi="Courier New"/>
          <w:sz w:val="16"/>
          <w:szCs w:val="16"/>
          <w:color w:val="auto"/>
        </w:rPr>
        <w:t>IN WITNESS WHEREOF, this Certificate of Fifth Amendment to the Certificate of Incorporation of Micron Technology, Inc. has been executed this 7th day of February, 1996.</w:t>
      </w:r>
    </w:p>
    <w:p>
      <w:pPr>
        <w:spacing w:after="0" w:line="356"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/s/ Steven R. Appleton</w:t>
      </w:r>
    </w:p>
    <w:p>
      <w:pPr>
        <w:ind w:left="185" w:hanging="185"/>
        <w:spacing w:after="0" w:line="236" w:lineRule="auto"/>
        <w:tabs>
          <w:tab w:leader="none" w:pos="185"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ind w:left="5" w:right="7519"/>
        <w:spacing w:after="0" w:line="23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Steven R. Appleton, Chairman, Chief Executive Officer and President</w:t>
      </w:r>
    </w:p>
    <w:p>
      <w:pPr>
        <w:spacing w:after="0" w:line="183" w:lineRule="exact"/>
        <w:rPr>
          <w:sz w:val="20"/>
          <w:szCs w:val="20"/>
          <w:color w:val="auto"/>
        </w:rPr>
      </w:pPr>
    </w:p>
    <w:p>
      <w:pPr>
        <w:ind w:left="5" w:right="2879" w:firstLine="465"/>
        <w:spacing w:after="0" w:line="236" w:lineRule="auto"/>
        <w:rPr>
          <w:sz w:val="20"/>
          <w:szCs w:val="20"/>
          <w:color w:val="auto"/>
        </w:rPr>
      </w:pPr>
      <w:r>
        <w:rPr>
          <w:rFonts w:ascii="Courier New" w:cs="Courier New" w:eastAsia="Courier New" w:hAnsi="Courier New"/>
          <w:sz w:val="16"/>
          <w:szCs w:val="16"/>
          <w:color w:val="auto"/>
        </w:rPr>
        <w:t>I, Jan R. Reimer, a notary public, do hereby certify that on this 7th day of February, 1996, personally appeared before me Steven R. Appleton who, being by me first duly sworn, declared that he is Chairman, Chief Executive Officer and President of Micron Technology, Inc., that he signed the foregoing document on behalf of Micron Technology, Inc. in his capacity as Chairman, Chief Executive Officer and President of the corporation, and that the facts stated therein are true.</w:t>
      </w:r>
    </w:p>
    <w:p>
      <w:pPr>
        <w:spacing w:after="0" w:line="177" w:lineRule="exact"/>
        <w:rPr>
          <w:sz w:val="20"/>
          <w:szCs w:val="20"/>
          <w:color w:val="auto"/>
        </w:rPr>
      </w:pPr>
    </w:p>
    <w:p>
      <w:pPr>
        <w:ind w:left="3725"/>
        <w:spacing w:after="0"/>
        <w:rPr>
          <w:sz w:val="20"/>
          <w:szCs w:val="20"/>
          <w:color w:val="auto"/>
        </w:rPr>
      </w:pPr>
      <w:r>
        <w:rPr>
          <w:rFonts w:ascii="Courier New" w:cs="Courier New" w:eastAsia="Courier New" w:hAnsi="Courier New"/>
          <w:sz w:val="16"/>
          <w:szCs w:val="16"/>
          <w:color w:val="auto"/>
        </w:rPr>
        <w:t>/s/ Jan R. Reimer</w:t>
      </w:r>
    </w:p>
    <w:p>
      <w:pPr>
        <w:ind w:left="3725"/>
        <w:spacing w:after="0" w:line="236" w:lineRule="auto"/>
        <w:rPr>
          <w:sz w:val="20"/>
          <w:szCs w:val="20"/>
          <w:color w:val="auto"/>
        </w:rPr>
      </w:pPr>
      <w:r>
        <w:rPr>
          <w:rFonts w:ascii="Courier New" w:cs="Courier New" w:eastAsia="Courier New" w:hAnsi="Courier New"/>
          <w:sz w:val="16"/>
          <w:szCs w:val="16"/>
          <w:color w:val="auto"/>
        </w:rPr>
        <w:t>-----------------</w:t>
      </w:r>
    </w:p>
    <w:p>
      <w:pPr>
        <w:ind w:left="3725"/>
        <w:spacing w:after="0" w:line="237" w:lineRule="auto"/>
        <w:rPr>
          <w:sz w:val="20"/>
          <w:szCs w:val="20"/>
          <w:color w:val="auto"/>
        </w:rPr>
      </w:pPr>
      <w:r>
        <w:rPr>
          <w:rFonts w:ascii="Courier New" w:cs="Courier New" w:eastAsia="Courier New" w:hAnsi="Courier New"/>
          <w:sz w:val="16"/>
          <w:szCs w:val="16"/>
          <w:color w:val="auto"/>
        </w:rPr>
        <w:t>Notary Public</w:t>
      </w:r>
    </w:p>
    <w:p>
      <w:pPr>
        <w:ind w:left="3725"/>
        <w:spacing w:after="0" w:line="237" w:lineRule="auto"/>
        <w:rPr>
          <w:sz w:val="20"/>
          <w:szCs w:val="20"/>
          <w:color w:val="auto"/>
        </w:rPr>
      </w:pPr>
      <w:r>
        <w:rPr>
          <w:rFonts w:ascii="Courier New" w:cs="Courier New" w:eastAsia="Courier New" w:hAnsi="Courier New"/>
          <w:sz w:val="16"/>
          <w:szCs w:val="16"/>
          <w:color w:val="auto"/>
        </w:rPr>
        <w:t>Residing at Ada County</w:t>
      </w:r>
    </w:p>
    <w:p>
      <w:pPr>
        <w:ind w:left="3725"/>
        <w:spacing w:after="0"/>
        <w:tabs>
          <w:tab w:leader="none" w:pos="5644" w:val="left"/>
        </w:tabs>
        <w:rPr>
          <w:sz w:val="20"/>
          <w:szCs w:val="20"/>
          <w:color w:val="auto"/>
        </w:rPr>
      </w:pPr>
      <w:r>
        <w:rPr>
          <w:rFonts w:ascii="Courier New" w:cs="Courier New" w:eastAsia="Courier New" w:hAnsi="Courier New"/>
          <w:sz w:val="16"/>
          <w:szCs w:val="16"/>
          <w:color w:val="auto"/>
        </w:rPr>
        <w:t>Commission Expires:</w:t>
      </w:r>
      <w:r>
        <w:rPr>
          <w:sz w:val="20"/>
          <w:szCs w:val="20"/>
          <w:color w:val="auto"/>
        </w:rPr>
        <w:tab/>
      </w:r>
      <w:r>
        <w:rPr>
          <w:rFonts w:ascii="Courier New" w:cs="Courier New" w:eastAsia="Courier New" w:hAnsi="Courier New"/>
          <w:sz w:val="14"/>
          <w:szCs w:val="14"/>
          <w:color w:val="auto"/>
        </w:rPr>
        <w:t>9/1/2001</w:t>
      </w:r>
    </w:p>
    <w:p>
      <w:pPr>
        <w:ind w:left="5665"/>
        <w:spacing w:after="0" w:line="237" w:lineRule="auto"/>
        <w:rPr>
          <w:sz w:val="20"/>
          <w:szCs w:val="20"/>
          <w:color w:val="auto"/>
        </w:rPr>
      </w:pPr>
      <w:r>
        <w:rPr>
          <w:rFonts w:ascii="Courier New" w:cs="Courier New" w:eastAsia="Courier New" w:hAnsi="Courier New"/>
          <w:sz w:val="16"/>
          <w:szCs w:val="16"/>
          <w:color w:val="auto"/>
        </w:rPr>
        <w:t>--------</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(seal)</w:t>
      </w:r>
    </w:p>
    <w:p>
      <w:pPr>
        <w:sectPr>
          <w:pgSz w:w="11900" w:h="16838" w:orient="portrait"/>
          <w:cols w:equalWidth="0" w:num="1">
            <w:col w:w="10224"/>
          </w:cols>
          <w:pgMar w:left="235" w:top="648" w:right="1440" w:bottom="1440" w:gutter="0" w:footer="0" w:header="0"/>
        </w:sectPr>
      </w:pPr>
    </w:p>
    <w:bookmarkStart w:id="69" w:name="page70"/>
    <w:bookmarkEnd w:id="69"/>
    <w:p>
      <w:pPr>
        <w:ind w:left="2320"/>
        <w:spacing w:after="0"/>
        <w:rPr>
          <w:sz w:val="20"/>
          <w:szCs w:val="20"/>
          <w:color w:val="auto"/>
        </w:rPr>
      </w:pPr>
      <w:r>
        <w:rPr>
          <w:rFonts w:ascii="Courier New" w:cs="Courier New" w:eastAsia="Courier New" w:hAnsi="Courier New"/>
          <w:sz w:val="16"/>
          <w:szCs w:val="16"/>
          <w:color w:val="auto"/>
        </w:rPr>
        <w:t>CERTIFICATE OF SIXTH AMENDMENT</w:t>
      </w:r>
    </w:p>
    <w:p>
      <w:pPr>
        <w:ind w:left="1940"/>
        <w:spacing w:after="0" w:line="236" w:lineRule="auto"/>
        <w:rPr>
          <w:sz w:val="20"/>
          <w:szCs w:val="20"/>
          <w:color w:val="auto"/>
        </w:rPr>
      </w:pPr>
      <w:r>
        <w:rPr>
          <w:rFonts w:ascii="Courier New" w:cs="Courier New" w:eastAsia="Courier New" w:hAnsi="Courier New"/>
          <w:sz w:val="16"/>
          <w:szCs w:val="16"/>
          <w:color w:val="auto"/>
        </w:rPr>
        <w:t>TO THE CERTIFICATE OF INCORPORATION OF</w:t>
      </w:r>
    </w:p>
    <w:p>
      <w:pPr>
        <w:ind w:left="2600"/>
        <w:spacing w:after="0" w:line="237" w:lineRule="auto"/>
        <w:rPr>
          <w:sz w:val="20"/>
          <w:szCs w:val="20"/>
          <w:color w:val="auto"/>
        </w:rPr>
      </w:pPr>
      <w:r>
        <w:rPr>
          <w:rFonts w:ascii="Courier New" w:cs="Courier New" w:eastAsia="Courier New" w:hAnsi="Courier New"/>
          <w:sz w:val="16"/>
          <w:szCs w:val="16"/>
          <w:color w:val="auto"/>
        </w:rPr>
        <w:t>MICRON TECHNOLOGY, INC.</w:t>
      </w:r>
    </w:p>
    <w:p>
      <w:pPr>
        <w:spacing w:after="0" w:line="183"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The undersigned, Steven R. Appleton, Chairman, Chief Executive Officer and President of Micron Technology, Inc. a Delaware corporation, hereby certifies that the following amendment to the Certificate of Incorporation of Micron Technology, Inc. has been duly adopted in accordance with Section 242 of the General Corporation Law of the State of Delaware, as amended. Said amendment was adopted by a resolution of the Board of Directors on November 23, 1998 which set forth the proposed amendment, declared its advisability and directed that it be considered at the Company's Annual Meeting of Shareholders. At the regularly scheduled 1998 Annual Meeting of Shareholders duly held on January 14, 1999, after due notice thereof in accordance with applicable law, a majority of the outstanding stock entitled to vote thereon voted in favor of said amendment. Said amendment as adopted and approved amends the first paragraph of Section 4 of the Certificate of Amendment to read as follows:</w:t>
      </w:r>
    </w:p>
    <w:p>
      <w:pPr>
        <w:spacing w:after="0" w:line="334" w:lineRule="exact"/>
        <w:rPr>
          <w:sz w:val="20"/>
          <w:szCs w:val="20"/>
          <w:color w:val="auto"/>
        </w:rPr>
      </w:pPr>
    </w:p>
    <w:p>
      <w:pPr>
        <w:ind w:left="1400" w:hanging="474"/>
        <w:spacing w:after="0"/>
        <w:tabs>
          <w:tab w:leader="none" w:pos="140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Shares Authorized.  The total number of shares of stock</w:t>
      </w:r>
    </w:p>
    <w:p>
      <w:pPr>
        <w:ind w:left="186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right="2879"/>
        <w:spacing w:after="0" w:line="235" w:lineRule="auto"/>
        <w:rPr>
          <w:sz w:val="20"/>
          <w:szCs w:val="20"/>
          <w:color w:val="auto"/>
        </w:rPr>
      </w:pPr>
      <w:r>
        <w:rPr>
          <w:rFonts w:ascii="Courier New" w:cs="Courier New" w:eastAsia="Courier New" w:hAnsi="Courier New"/>
          <w:sz w:val="16"/>
          <w:szCs w:val="16"/>
          <w:color w:val="auto"/>
        </w:rPr>
        <w:t>which the corporation shall have the authority to issue is one billion thirty two million (1,032,000,000), consisting of (i) one billion (1,000,000,000) shares of Common Stock, par value $0.10 per share (the "Common Stock") and (ii) thirty two million (32,000,000) shares of Class A Common Stock, par value $0.10 per share (the "Class A Common Stock").</w:t>
      </w:r>
    </w:p>
    <w:p>
      <w:pPr>
        <w:spacing w:after="0" w:line="180" w:lineRule="exact"/>
        <w:rPr>
          <w:sz w:val="20"/>
          <w:szCs w:val="20"/>
          <w:color w:val="auto"/>
        </w:rPr>
      </w:pPr>
    </w:p>
    <w:p>
      <w:pPr>
        <w:ind w:left="1860" w:hanging="469"/>
        <w:spacing w:after="0"/>
        <w:tabs>
          <w:tab w:leader="none" w:pos="186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Class A Common Stock.</w:t>
      </w:r>
    </w:p>
    <w:p>
      <w:pPr>
        <w:ind w:left="186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7" w:lineRule="exact"/>
        <w:rPr>
          <w:sz w:val="20"/>
          <w:szCs w:val="20"/>
          <w:color w:val="auto"/>
        </w:rPr>
      </w:pPr>
    </w:p>
    <w:p>
      <w:pPr>
        <w:ind w:left="180"/>
        <w:spacing w:after="0"/>
        <w:tabs>
          <w:tab w:leader="none" w:pos="3140" w:val="left"/>
        </w:tabs>
        <w:rPr>
          <w:sz w:val="20"/>
          <w:szCs w:val="20"/>
          <w:color w:val="auto"/>
        </w:rPr>
      </w:pPr>
      <w:r>
        <w:rPr>
          <w:rFonts w:ascii="Courier New" w:cs="Courier New" w:eastAsia="Courier New" w:hAnsi="Courier New"/>
          <w:sz w:val="16"/>
          <w:szCs w:val="16"/>
          <w:color w:val="auto"/>
        </w:rPr>
        <w:t>Section 1. Liquidation Rights.</w:t>
      </w:r>
      <w:r>
        <w:rPr>
          <w:sz w:val="20"/>
          <w:szCs w:val="20"/>
          <w:color w:val="auto"/>
        </w:rPr>
        <w:tab/>
      </w:r>
      <w:r>
        <w:rPr>
          <w:rFonts w:ascii="Courier New" w:cs="Courier New" w:eastAsia="Courier New" w:hAnsi="Courier New"/>
          <w:sz w:val="14"/>
          <w:szCs w:val="14"/>
          <w:color w:val="auto"/>
        </w:rPr>
        <w:t>In the event of any voluntary or involuntary</w:t>
      </w:r>
    </w:p>
    <w:p>
      <w:pPr>
        <w:ind w:left="180"/>
        <w:spacing w:after="0" w:line="236" w:lineRule="auto"/>
        <w:tabs>
          <w:tab w:leader="none" w:pos="1180" w:val="left"/>
        </w:tabs>
        <w:rPr>
          <w:sz w:val="20"/>
          <w:szCs w:val="20"/>
          <w:color w:val="auto"/>
        </w:rPr>
      </w:pPr>
      <w:r>
        <w:rPr>
          <w:rFonts w:ascii="Courier New" w:cs="Courier New" w:eastAsia="Courier New" w:hAnsi="Courier New"/>
          <w:sz w:val="16"/>
          <w:szCs w:val="16"/>
          <w:color w:val="auto"/>
        </w:rPr>
        <w:t>---------</w:t>
        <w:tab/>
        <w:t>------------------</w:t>
      </w:r>
    </w:p>
    <w:p>
      <w:pPr>
        <w:spacing w:after="0" w:line="4"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liquidation, dissolution or winding up of the affairs of the Corporation, the holders of each share of Class A Common Stock shall be entitled to share ratably in any distribution of any of the assets or funds of the Corporation to the holders of the Common Stock (each share of the Class A Common Stock being treated as the number of shares of Common Stock into which it could then be converted for such purpose).</w:t>
      </w:r>
    </w:p>
    <w:p>
      <w:pPr>
        <w:spacing w:after="0" w:line="177" w:lineRule="exact"/>
        <w:rPr>
          <w:sz w:val="20"/>
          <w:szCs w:val="20"/>
          <w:color w:val="auto"/>
        </w:rPr>
      </w:pPr>
    </w:p>
    <w:p>
      <w:pPr>
        <w:ind w:left="180"/>
        <w:spacing w:after="0"/>
        <w:tabs>
          <w:tab w:leader="none" w:pos="4440" w:val="left"/>
        </w:tabs>
        <w:rPr>
          <w:sz w:val="20"/>
          <w:szCs w:val="20"/>
          <w:color w:val="auto"/>
        </w:rPr>
      </w:pPr>
      <w:r>
        <w:rPr>
          <w:rFonts w:ascii="Courier New" w:cs="Courier New" w:eastAsia="Courier New" w:hAnsi="Courier New"/>
          <w:sz w:val="16"/>
          <w:szCs w:val="16"/>
          <w:color w:val="auto"/>
        </w:rPr>
        <w:t>Section 2. Transfer of Class A Common Stock.</w:t>
      </w:r>
      <w:r>
        <w:rPr>
          <w:sz w:val="20"/>
          <w:szCs w:val="20"/>
          <w:color w:val="auto"/>
        </w:rPr>
        <w:tab/>
      </w:r>
      <w:r>
        <w:rPr>
          <w:rFonts w:ascii="Courier New" w:cs="Courier New" w:eastAsia="Courier New" w:hAnsi="Courier New"/>
          <w:sz w:val="14"/>
          <w:szCs w:val="14"/>
          <w:color w:val="auto"/>
        </w:rPr>
        <w:t>No person or entity holding</w:t>
      </w:r>
    </w:p>
    <w:p>
      <w:pPr>
        <w:ind w:left="180"/>
        <w:spacing w:after="0" w:line="236" w:lineRule="auto"/>
        <w:tabs>
          <w:tab w:leader="none" w:pos="1180" w:val="left"/>
        </w:tabs>
        <w:rPr>
          <w:sz w:val="20"/>
          <w:szCs w:val="20"/>
          <w:color w:val="auto"/>
        </w:rPr>
      </w:pPr>
      <w:r>
        <w:rPr>
          <w:rFonts w:ascii="Courier New" w:cs="Courier New" w:eastAsia="Courier New" w:hAnsi="Courier New"/>
          <w:sz w:val="16"/>
          <w:szCs w:val="16"/>
          <w:color w:val="auto"/>
        </w:rPr>
        <w:t>---------</w:t>
        <w:tab/>
        <w:t>--------------------------------</w:t>
      </w:r>
    </w:p>
    <w:p>
      <w:pPr>
        <w:spacing w:after="0" w:line="4" w:lineRule="exact"/>
        <w:rPr>
          <w:sz w:val="20"/>
          <w:szCs w:val="20"/>
          <w:color w:val="auto"/>
        </w:rPr>
      </w:pPr>
    </w:p>
    <w:p>
      <w:pPr>
        <w:ind w:right="2779"/>
        <w:spacing w:after="0" w:line="270" w:lineRule="auto"/>
        <w:rPr>
          <w:sz w:val="20"/>
          <w:szCs w:val="20"/>
          <w:color w:val="auto"/>
        </w:rPr>
      </w:pPr>
      <w:r>
        <w:rPr>
          <w:rFonts w:ascii="Courier New" w:cs="Courier New" w:eastAsia="Courier New" w:hAnsi="Courier New"/>
          <w:sz w:val="14"/>
          <w:szCs w:val="14"/>
          <w:color w:val="auto"/>
        </w:rPr>
        <w:t>shares of Class A Common Stock may transfer, sell, assign, devise or bequeath any of such holder's interest in his or its Class A Common Stock, and the Corporation and the transfer agent for the Class A Common Stock shall not register the transfer of such shares of Class A Common Stock, whether by sale, assignment, gift, devise, bequest, appointment or otherwise, except to a Permitted Transferee (as defined below) of such holder. For purposes of this Section 2, the term "Permitted Transferee" with respect to any holder of Class A</w:t>
      </w:r>
    </w:p>
    <w:p>
      <w:pPr>
        <w:ind w:left="1940"/>
        <w:spacing w:after="0" w:line="236" w:lineRule="auto"/>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Common Stock shall mean (i) the Corporation, (ii) a Qualified Subsidiary (provided that if at any time such Qualified Subsidiary ceases to be a Qualified Subsidiary such Class A Common Stock will automatically convert into Common Stock pursuant to Section 3.b) or (iii) Intel Corporation. Notwithstanding the foregoing, the provisions of this Section 2 do not prohibit transfers that result in automatic conversion pursuant to Section 3.b, provided, that the transfer agent shall not register the transfer of such shares of Class A Common Stock or the Common Stock into which they automatically convert unless concurrently with such transfer, the certificate representing such shares of Class A Common Stock to be so transferred shall be surrendered and exchanged for a certificate</w:t>
      </w:r>
    </w:p>
    <w:p>
      <w:pPr>
        <w:sectPr>
          <w:pgSz w:w="11900" w:h="16838" w:orient="portrait"/>
          <w:cols w:equalWidth="0" w:num="1">
            <w:col w:w="10219"/>
          </w:cols>
          <w:pgMar w:left="240" w:top="648" w:right="1440" w:bottom="1440" w:gutter="0" w:footer="0" w:header="0"/>
        </w:sectPr>
      </w:pPr>
    </w:p>
    <w:bookmarkStart w:id="70" w:name="page71"/>
    <w:bookmarkEnd w:id="70"/>
    <w:p>
      <w:pPr>
        <w:jc w:val="both"/>
        <w:ind w:right="3159"/>
        <w:spacing w:after="0" w:line="235" w:lineRule="auto"/>
        <w:rPr>
          <w:sz w:val="20"/>
          <w:szCs w:val="20"/>
          <w:color w:val="auto"/>
        </w:rPr>
      </w:pPr>
      <w:r>
        <w:rPr>
          <w:rFonts w:ascii="Courier New" w:cs="Courier New" w:eastAsia="Courier New" w:hAnsi="Courier New"/>
          <w:sz w:val="16"/>
          <w:szCs w:val="16"/>
          <w:color w:val="auto"/>
        </w:rPr>
        <w:t>representing the applicable number of shares of Common Stock into which such shares of Class A Common Stock are automatically converted by virtue of such transfer.</w:t>
      </w:r>
    </w:p>
    <w:p>
      <w:pPr>
        <w:spacing w:after="0" w:line="177"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Section 3. Conversion of Class A Common Stock.</w:t>
      </w:r>
    </w:p>
    <w:p>
      <w:pPr>
        <w:ind w:left="80"/>
        <w:spacing w:after="0"/>
        <w:tabs>
          <w:tab w:leader="none" w:pos="11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4"/>
          <w:szCs w:val="14"/>
          <w:color w:val="auto"/>
        </w:rPr>
        <w:t>----------------------------------</w:t>
      </w:r>
    </w:p>
    <w:p>
      <w:pPr>
        <w:spacing w:after="0" w:line="177" w:lineRule="exact"/>
        <w:rPr>
          <w:sz w:val="20"/>
          <w:szCs w:val="20"/>
          <w:color w:val="auto"/>
        </w:rPr>
      </w:pPr>
    </w:p>
    <w:p>
      <w:pPr>
        <w:ind w:left="840" w:hanging="379"/>
        <w:spacing w:after="0"/>
        <w:tabs>
          <w:tab w:leader="none" w:pos="84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Voluntary Conversion.  At any time and from time to time after the</w:t>
      </w:r>
    </w:p>
    <w:p>
      <w:pPr>
        <w:ind w:left="840"/>
        <w:spacing w:after="0" w:line="236" w:lineRule="auto"/>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right="3159"/>
        <w:spacing w:after="0" w:line="270" w:lineRule="auto"/>
        <w:rPr>
          <w:sz w:val="20"/>
          <w:szCs w:val="20"/>
          <w:color w:val="auto"/>
        </w:rPr>
      </w:pPr>
      <w:r>
        <w:rPr>
          <w:rFonts w:ascii="Courier New" w:cs="Courier New" w:eastAsia="Courier New" w:hAnsi="Courier New"/>
          <w:sz w:val="14"/>
          <w:szCs w:val="14"/>
          <w:color w:val="auto"/>
        </w:rPr>
        <w:t>issuance of the Class A Common Stock, any holder of Class A Common Stock may convert any or all of the shares of Class A Common Stock held by such holder into shares of Common Stock at the then effective conversion ratio. The conversion ratio at which shares of Common Stock shall be deliverable upon conversion (the "Conversion Ratio") shall initially be one-for-one. Such</w:t>
      </w:r>
    </w:p>
    <w:p>
      <w:pPr>
        <w:ind w:left="1580"/>
        <w:spacing w:after="0" w:line="235" w:lineRule="auto"/>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right="2879"/>
        <w:spacing w:after="0" w:line="235" w:lineRule="auto"/>
        <w:rPr>
          <w:sz w:val="20"/>
          <w:szCs w:val="20"/>
          <w:color w:val="auto"/>
        </w:rPr>
      </w:pPr>
      <w:r>
        <w:rPr>
          <w:rFonts w:ascii="Courier New" w:cs="Courier New" w:eastAsia="Courier New" w:hAnsi="Courier New"/>
          <w:sz w:val="16"/>
          <w:szCs w:val="16"/>
          <w:color w:val="auto"/>
        </w:rPr>
        <w:t>initial Conversion Ratio shall be subject to adjustment, in order to adjust the number of shares of Common Stock into which the Class A Common Stock is convertible, as hereinafter provided.</w:t>
      </w:r>
    </w:p>
    <w:p>
      <w:pPr>
        <w:spacing w:after="0" w:line="177" w:lineRule="exact"/>
        <w:rPr>
          <w:sz w:val="20"/>
          <w:szCs w:val="20"/>
          <w:color w:val="auto"/>
        </w:rPr>
      </w:pPr>
    </w:p>
    <w:p>
      <w:pPr>
        <w:ind w:left="840" w:hanging="379"/>
        <w:spacing w:after="0"/>
        <w:tabs>
          <w:tab w:leader="none" w:pos="84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Automatic Conversion.  Each share of Class A Common Stock shall</w:t>
      </w:r>
    </w:p>
    <w:p>
      <w:pPr>
        <w:ind w:left="840"/>
        <w:spacing w:after="0" w:line="236" w:lineRule="auto"/>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jc w:val="both"/>
        <w:ind w:right="3059"/>
        <w:spacing w:after="0" w:line="283" w:lineRule="auto"/>
        <w:rPr>
          <w:sz w:val="20"/>
          <w:szCs w:val="20"/>
          <w:color w:val="auto"/>
        </w:rPr>
      </w:pPr>
      <w:r>
        <w:rPr>
          <w:rFonts w:ascii="Courier New" w:cs="Courier New" w:eastAsia="Courier New" w:hAnsi="Courier New"/>
          <w:sz w:val="14"/>
          <w:szCs w:val="14"/>
          <w:color w:val="auto"/>
        </w:rPr>
        <w:t>automatically be converted into shares of Common Stock at the then effective Conversion Ratio upon the transfer by any holder of Class A Common Stock to a person or entity who is not a Permitted Transferee of such holder.</w:t>
      </w:r>
    </w:p>
    <w:p>
      <w:pPr>
        <w:spacing w:after="0" w:line="148" w:lineRule="exact"/>
        <w:rPr>
          <w:sz w:val="20"/>
          <w:szCs w:val="20"/>
          <w:color w:val="auto"/>
        </w:rPr>
      </w:pPr>
    </w:p>
    <w:p>
      <w:pPr>
        <w:ind w:left="840" w:hanging="379"/>
        <w:spacing w:after="0"/>
        <w:tabs>
          <w:tab w:leader="none" w:pos="84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Mechanics of Conversion.  No fractional shares of Common Stock shall</w:t>
      </w:r>
    </w:p>
    <w:p>
      <w:pPr>
        <w:ind w:left="840"/>
        <w:spacing w:after="0" w:line="236" w:lineRule="auto"/>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right="2779"/>
        <w:spacing w:after="0" w:line="272" w:lineRule="auto"/>
        <w:rPr>
          <w:sz w:val="20"/>
          <w:szCs w:val="20"/>
          <w:color w:val="auto"/>
        </w:rPr>
      </w:pPr>
      <w:r>
        <w:rPr>
          <w:rFonts w:ascii="Courier New" w:cs="Courier New" w:eastAsia="Courier New" w:hAnsi="Courier New"/>
          <w:sz w:val="14"/>
          <w:szCs w:val="14"/>
          <w:color w:val="auto"/>
        </w:rPr>
        <w:t>be issued upon conversion of the Class A Common Stock. In lieu of any fractional shares to which the holder would otherwise be entitled, the Corporation shall pay cash equal to such fraction multiplied by the then fair market value of one share of Common Stock, as determined in good faith by the Board of Directors. Before any holder of Class A Common Stock shall be entitled to receive certificates for the shares of Common Stock issued upon conversion, such holder shall surrender the certificate or certificates for such Class A Common Stock, duly endorsed, at the principal office of the Corporation and shall state therein his name or the name, or names, of his nominees in which he wishes the certificate or certificates for shares of Common Stock to be issued. No voluntary conversion shall be permitted unless and until the holder shall submit to the Corporation either (i) evidence of compliance with the filing and waiting period requirements of the Hart-Scott-Rodino Antitrust Improvements Act of 1976, as amended ("HSR Act") or (ii) a certificate of an officer of the</w:t>
      </w:r>
    </w:p>
    <w:p>
      <w:pPr>
        <w:spacing w:after="0" w:line="162" w:lineRule="exact"/>
        <w:rPr>
          <w:sz w:val="20"/>
          <w:szCs w:val="20"/>
          <w:color w:val="auto"/>
        </w:rPr>
      </w:pPr>
    </w:p>
    <w:p>
      <w:pPr>
        <w:ind w:left="204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right="2779"/>
        <w:spacing w:after="0" w:line="270" w:lineRule="auto"/>
        <w:rPr>
          <w:sz w:val="20"/>
          <w:szCs w:val="20"/>
          <w:color w:val="auto"/>
        </w:rPr>
      </w:pPr>
      <w:r>
        <w:rPr>
          <w:rFonts w:ascii="Courier New" w:cs="Courier New" w:eastAsia="Courier New" w:hAnsi="Courier New"/>
          <w:sz w:val="14"/>
          <w:szCs w:val="14"/>
          <w:color w:val="auto"/>
        </w:rPr>
        <w:t>holder that the conversion does not require any filing under the HSR Act. The Corporation shall, as soon as practicable thereafter, issue and deliver at such office to such holder of Class A Common Stock or to such holder's nominee or nominees, a certificate or certificates for the number of shares of Common Stock to which such holder or such holder's nominee shall be entitled as aforesaid, together with cash in lieu of any fraction of a share. Subject to the foregoing, in the case of automatic conversion under Section 3.b, such conversion shall be deemed to have been made immediately prior to the close of business on the date of such automatic conversion and upon surrender of the certificate representing the Class A Common Stock to be converted in the case of a voluntary conversion pursuant to Section 3.a above ( the "Conversion Date").</w:t>
      </w:r>
    </w:p>
    <w:p>
      <w:pPr>
        <w:ind w:left="558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959"/>
        <w:spacing w:after="0" w:line="276" w:lineRule="auto"/>
        <w:rPr>
          <w:sz w:val="20"/>
          <w:szCs w:val="20"/>
          <w:color w:val="auto"/>
        </w:rPr>
      </w:pPr>
      <w:r>
        <w:rPr>
          <w:rFonts w:ascii="Courier New" w:cs="Courier New" w:eastAsia="Courier New" w:hAnsi="Courier New"/>
          <w:sz w:val="14"/>
          <w:szCs w:val="14"/>
          <w:color w:val="auto"/>
        </w:rPr>
        <w:t>The person or persons entitled to receive the shares of Common Stock issuable upon conversion shall be treated for all purposes as the record holder or holders of such shares of Common Stock on such date; provided that the certificates representing the Class A Common Stock have been duly endorsed for transfer and delivered to the Corporation or its transfer agent.</w:t>
      </w:r>
    </w:p>
    <w:p>
      <w:pPr>
        <w:sectPr>
          <w:pgSz w:w="11900" w:h="16838" w:orient="portrait"/>
          <w:cols w:equalWidth="0" w:num="1">
            <w:col w:w="10219"/>
          </w:cols>
          <w:pgMar w:left="240" w:top="654" w:right="1440" w:bottom="1440" w:gutter="0" w:footer="0" w:header="0"/>
        </w:sectPr>
      </w:pPr>
    </w:p>
    <w:bookmarkStart w:id="71" w:name="page72"/>
    <w:bookmarkEnd w:id="71"/>
    <w:p>
      <w:pPr>
        <w:ind w:left="920" w:hanging="459"/>
        <w:spacing w:after="0"/>
        <w:tabs>
          <w:tab w:leader="none" w:pos="92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 Splits, Mergers, etc.  In case of any subdivision (by stock</w:t>
      </w:r>
    </w:p>
    <w:p>
      <w:pPr>
        <w:ind w:left="92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right="2779"/>
        <w:spacing w:after="0" w:line="271" w:lineRule="auto"/>
        <w:rPr>
          <w:sz w:val="20"/>
          <w:szCs w:val="20"/>
          <w:color w:val="auto"/>
        </w:rPr>
      </w:pPr>
      <w:r>
        <w:rPr>
          <w:rFonts w:ascii="Courier New" w:cs="Courier New" w:eastAsia="Courier New" w:hAnsi="Courier New"/>
          <w:sz w:val="14"/>
          <w:szCs w:val="14"/>
          <w:color w:val="auto"/>
        </w:rPr>
        <w:t>split, stock dividend or otherwise) of the Common Stock or any combination of the Class A Common Stock (by reverse stock split or otherwise), the Conversion Ratio shall be proportionately increased, and conversely in the case of combination of the Common Stock (by reverse stock split or otherwise) or any subdivision of the Class A Common Stock (by stock split, stock dividend or otherwise), the Conversion Ratio shall be proportionately decreased, with such adjustment to the Conversion Ratio to be effective immediately after the opening of business on the day following the day which such subdivision or combination, as the case may be, becomes effective. In case of any reorganization, reclassification or change of shares of the Common Stock (other than a change in par value or from par value to no par value as a result of a subdivision or combination), or in the case of any consolidation of the Corporation with one or more corporations or a merger of the Corporation with another corporation (other than a consolidation or merger in which the Corporation is the resulting or surviving corporation and which does not result in any reclassification or change of outstanding shares of Common Stock), provision shall be made so that each holder of a share of Class A Common Stock shall have the right at any time thereafter as nearly as practicable, so long as the conversion right hereunder with respect to such share would exist had such event not occurred, to convert such share into the kind and amount of shares of stock and other securities and properties (including cash) receivable upon such reorganization, reclassification, change, consolidation or merger by a holder of the number of shares of Common Stock into which such shares of Class A Common Stock might have been converted immediately prior to such reorganization, reclassification, change, consolidation or merger. In the event of such a reorganization, reclassification, change, consolidation or merger, effective provision shall be made in the certificate of incorporation of the resulting or surviving corporation or otherwise for the protection of the conversion rights of the shares of Class A Common Stock that shall be applicable, as nearly as reasonably may be, to any such other shares of stock and other securities and property (including cash) deliverable upon conversion of shares of Common Stock into which Class A Common Stock might have been converted immediately prior to such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920" w:hanging="459"/>
        <w:spacing w:after="0"/>
        <w:tabs>
          <w:tab w:leader="none" w:pos="92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Special Conversion Adjustments.  The number of shares of Common Stock</w:t>
      </w:r>
    </w:p>
    <w:p>
      <w:pPr>
        <w:spacing w:after="0" w:line="16" w:lineRule="exact"/>
        <w:rPr>
          <w:rFonts w:ascii="Courier New" w:cs="Courier New" w:eastAsia="Courier New" w:hAnsi="Courier New"/>
          <w:sz w:val="14"/>
          <w:szCs w:val="14"/>
          <w:color w:val="auto"/>
        </w:rPr>
      </w:pPr>
    </w:p>
    <w:p>
      <w:pPr>
        <w:ind w:left="92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right="2779"/>
        <w:spacing w:after="0" w:line="272" w:lineRule="auto"/>
        <w:rPr>
          <w:sz w:val="20"/>
          <w:szCs w:val="20"/>
          <w:color w:val="auto"/>
        </w:rPr>
      </w:pPr>
      <w:r>
        <w:rPr>
          <w:rFonts w:ascii="Courier New" w:cs="Courier New" w:eastAsia="Courier New" w:hAnsi="Courier New"/>
          <w:sz w:val="14"/>
          <w:szCs w:val="14"/>
          <w:color w:val="auto"/>
        </w:rPr>
        <w:t>receivable upon conversion of a share of Class A Common Stock shall be adjusted in the event that the Corporation fails to achieve any one or more of the Qualified Expenditures Milestone, the First Minimum Production Milestone or the Second Minimum Production Milestone on the applicable milestone dates in the manner described below. On or prior to twenty five (25) days after an applicable milestone date, the Corporation shall deliver to Intel Corporation a certificate of an executive officer of the Corporation certifying whether the applicable milestone has been achieved, and if such milestone has not been achieved, such additional data (including, but not limited to the amount of Qualified Expenditures made and actual RDRAM production during the applicable period) required to calculate the appropriate conversion adjustment. Upon receipt of such certificate with the required information, Intel Corporation shall have thirty (30) days in which to notify the Corporation in writing of its irrevocable election to exercise a Special Conversion Adjustment. If Intel Corporation has not provided an irrevocable written notice electing to exercise a Special Conversion Adjustment within the such period, then no there shall be no Special Conversion Adjustment with respect to the applicable milestone. Except as specifically provided herein, the failure to exercise a Special Conversion Adjustment with</w:t>
      </w:r>
    </w:p>
    <w:p>
      <w:pPr>
        <w:sectPr>
          <w:pgSz w:w="11900" w:h="16838" w:orient="portrait"/>
          <w:cols w:equalWidth="0" w:num="1">
            <w:col w:w="10219"/>
          </w:cols>
          <w:pgMar w:left="240" w:top="648" w:right="1440" w:bottom="1440" w:gutter="0" w:footer="0" w:header="0"/>
        </w:sectPr>
      </w:pPr>
    </w:p>
    <w:bookmarkStart w:id="72" w:name="page73"/>
    <w:bookmarkEnd w:id="72"/>
    <w:p>
      <w:pPr>
        <w:ind w:right="2879"/>
        <w:spacing w:after="0" w:line="235" w:lineRule="auto"/>
        <w:rPr>
          <w:sz w:val="20"/>
          <w:szCs w:val="20"/>
          <w:color w:val="auto"/>
        </w:rPr>
      </w:pPr>
      <w:r>
        <w:rPr>
          <w:rFonts w:ascii="Courier New" w:cs="Courier New" w:eastAsia="Courier New" w:hAnsi="Courier New"/>
          <w:sz w:val="16"/>
          <w:szCs w:val="16"/>
          <w:color w:val="auto"/>
        </w:rPr>
        <w:t>respect to one milestone shall not impair Intel Corporation's ability to exercise a Special Conversion Adjustment with respect to the failure to achieve a different milestone.</w:t>
      </w:r>
    </w:p>
    <w:p>
      <w:pPr>
        <w:spacing w:after="0" w:line="183" w:lineRule="exact"/>
        <w:rPr>
          <w:sz w:val="20"/>
          <w:szCs w:val="20"/>
          <w:color w:val="auto"/>
        </w:rPr>
      </w:pPr>
    </w:p>
    <w:p>
      <w:pPr>
        <w:ind w:left="920" w:hanging="459"/>
        <w:spacing w:after="0"/>
        <w:tabs>
          <w:tab w:leader="none" w:pos="92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Postponement of Milestone Dates; Modification of Milestones.  (i) In</w:t>
      </w:r>
    </w:p>
    <w:p>
      <w:pPr>
        <w:spacing w:after="0" w:line="16" w:lineRule="exact"/>
        <w:rPr>
          <w:rFonts w:ascii="Courier New" w:cs="Courier New" w:eastAsia="Courier New" w:hAnsi="Courier New"/>
          <w:sz w:val="14"/>
          <w:szCs w:val="14"/>
          <w:color w:val="auto"/>
        </w:rPr>
      </w:pPr>
    </w:p>
    <w:p>
      <w:pPr>
        <w:ind w:left="92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right="2779"/>
        <w:spacing w:after="0" w:line="235" w:lineRule="auto"/>
        <w:rPr>
          <w:sz w:val="20"/>
          <w:szCs w:val="20"/>
          <w:color w:val="auto"/>
        </w:rPr>
      </w:pPr>
      <w:r>
        <w:rPr>
          <w:rFonts w:ascii="Courier New" w:cs="Courier New" w:eastAsia="Courier New" w:hAnsi="Courier New"/>
          <w:sz w:val="16"/>
          <w:szCs w:val="16"/>
          <w:color w:val="auto"/>
        </w:rPr>
        <w:t>the event that the Corporation's ability to achieve the Qualified Expenditure Milestone by the Qualified Expenditures Milestone Date is significantly impaired by events or circumstances outside of its control, such as Force Majeure or limited availability of required equipment or materials, the milestone date will be appropriately postponed.</w:t>
      </w:r>
    </w:p>
    <w:p>
      <w:pPr>
        <w:spacing w:after="0" w:line="186" w:lineRule="exact"/>
        <w:rPr>
          <w:sz w:val="20"/>
          <w:szCs w:val="20"/>
          <w:color w:val="auto"/>
        </w:rPr>
      </w:pPr>
    </w:p>
    <w:p>
      <w:pPr>
        <w:ind w:right="2879" w:firstLine="461"/>
        <w:spacing w:after="0" w:line="236" w:lineRule="auto"/>
        <w:tabs>
          <w:tab w:leader="none" w:pos="93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any of the events specified in Section 7(f)(ii) of the Stock Rights Agreement occur, the First Minimum Production Milestone or the Second Minimum Production Milestone shall be either postponed or waived, respectively, as appropriate. In addition, if on the Maximum FGI Date, the RDRAM device finished goods inventory of the Corporation and its subsidiaries exceeds the Maximum FGI, the Second Minimum Production Milestone will be modified, as appropriate.</w:t>
      </w:r>
    </w:p>
    <w:p>
      <w:pPr>
        <w:spacing w:after="0" w:line="183" w:lineRule="exact"/>
        <w:rPr>
          <w:rFonts w:ascii="Courier New" w:cs="Courier New" w:eastAsia="Courier New" w:hAnsi="Courier New"/>
          <w:sz w:val="16"/>
          <w:szCs w:val="16"/>
          <w:color w:val="auto"/>
        </w:rPr>
      </w:pPr>
    </w:p>
    <w:p>
      <w:pPr>
        <w:ind w:right="2779" w:firstLine="461"/>
        <w:spacing w:after="0" w:line="236" w:lineRule="auto"/>
        <w:tabs>
          <w:tab w:leader="none" w:pos="1023"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of the occurrence of any of the foregoing events or circumstances, as a result of which either a milestone date or milestone is to be postponed, waived or modified, no Special Conversion Adjustment shall occur as a result of the failure to achieve the applicable milestone by the applicable milestone date, unless and until the Corporation and Intel Corporation shall have agreed upon the appropriate postponement, waiver or modification. Notwithstanding the above, upon such agreement, the Special Conversion Adjustment shall be applied as of the agreed upon date, notwithstanding that such agreement is reached after such date. If no agreement can be reached, the dispute will be settled in accordance with Section 8.12 of the Securities Purchase Agreement.</w:t>
      </w:r>
    </w:p>
    <w:p>
      <w:pPr>
        <w:spacing w:after="0" w:line="186" w:lineRule="exact"/>
        <w:rPr>
          <w:sz w:val="20"/>
          <w:szCs w:val="20"/>
          <w:color w:val="auto"/>
        </w:rPr>
      </w:pPr>
    </w:p>
    <w:p>
      <w:pPr>
        <w:ind w:left="920" w:hanging="459"/>
        <w:spacing w:after="0"/>
        <w:tabs>
          <w:tab w:leader="none" w:pos="92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Failure to Achieve Qualified Expenditures Milestone.  Subject to the</w:t>
      </w:r>
    </w:p>
    <w:p>
      <w:pPr>
        <w:spacing w:after="0" w:line="16" w:lineRule="exact"/>
        <w:rPr>
          <w:rFonts w:ascii="Courier New" w:cs="Courier New" w:eastAsia="Courier New" w:hAnsi="Courier New"/>
          <w:sz w:val="14"/>
          <w:szCs w:val="14"/>
          <w:color w:val="auto"/>
        </w:rPr>
      </w:pPr>
    </w:p>
    <w:p>
      <w:pPr>
        <w:ind w:left="92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provisions hereof:</w:t>
      </w:r>
    </w:p>
    <w:p>
      <w:pPr>
        <w:spacing w:after="0" w:line="183" w:lineRule="exact"/>
        <w:rPr>
          <w:sz w:val="20"/>
          <w:szCs w:val="20"/>
          <w:color w:val="auto"/>
        </w:rPr>
      </w:pPr>
    </w:p>
    <w:p>
      <w:pPr>
        <w:ind w:right="2779" w:firstLine="926"/>
        <w:spacing w:after="0" w:line="274" w:lineRule="auto"/>
        <w:tabs>
          <w:tab w:leader="none" w:pos="1395"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Corporation fails to make at least the Minimum Qualified Expenditures on or prior to the Qualified Expenditures Milestone Date, the Conversion Ratio shall be adjusted by multiplying the current Conversion Ratio by a fraction, the numerator of which shall be the Initial Purchase Price and the denominator of which shall be the greater of (i) the average closing sales price on the New York Stock Exchange for the Common Stock during the 20 trading day period ending two trading days prior to the Qualified Expenditures Milestone Date, or (ii) 50% of the Initial Purchase Price.</w:t>
      </w:r>
    </w:p>
    <w:p>
      <w:pPr>
        <w:spacing w:after="0" w:line="161" w:lineRule="exact"/>
        <w:rPr>
          <w:rFonts w:ascii="Courier New" w:cs="Courier New" w:eastAsia="Courier New" w:hAnsi="Courier New"/>
          <w:sz w:val="14"/>
          <w:szCs w:val="14"/>
          <w:color w:val="auto"/>
        </w:rPr>
      </w:pPr>
    </w:p>
    <w:p>
      <w:pPr>
        <w:ind w:right="2779" w:firstLine="926"/>
        <w:spacing w:after="0" w:line="273" w:lineRule="auto"/>
        <w:tabs>
          <w:tab w:leader="none" w:pos="1488"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Corporation makes Qualified Expenditures of more than the Minimum Qualified Expenditures but less than the Required Qualified Expenditures on or prior to the Qualified Expenditures Milestone Date, the Conversion Ratio shall be increased. The amount of the increase in the Conversion Ratio (expressed as a decimal) shall be determined by first (w) dividing the Initial Purchase Price by the greater of (i) the average closing sales price on the New York Stock Exchange for the Common Stock during the 20 trading day period ending two trading days prior to the applicable milestone date, or (ii) 50% of the Initial Purchase Price, then (x) subtracting 1.0 from the result, then (y) multiplying this result by a fraction, the numerator of which shall be (A) the Required Qualified Expenditures minus (B) the amount of Qualified</w:t>
      </w:r>
    </w:p>
    <w:p>
      <w:pPr>
        <w:sectPr>
          <w:pgSz w:w="11900" w:h="16838" w:orient="portrait"/>
          <w:cols w:equalWidth="0" w:num="1">
            <w:col w:w="10219"/>
          </w:cols>
          <w:pgMar w:left="240" w:top="654" w:right="1440" w:bottom="1440" w:gutter="0" w:footer="0" w:header="0"/>
        </w:sectPr>
      </w:pPr>
    </w:p>
    <w:bookmarkStart w:id="73" w:name="page74"/>
    <w:bookmarkEnd w:id="73"/>
    <w:p>
      <w:pPr>
        <w:ind w:right="2879"/>
        <w:spacing w:after="0" w:line="283" w:lineRule="auto"/>
        <w:rPr>
          <w:sz w:val="20"/>
          <w:szCs w:val="20"/>
          <w:color w:val="auto"/>
        </w:rPr>
      </w:pPr>
      <w:r>
        <w:rPr>
          <w:rFonts w:ascii="Courier New" w:cs="Courier New" w:eastAsia="Courier New" w:hAnsi="Courier New"/>
          <w:sz w:val="14"/>
          <w:szCs w:val="14"/>
          <w:color w:val="auto"/>
        </w:rPr>
        <w:t>Expenditures and the denominator of which shall be the Required Qualified Expenditures, and (z) dividing the result by 2. The new Conversion Ratio shall then be the result of the above calculation plus the prior Conversion Ratio.</w:t>
      </w:r>
    </w:p>
    <w:p>
      <w:pPr>
        <w:spacing w:after="0" w:line="155" w:lineRule="exact"/>
        <w:rPr>
          <w:sz w:val="20"/>
          <w:szCs w:val="20"/>
          <w:color w:val="auto"/>
        </w:rPr>
      </w:pPr>
    </w:p>
    <w:p>
      <w:pPr>
        <w:ind w:left="920" w:hanging="459"/>
        <w:spacing w:after="0"/>
        <w:tabs>
          <w:tab w:leader="none" w:pos="92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Failure to Achieve First Minimum Production Milestone.  Subject to the</w:t>
      </w:r>
    </w:p>
    <w:p>
      <w:pPr>
        <w:spacing w:after="0" w:line="16" w:lineRule="exact"/>
        <w:rPr>
          <w:rFonts w:ascii="Courier New" w:cs="Courier New" w:eastAsia="Courier New" w:hAnsi="Courier New"/>
          <w:sz w:val="14"/>
          <w:szCs w:val="14"/>
          <w:color w:val="auto"/>
        </w:rPr>
      </w:pPr>
    </w:p>
    <w:p>
      <w:pPr>
        <w:ind w:left="92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provisions hereof, if the Corporation fails to achieve the First Minimum Production Milestone, the increase in the Conversion Ratio (expressed as a decimal) shall be determined by first (w) dividing the Initial Purchase Price by the greater of (i) the average closing sales price on the New York Stock Exchange for the Common Stock during the 20 trading day period ending two trading days prior to the applicable milestone date, or (ii) 50% of the Initial Purchase Price, then (x) subtracting 1.0 from the result, then (y) multiplying this result by a fraction, the numerator of which shall be the First Minimum Production Milestone for the quarter minus the actual RDRAM production achieved during the quarter and the denominator of which shall be the First Minimum Production Milestone for the quarter, and (z) dividing the result by 2. The new Conversion Ratio shall then be the result of the above calculation plus the prior Conversion Ratio.</w:t>
      </w:r>
    </w:p>
    <w:p>
      <w:pPr>
        <w:spacing w:after="0" w:line="181" w:lineRule="exact"/>
        <w:rPr>
          <w:sz w:val="20"/>
          <w:szCs w:val="20"/>
          <w:color w:val="auto"/>
        </w:rPr>
      </w:pPr>
    </w:p>
    <w:p>
      <w:pPr>
        <w:ind w:left="920" w:hanging="459"/>
        <w:spacing w:after="0"/>
        <w:tabs>
          <w:tab w:leader="none" w:pos="92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Failure to Achieve Second Minimum Production Milestone.  Subject to</w:t>
      </w:r>
    </w:p>
    <w:p>
      <w:pPr>
        <w:ind w:left="92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the provisions hereof, if the Corporation fails to achieve the Second Minimum Production Milestone the increase in the Conversion Ratio (expressed as a decimal) shall be determined by first (w) dividing the Initial Purchase Price by greater of (A) the average closing sales price on the New York Stock Exchange for the Common Stock during the 20 trading day period ending two trading days prior to the applicable milestone date, or (ii) 50% of the Initial Purchase Price, then (x) subtracting 1.0 from the result, then (y) multiplying this result by a fraction, the numerator of which shall be the Second Minimum Required Production for the quarter minus the actual RDRAM production achieved during the quarter and the denominator of which shall be the Second Minimum Required Production for the quarter and (z) dividing the result by 2. The new Conversion Ratio shall then be the result of the above calculation plus the prior Conversion Ratio.</w:t>
      </w:r>
    </w:p>
    <w:p>
      <w:pPr>
        <w:spacing w:after="0" w:line="188" w:lineRule="exact"/>
        <w:rPr>
          <w:sz w:val="20"/>
          <w:szCs w:val="20"/>
          <w:color w:val="auto"/>
        </w:rPr>
      </w:pPr>
    </w:p>
    <w:p>
      <w:pPr>
        <w:ind w:left="920" w:hanging="459"/>
        <w:spacing w:after="0"/>
        <w:tabs>
          <w:tab w:leader="none" w:pos="92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Multiple Special Conversion Adjustments; Prior Adjustments.  If more</w:t>
      </w:r>
    </w:p>
    <w:p>
      <w:pPr>
        <w:spacing w:after="0" w:line="16" w:lineRule="exact"/>
        <w:rPr>
          <w:rFonts w:ascii="Courier New" w:cs="Courier New" w:eastAsia="Courier New" w:hAnsi="Courier New"/>
          <w:sz w:val="14"/>
          <w:szCs w:val="14"/>
          <w:color w:val="auto"/>
        </w:rPr>
      </w:pPr>
    </w:p>
    <w:p>
      <w:pPr>
        <w:ind w:left="92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right="3519"/>
        <w:spacing w:after="0" w:line="270" w:lineRule="auto"/>
        <w:rPr>
          <w:sz w:val="20"/>
          <w:szCs w:val="20"/>
          <w:color w:val="auto"/>
        </w:rPr>
      </w:pPr>
      <w:r>
        <w:rPr>
          <w:rFonts w:ascii="Courier New" w:cs="Courier New" w:eastAsia="Courier New" w:hAnsi="Courier New"/>
          <w:sz w:val="14"/>
          <w:szCs w:val="14"/>
          <w:color w:val="auto"/>
        </w:rPr>
        <w:t>than one Special Conversion Adjustment occurs hereunder (or comparable adjustments under the Stock Rights Agreement ("Rights Special Conversion</w:t>
      </w:r>
    </w:p>
    <w:p>
      <w:pPr>
        <w:ind w:left="4360"/>
        <w:spacing w:after="0" w:line="233" w:lineRule="auto"/>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Adjustments"), subsequent Special Conversion Adjustments shall be calculated as</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right="2779"/>
        <w:spacing w:after="0" w:line="273" w:lineRule="auto"/>
        <w:rPr>
          <w:sz w:val="20"/>
          <w:szCs w:val="20"/>
          <w:color w:val="auto"/>
        </w:rPr>
      </w:pPr>
      <w:r>
        <w:rPr>
          <w:rFonts w:ascii="Courier New" w:cs="Courier New" w:eastAsia="Courier New" w:hAnsi="Courier New"/>
          <w:sz w:val="14"/>
          <w:szCs w:val="14"/>
          <w:color w:val="auto"/>
        </w:rPr>
        <w:t>provided herein, but only the number of additional shares in excess of the number issuable using the Initial Conversion Ratio (as defined in this Section 3.j) (appropriately adjusted to reflect the effect of any stock splits, reclassifications, stock dividends, recapitalizations, combinations or other similar events affecting the Common Stock occurring after the creation of the Class A Common Stock), shall be issuable in respect of such subsequent Special Conversion Adjustment upon conversion of the Class A Common Stock. For purposes of this Section 3.j, the "Initial Conversion Ratio" will be one-to-one (appropriately adjusted to reflect the effect of any stock splits, reclassifications, stock dividends, recapitalizations, combinations or other similar events affecting the Common Stock occurring after the creation of the Class A Common Stock), provided, however, that in the event of the occurrence of</w:t>
      </w:r>
    </w:p>
    <w:p>
      <w:pPr>
        <w:spacing w:after="0" w:line="156"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right="2879"/>
        <w:spacing w:after="0" w:line="235" w:lineRule="auto"/>
        <w:rPr>
          <w:sz w:val="20"/>
          <w:szCs w:val="20"/>
          <w:color w:val="auto"/>
        </w:rPr>
      </w:pPr>
      <w:r>
        <w:rPr>
          <w:rFonts w:ascii="Courier New" w:cs="Courier New" w:eastAsia="Courier New" w:hAnsi="Courier New"/>
          <w:sz w:val="16"/>
          <w:szCs w:val="16"/>
          <w:color w:val="auto"/>
        </w:rPr>
        <w:t>a Rights Special Conversion Adjustment that resulted in an adjustment to the Exchange Ratio in accordance with the provisions of the Stock Rights Agreement prior to the creation of the Class A Common Stock, the Initial Conversion Ratio shall be equal to a fraction, the numerator of</w:t>
      </w:r>
    </w:p>
    <w:p>
      <w:pPr>
        <w:sectPr>
          <w:pgSz w:w="11900" w:h="16838" w:orient="portrait"/>
          <w:cols w:equalWidth="0" w:num="1">
            <w:col w:w="10219"/>
          </w:cols>
          <w:pgMar w:left="240" w:top="654" w:right="1440" w:bottom="1440" w:gutter="0" w:footer="0" w:header="0"/>
        </w:sectPr>
      </w:pPr>
    </w:p>
    <w:bookmarkStart w:id="74" w:name="page75"/>
    <w:bookmarkEnd w:id="74"/>
    <w:p>
      <w:pPr>
        <w:ind w:right="2779"/>
        <w:spacing w:after="0" w:line="236" w:lineRule="auto"/>
        <w:rPr>
          <w:sz w:val="20"/>
          <w:szCs w:val="20"/>
          <w:color w:val="auto"/>
        </w:rPr>
      </w:pPr>
      <w:r>
        <w:rPr>
          <w:rFonts w:ascii="Courier New" w:cs="Courier New" w:eastAsia="Courier New" w:hAnsi="Courier New"/>
          <w:sz w:val="16"/>
          <w:szCs w:val="16"/>
          <w:color w:val="auto"/>
        </w:rPr>
        <w:t>which shall be one (appropriately adjusted to reflect the effect of any stock splits, reclassifications, stock dividends, recapitalizations, combinations or other similar events affecting the Common Stock occurring after creation of the Class A Common Stock), and the denominator of which shall be the exchange ratio in effect under the Stock Rights Agreement immediately prior to the creation of the Class A Common Stock. Notwithstanding anything else to the contrary set forth herein, the Conversion Ratio shall not be adjusted for any events, circumstances or milestones for which adjustments have been made (or may be made as a result of completion of an audit or resolution of any dispute as to the appropriate amount of an adjustment required thereunder) pursuant to the Stock Rights Agreement.</w:t>
      </w:r>
    </w:p>
    <w:p>
      <w:pPr>
        <w:spacing w:after="0" w:line="180" w:lineRule="exact"/>
        <w:rPr>
          <w:sz w:val="20"/>
          <w:szCs w:val="20"/>
          <w:color w:val="auto"/>
        </w:rPr>
      </w:pPr>
    </w:p>
    <w:p>
      <w:pPr>
        <w:ind w:left="920" w:hanging="459"/>
        <w:spacing w:after="0"/>
        <w:tabs>
          <w:tab w:leader="none" w:pos="92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Cash Option.  In lieu of all or a portion of a Special Conversion</w:t>
      </w:r>
    </w:p>
    <w:p>
      <w:pPr>
        <w:ind w:left="92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Adjustment, the Corporation may elect to make a cash payment in respect of all or a portion of the dollar amount of the Special Conversion Adjustment (such election to be made within five (5) business days of Intel Corporation's Special Conversion Adjustment election, and such amount shall be paid within five (5) business days of the Corporation's election). The dollar amount in respect of any Special Conversion Adjustment to be paid in cash shall be calculated by multiplying the additional shares issuable to Intel Corporation upon conversion of the Class A Common Stock following the Special Conversion Adjustment by the average closing sales price on the New York Stock Exchange for the Common Stock during the 20 trading day period ending two trading days prior to the applicable milestone date.</w:t>
      </w:r>
    </w:p>
    <w:p>
      <w:pPr>
        <w:spacing w:after="0" w:line="186" w:lineRule="exact"/>
        <w:rPr>
          <w:sz w:val="20"/>
          <w:szCs w:val="20"/>
          <w:color w:val="auto"/>
        </w:rPr>
      </w:pPr>
    </w:p>
    <w:p>
      <w:pPr>
        <w:ind w:left="920" w:hanging="459"/>
        <w:spacing w:after="0"/>
        <w:tabs>
          <w:tab w:leader="none" w:pos="92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Limitations on Special Conversion Adjustments.  Anything in Sections</w:t>
      </w:r>
    </w:p>
    <w:p>
      <w:pPr>
        <w:spacing w:after="0" w:line="16" w:lineRule="exact"/>
        <w:rPr>
          <w:rFonts w:ascii="Courier New" w:cs="Courier New" w:eastAsia="Courier New" w:hAnsi="Courier New"/>
          <w:sz w:val="14"/>
          <w:szCs w:val="14"/>
          <w:color w:val="auto"/>
        </w:rPr>
      </w:pPr>
    </w:p>
    <w:p>
      <w:pPr>
        <w:ind w:left="92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right="2779"/>
        <w:spacing w:after="0" w:line="271" w:lineRule="auto"/>
        <w:rPr>
          <w:sz w:val="20"/>
          <w:szCs w:val="20"/>
          <w:color w:val="auto"/>
        </w:rPr>
      </w:pPr>
      <w:r>
        <w:rPr>
          <w:rFonts w:ascii="Courier New" w:cs="Courier New" w:eastAsia="Courier New" w:hAnsi="Courier New"/>
          <w:sz w:val="14"/>
          <w:szCs w:val="14"/>
          <w:color w:val="auto"/>
        </w:rPr>
        <w:t>3.h and 3.j to the contrary notwithstanding, no Special Conversion Adjustment will be made for failure to achieve the First Minimum Production Milestone or Second Minimum Production Milestone if a Special Conversion Adjustment election pursuant to clause (i) of Section 3.g above is made by Intel Corporation. In addition, anything in Sections 3.e through 3.j notwithstanding, Special Conversion Adjustments will be limited, and not given effect, to the extent required to ensure (1) that the value of additional shares of Common Stock and other securities or property and any related payments (including payments in lieu of adjustments pursuant to Section 3.k hereof) issued or issuable or payable as a result of such adjustments, together with any shares of Common Stock and other securities or property and any related payments issued or issuable or payable as a result of the Special Conversion Adjustments with respect to the Rights, does not exceed the Maximum Adjustment Amount (with the value of such additional shares, securities and property measured as of the milestone date with respect to the applicable Special Conversion Adjustments resulting in such additional shares, securities or property and any related payments, which, in the case of the Common Stock, shall be based on the average closing sales price on the New York Stock Exchange for the Common Stock during the 20 trading day period ending two trading days prior to the milestone date corresponding to such Special Conversion Adjustment); and (2) that the aggregate number of shares of Common Stock issued or issuable upon exercise of Rights or upon conversion of Class A Common Stock does not exceed the lesser of (i) the Maximum Percentage and (ii) the Maximum Shares.</w:t>
      </w:r>
    </w:p>
    <w:p>
      <w:pPr>
        <w:spacing w:after="0" w:line="200" w:lineRule="exact"/>
        <w:rPr>
          <w:sz w:val="20"/>
          <w:szCs w:val="20"/>
          <w:color w:val="auto"/>
        </w:rPr>
      </w:pPr>
    </w:p>
    <w:p>
      <w:pPr>
        <w:spacing w:after="0" w:line="327" w:lineRule="exact"/>
        <w:rPr>
          <w:sz w:val="20"/>
          <w:szCs w:val="20"/>
          <w:color w:val="auto"/>
        </w:rPr>
      </w:pPr>
    </w:p>
    <w:p>
      <w:pPr>
        <w:ind w:left="840" w:hanging="379"/>
        <w:spacing w:after="0"/>
        <w:tabs>
          <w:tab w:leader="none" w:pos="84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Existing Stock Certificates.  Irrespective of any adjustments in the</w:t>
      </w:r>
    </w:p>
    <w:p>
      <w:pPr>
        <w:ind w:left="840"/>
        <w:spacing w:after="0" w:line="236" w:lineRule="auto"/>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right="2879"/>
        <w:spacing w:after="0" w:line="235" w:lineRule="auto"/>
        <w:rPr>
          <w:sz w:val="20"/>
          <w:szCs w:val="20"/>
          <w:color w:val="auto"/>
        </w:rPr>
      </w:pPr>
      <w:r>
        <w:rPr>
          <w:rFonts w:ascii="Courier New" w:cs="Courier New" w:eastAsia="Courier New" w:hAnsi="Courier New"/>
          <w:sz w:val="16"/>
          <w:szCs w:val="16"/>
          <w:color w:val="auto"/>
        </w:rPr>
        <w:t>number or kind of shares issuable upon the conversion of the Class A Common Stock, certificates representing Class A Common Stock theretofore or thereafter issued may continue to express the same number and kind of shares as are stated in the certificates initially issuable pursuant hereto.</w:t>
      </w:r>
    </w:p>
    <w:p>
      <w:pPr>
        <w:sectPr>
          <w:pgSz w:w="11900" w:h="16838" w:orient="portrait"/>
          <w:cols w:equalWidth="0" w:num="1">
            <w:col w:w="10219"/>
          </w:cols>
          <w:pgMar w:left="240" w:top="654" w:right="1440" w:bottom="1440" w:gutter="0" w:footer="0" w:header="0"/>
        </w:sectPr>
      </w:pPr>
    </w:p>
    <w:bookmarkStart w:id="75" w:name="page76"/>
    <w:bookmarkEnd w:id="75"/>
    <w:p>
      <w:pPr>
        <w:ind w:left="560" w:hanging="379"/>
        <w:spacing w:after="0"/>
        <w:tabs>
          <w:tab w:leader="none" w:pos="56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 of Taxes.  The Corporation will pay all documentary stamp taxes</w:t>
      </w:r>
    </w:p>
    <w:p>
      <w:pPr>
        <w:ind w:left="56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and other governmental charges (excluding all foreign, federal, state or local income, franchise, property, net worth, capital, estate, inheritance, gift or similar taxes) in connection with the issuance or delivery of the Class A Common Stock, as well as all such taxes attributable to the initial issuance or delivery of Common Stock upon the conversion of Class A Common Stock. The Corporation shall not, however, be required to pay any tax that may be payable in respect of any subsequent transfer of the Class A Common Stock or any transfer involved in the issuance and delivery of Common Stock in a name other than that in which the Class A Common Stock or Common Stock to which such issuance relates were registered, and, if any such tax would otherwise be payable by the Corporation, no such issuance or delivery shall be made unless and until the person requesting such issuance has paid to the Corporation the amount of any such tax, or it is established to the reasonable satisfaction of the Corporation that any such tax has been paid.</w:t>
      </w:r>
    </w:p>
    <w:p>
      <w:pPr>
        <w:spacing w:after="0" w:line="182" w:lineRule="exact"/>
        <w:rPr>
          <w:sz w:val="20"/>
          <w:szCs w:val="20"/>
          <w:color w:val="auto"/>
        </w:rPr>
      </w:pPr>
    </w:p>
    <w:p>
      <w:pPr>
        <w:ind w:left="920" w:hanging="366"/>
        <w:spacing w:after="0"/>
        <w:tabs>
          <w:tab w:leader="none" w:pos="92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Common Stock Reserved. The Corporation shall reserve and keep</w:t>
      </w:r>
    </w:p>
    <w:p>
      <w:pPr>
        <w:ind w:left="920"/>
        <w:spacing w:after="0" w:line="236" w:lineRule="auto"/>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jc w:val="both"/>
        <w:ind w:right="2779"/>
        <w:spacing w:after="0" w:line="235" w:lineRule="auto"/>
        <w:rPr>
          <w:sz w:val="20"/>
          <w:szCs w:val="20"/>
          <w:color w:val="auto"/>
        </w:rPr>
      </w:pPr>
      <w:r>
        <w:rPr>
          <w:rFonts w:ascii="Courier New" w:cs="Courier New" w:eastAsia="Courier New" w:hAnsi="Courier New"/>
          <w:sz w:val="16"/>
          <w:szCs w:val="16"/>
          <w:color w:val="auto"/>
        </w:rPr>
        <w:t>available out of its authorized but not outstanding Common Stock such number of shares of Common Stock as shall, from time to time be, sufficient for conversion of the Class A Common Stock.</w:t>
      </w:r>
    </w:p>
    <w:p>
      <w:pPr>
        <w:spacing w:after="0" w:line="177" w:lineRule="exact"/>
        <w:rPr>
          <w:sz w:val="20"/>
          <w:szCs w:val="20"/>
          <w:color w:val="auto"/>
        </w:rPr>
      </w:pPr>
    </w:p>
    <w:p>
      <w:pPr>
        <w:ind w:left="180"/>
        <w:spacing w:after="0"/>
        <w:tabs>
          <w:tab w:leader="none" w:pos="1280" w:val="left"/>
          <w:tab w:leader="none" w:pos="2760" w:val="left"/>
        </w:tabs>
        <w:rPr>
          <w:sz w:val="20"/>
          <w:szCs w:val="20"/>
          <w:color w:val="auto"/>
        </w:rPr>
      </w:pPr>
      <w:r>
        <w:rPr>
          <w:rFonts w:ascii="Courier New" w:cs="Courier New" w:eastAsia="Courier New" w:hAnsi="Courier New"/>
          <w:sz w:val="16"/>
          <w:szCs w:val="16"/>
          <w:color w:val="auto"/>
        </w:rPr>
        <w:t>Section 4.</w:t>
        <w:tab/>
        <w:t>No Redemption.</w:t>
      </w:r>
      <w:r>
        <w:rPr>
          <w:sz w:val="20"/>
          <w:szCs w:val="20"/>
          <w:color w:val="auto"/>
        </w:rPr>
        <w:tab/>
      </w:r>
      <w:r>
        <w:rPr>
          <w:rFonts w:ascii="Courier New" w:cs="Courier New" w:eastAsia="Courier New" w:hAnsi="Courier New"/>
          <w:sz w:val="14"/>
          <w:szCs w:val="14"/>
          <w:color w:val="auto"/>
        </w:rPr>
        <w:t>The Class A Common Stock shall not be redeemable.</w:t>
      </w:r>
    </w:p>
    <w:p>
      <w:pPr>
        <w:ind w:left="180"/>
        <w:spacing w:after="0" w:line="236" w:lineRule="auto"/>
        <w:tabs>
          <w:tab w:leader="none" w:pos="1280" w:val="left"/>
        </w:tabs>
        <w:rPr>
          <w:sz w:val="20"/>
          <w:szCs w:val="20"/>
          <w:color w:val="auto"/>
        </w:rPr>
      </w:pPr>
      <w:r>
        <w:rPr>
          <w:rFonts w:ascii="Courier New" w:cs="Courier New" w:eastAsia="Courier New" w:hAnsi="Courier New"/>
          <w:sz w:val="16"/>
          <w:szCs w:val="16"/>
          <w:color w:val="auto"/>
        </w:rPr>
        <w:t>----------</w:t>
        <w:tab/>
        <w:t>-------------</w:t>
      </w:r>
    </w:p>
    <w:p>
      <w:pPr>
        <w:spacing w:after="0" w:line="177" w:lineRule="exact"/>
        <w:rPr>
          <w:sz w:val="20"/>
          <w:szCs w:val="20"/>
          <w:color w:val="auto"/>
        </w:rPr>
      </w:pPr>
    </w:p>
    <w:p>
      <w:pPr>
        <w:ind w:left="180"/>
        <w:spacing w:after="0"/>
        <w:tabs>
          <w:tab w:leader="none" w:pos="1280" w:val="left"/>
          <w:tab w:leader="none" w:pos="4720" w:val="left"/>
        </w:tabs>
        <w:rPr>
          <w:sz w:val="20"/>
          <w:szCs w:val="20"/>
          <w:color w:val="auto"/>
        </w:rPr>
      </w:pPr>
      <w:r>
        <w:rPr>
          <w:rFonts w:ascii="Courier New" w:cs="Courier New" w:eastAsia="Courier New" w:hAnsi="Courier New"/>
          <w:sz w:val="16"/>
          <w:szCs w:val="16"/>
          <w:color w:val="auto"/>
        </w:rPr>
        <w:t>Section 5.</w:t>
        <w:tab/>
        <w:t>Voting Rights; Non-Voting Security.</w:t>
      </w:r>
      <w:r>
        <w:rPr>
          <w:sz w:val="20"/>
          <w:szCs w:val="20"/>
          <w:color w:val="auto"/>
        </w:rPr>
        <w:tab/>
      </w:r>
      <w:r>
        <w:rPr>
          <w:rFonts w:ascii="Courier New" w:cs="Courier New" w:eastAsia="Courier New" w:hAnsi="Courier New"/>
          <w:sz w:val="14"/>
          <w:szCs w:val="14"/>
          <w:color w:val="auto"/>
        </w:rPr>
        <w:t>The holders of shares of</w:t>
      </w:r>
    </w:p>
    <w:p>
      <w:pPr>
        <w:ind w:left="180"/>
        <w:spacing w:after="0" w:line="236" w:lineRule="auto"/>
        <w:tabs>
          <w:tab w:leader="none" w:pos="12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6"/>
          <w:szCs w:val="16"/>
          <w:color w:val="auto"/>
        </w:rPr>
        <w:t>Class A Common Stock shall have no voting rights except as provided in the Certificate of Incorporation or by applicable law.</w:t>
      </w:r>
    </w:p>
    <w:p>
      <w:pPr>
        <w:spacing w:after="0" w:line="177" w:lineRule="exact"/>
        <w:rPr>
          <w:sz w:val="20"/>
          <w:szCs w:val="20"/>
          <w:color w:val="auto"/>
        </w:rPr>
      </w:pPr>
    </w:p>
    <w:p>
      <w:pPr>
        <w:ind w:left="180"/>
        <w:spacing w:after="0"/>
        <w:tabs>
          <w:tab w:leader="none" w:pos="1280" w:val="left"/>
          <w:tab w:leader="none" w:pos="2960" w:val="left"/>
        </w:tabs>
        <w:rPr>
          <w:sz w:val="20"/>
          <w:szCs w:val="20"/>
          <w:color w:val="auto"/>
        </w:rPr>
      </w:pPr>
      <w:r>
        <w:rPr>
          <w:rFonts w:ascii="Courier New" w:cs="Courier New" w:eastAsia="Courier New" w:hAnsi="Courier New"/>
          <w:sz w:val="16"/>
          <w:szCs w:val="16"/>
          <w:color w:val="auto"/>
        </w:rPr>
        <w:t>Section 6.</w:t>
        <w:tab/>
        <w:t>Dividend Rights.</w:t>
      </w:r>
      <w:r>
        <w:rPr>
          <w:sz w:val="20"/>
          <w:szCs w:val="20"/>
          <w:color w:val="auto"/>
        </w:rPr>
        <w:tab/>
      </w:r>
      <w:r>
        <w:rPr>
          <w:rFonts w:ascii="Courier New" w:cs="Courier New" w:eastAsia="Courier New" w:hAnsi="Courier New"/>
          <w:sz w:val="14"/>
          <w:szCs w:val="14"/>
          <w:color w:val="auto"/>
        </w:rPr>
        <w:t>In the event any dividend or other distribution</w:t>
      </w:r>
    </w:p>
    <w:p>
      <w:pPr>
        <w:ind w:left="180"/>
        <w:spacing w:after="0" w:line="236" w:lineRule="auto"/>
        <w:tabs>
          <w:tab w:leader="none" w:pos="1280" w:val="left"/>
        </w:tabs>
        <w:rPr>
          <w:sz w:val="20"/>
          <w:szCs w:val="20"/>
          <w:color w:val="auto"/>
        </w:rPr>
      </w:pPr>
      <w:r>
        <w:rPr>
          <w:rFonts w:ascii="Courier New" w:cs="Courier New" w:eastAsia="Courier New" w:hAnsi="Courier New"/>
          <w:sz w:val="16"/>
          <w:szCs w:val="16"/>
          <w:color w:val="auto"/>
        </w:rPr>
        <w:t>----------</w:t>
        <w:tab/>
        <w:t>---------------</w:t>
      </w:r>
    </w:p>
    <w:p>
      <w:pPr>
        <w:spacing w:after="0" w:line="4"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payable in cash or other property is declared on the Common Stock (excluding any dividend or other distribution for which adjustment to the Conversion Ratio is provided by Section 3.d hereof), each holder of shares of Class A Common Stock on the record date for such dividend or distribution shall be entitled to receive on the date of payment or distribution of such dividend or other distribution the same cash or other property which such holder would have received if on such record date such holder was the holder of record of the number (including for purposes of this Section 6 any fraction) of shares of Common Stock into which the shares of Class A Common Stock then held by such holder are then convertible.</w:t>
      </w:r>
    </w:p>
    <w:p>
      <w:pPr>
        <w:spacing w:after="0" w:line="179" w:lineRule="exact"/>
        <w:rPr>
          <w:sz w:val="20"/>
          <w:szCs w:val="20"/>
          <w:color w:val="auto"/>
        </w:rPr>
      </w:pPr>
    </w:p>
    <w:p>
      <w:pPr>
        <w:ind w:left="180"/>
        <w:spacing w:after="0"/>
        <w:tabs>
          <w:tab w:leader="none" w:pos="1280" w:val="left"/>
        </w:tabs>
        <w:rPr>
          <w:sz w:val="20"/>
          <w:szCs w:val="20"/>
          <w:color w:val="auto"/>
        </w:rPr>
      </w:pPr>
      <w:r>
        <w:rPr>
          <w:rFonts w:ascii="Courier New" w:cs="Courier New" w:eastAsia="Courier New" w:hAnsi="Courier New"/>
          <w:sz w:val="16"/>
          <w:szCs w:val="16"/>
          <w:color w:val="auto"/>
        </w:rPr>
        <w:t>Section 7.</w:t>
      </w:r>
      <w:r>
        <w:rPr>
          <w:sz w:val="20"/>
          <w:szCs w:val="20"/>
          <w:color w:val="auto"/>
        </w:rPr>
        <w:tab/>
      </w:r>
      <w:r>
        <w:rPr>
          <w:rFonts w:ascii="Courier New" w:cs="Courier New" w:eastAsia="Courier New" w:hAnsi="Courier New"/>
          <w:sz w:val="14"/>
          <w:szCs w:val="14"/>
          <w:color w:val="auto"/>
        </w:rPr>
        <w:t>Certain Definitions; Interpretation.</w:t>
      </w:r>
    </w:p>
    <w:p>
      <w:pPr>
        <w:ind w:left="130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959" w:firstLine="465"/>
        <w:spacing w:after="0" w:line="234" w:lineRule="auto"/>
        <w:rPr>
          <w:sz w:val="20"/>
          <w:szCs w:val="20"/>
          <w:color w:val="auto"/>
        </w:rPr>
      </w:pPr>
      <w:r>
        <w:rPr>
          <w:rFonts w:ascii="Courier New" w:cs="Courier New" w:eastAsia="Courier New" w:hAnsi="Courier New"/>
          <w:sz w:val="16"/>
          <w:szCs w:val="16"/>
          <w:color w:val="auto"/>
        </w:rPr>
        <w:t>For purposes hereof the following terms shall have the meanings set forth below.</w:t>
      </w:r>
    </w:p>
    <w:p>
      <w:pPr>
        <w:spacing w:after="0" w:line="177" w:lineRule="exact"/>
        <w:rPr>
          <w:sz w:val="20"/>
          <w:szCs w:val="20"/>
          <w:color w:val="auto"/>
        </w:rPr>
      </w:pPr>
    </w:p>
    <w:p>
      <w:pPr>
        <w:ind w:left="460"/>
        <w:spacing w:after="0"/>
        <w:tabs>
          <w:tab w:leader="none" w:pos="3880" w:val="left"/>
        </w:tabs>
        <w:rPr>
          <w:sz w:val="20"/>
          <w:szCs w:val="20"/>
          <w:color w:val="auto"/>
        </w:rPr>
      </w:pPr>
      <w:r>
        <w:rPr>
          <w:rFonts w:ascii="Courier New" w:cs="Courier New" w:eastAsia="Courier New" w:hAnsi="Courier New"/>
          <w:sz w:val="16"/>
          <w:szCs w:val="16"/>
          <w:color w:val="auto"/>
        </w:rPr>
        <w:t>First Minimum Production Milestone.</w:t>
      </w:r>
      <w:r>
        <w:rPr>
          <w:sz w:val="20"/>
          <w:szCs w:val="20"/>
          <w:color w:val="auto"/>
        </w:rPr>
        <w:tab/>
      </w:r>
      <w:r>
        <w:rPr>
          <w:rFonts w:ascii="Courier New" w:cs="Courier New" w:eastAsia="Courier New" w:hAnsi="Courier New"/>
          <w:sz w:val="14"/>
          <w:szCs w:val="14"/>
          <w:color w:val="auto"/>
        </w:rPr>
        <w:t>The First Minimum Production Milestone</w:t>
      </w:r>
    </w:p>
    <w:p>
      <w:pPr>
        <w:ind w:left="460"/>
        <w:spacing w:after="0" w:line="236" w:lineRule="auto"/>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right="3619"/>
        <w:spacing w:after="0" w:line="234" w:lineRule="auto"/>
        <w:rPr>
          <w:sz w:val="20"/>
          <w:szCs w:val="20"/>
          <w:color w:val="auto"/>
        </w:rPr>
      </w:pPr>
      <w:r>
        <w:rPr>
          <w:rFonts w:ascii="Courier New" w:cs="Courier New" w:eastAsia="Courier New" w:hAnsi="Courier New"/>
          <w:sz w:val="16"/>
          <w:szCs w:val="16"/>
          <w:color w:val="auto"/>
        </w:rPr>
        <w:t>shall have the meaning ascribed to such term in the Securities Purchase Agreement.</w:t>
      </w:r>
    </w:p>
    <w:p>
      <w:pPr>
        <w:spacing w:after="0" w:line="177" w:lineRule="exact"/>
        <w:rPr>
          <w:sz w:val="20"/>
          <w:szCs w:val="20"/>
          <w:color w:val="auto"/>
        </w:rPr>
      </w:pPr>
    </w:p>
    <w:p>
      <w:pPr>
        <w:ind w:left="460"/>
        <w:spacing w:after="0"/>
        <w:tabs>
          <w:tab w:leader="none" w:pos="3880" w:val="left"/>
        </w:tabs>
        <w:rPr>
          <w:sz w:val="20"/>
          <w:szCs w:val="20"/>
          <w:color w:val="auto"/>
        </w:rPr>
      </w:pPr>
      <w:r>
        <w:rPr>
          <w:rFonts w:ascii="Courier New" w:cs="Courier New" w:eastAsia="Courier New" w:hAnsi="Courier New"/>
          <w:sz w:val="16"/>
          <w:szCs w:val="16"/>
          <w:color w:val="auto"/>
        </w:rPr>
        <w:t>First Minimum Required Production.</w:t>
      </w:r>
      <w:r>
        <w:rPr>
          <w:sz w:val="20"/>
          <w:szCs w:val="20"/>
          <w:color w:val="auto"/>
        </w:rPr>
        <w:tab/>
      </w:r>
      <w:r>
        <w:rPr>
          <w:rFonts w:ascii="Courier New" w:cs="Courier New" w:eastAsia="Courier New" w:hAnsi="Courier New"/>
          <w:sz w:val="14"/>
          <w:szCs w:val="14"/>
          <w:color w:val="auto"/>
        </w:rPr>
        <w:t>First Minimum Required Production</w:t>
      </w:r>
    </w:p>
    <w:p>
      <w:pPr>
        <w:ind w:left="460"/>
        <w:spacing w:after="0" w:line="236" w:lineRule="auto"/>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right="3619"/>
        <w:spacing w:after="0" w:line="234" w:lineRule="auto"/>
        <w:rPr>
          <w:sz w:val="20"/>
          <w:szCs w:val="20"/>
          <w:color w:val="auto"/>
        </w:rPr>
      </w:pPr>
      <w:r>
        <w:rPr>
          <w:rFonts w:ascii="Courier New" w:cs="Courier New" w:eastAsia="Courier New" w:hAnsi="Courier New"/>
          <w:sz w:val="16"/>
          <w:szCs w:val="16"/>
          <w:color w:val="auto"/>
        </w:rPr>
        <w:t>shall have the meaning ascribed to such term in the Securities Purchase Agreement.</w:t>
      </w:r>
    </w:p>
    <w:p>
      <w:pPr>
        <w:spacing w:after="0" w:line="177" w:lineRule="exact"/>
        <w:rPr>
          <w:sz w:val="20"/>
          <w:szCs w:val="20"/>
          <w:color w:val="auto"/>
        </w:rPr>
      </w:pPr>
    </w:p>
    <w:p>
      <w:pPr>
        <w:ind w:left="460"/>
        <w:spacing w:after="0"/>
        <w:tabs>
          <w:tab w:leader="none" w:pos="3600" w:val="left"/>
        </w:tabs>
        <w:rPr>
          <w:sz w:val="20"/>
          <w:szCs w:val="20"/>
          <w:color w:val="auto"/>
        </w:rPr>
      </w:pPr>
      <w:r>
        <w:rPr>
          <w:rFonts w:ascii="Courier New" w:cs="Courier New" w:eastAsia="Courier New" w:hAnsi="Courier New"/>
          <w:sz w:val="16"/>
          <w:szCs w:val="16"/>
          <w:color w:val="auto"/>
        </w:rPr>
        <w:t>First Production Milestone Date.</w:t>
      </w:r>
      <w:r>
        <w:rPr>
          <w:sz w:val="20"/>
          <w:szCs w:val="20"/>
          <w:color w:val="auto"/>
        </w:rPr>
        <w:tab/>
      </w:r>
      <w:r>
        <w:rPr>
          <w:rFonts w:ascii="Courier New" w:cs="Courier New" w:eastAsia="Courier New" w:hAnsi="Courier New"/>
          <w:sz w:val="14"/>
          <w:szCs w:val="14"/>
          <w:color w:val="auto"/>
        </w:rPr>
        <w:t>The First Production Milestone Date shall</w:t>
      </w:r>
    </w:p>
    <w:p>
      <w:pPr>
        <w:ind w:left="460"/>
        <w:spacing w:after="0" w:line="236" w:lineRule="auto"/>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have the meaning ascribed to such term in the Securities Purchase Agreement.</w:t>
      </w:r>
    </w:p>
    <w:p>
      <w:pPr>
        <w:sectPr>
          <w:pgSz w:w="11900" w:h="16838" w:orient="portrait"/>
          <w:cols w:equalWidth="0" w:num="1">
            <w:col w:w="10219"/>
          </w:cols>
          <w:pgMar w:left="240" w:top="648" w:right="1440" w:bottom="1440" w:gutter="0" w:footer="0" w:header="0"/>
        </w:sectPr>
      </w:pPr>
    </w:p>
    <w:bookmarkStart w:id="76" w:name="page77"/>
    <w:bookmarkEnd w:id="76"/>
    <w:p>
      <w:pPr>
        <w:ind w:left="180"/>
        <w:spacing w:after="0"/>
        <w:tabs>
          <w:tab w:leader="none" w:pos="1640" w:val="left"/>
        </w:tabs>
        <w:rPr>
          <w:sz w:val="20"/>
          <w:szCs w:val="20"/>
          <w:color w:val="auto"/>
        </w:rPr>
      </w:pPr>
      <w:r>
        <w:rPr>
          <w:rFonts w:ascii="Courier New" w:cs="Courier New" w:eastAsia="Courier New" w:hAnsi="Courier New"/>
          <w:sz w:val="16"/>
          <w:szCs w:val="16"/>
          <w:color w:val="auto"/>
        </w:rPr>
        <w:t>Force Majeure.</w:t>
      </w:r>
      <w:r>
        <w:rPr>
          <w:sz w:val="20"/>
          <w:szCs w:val="20"/>
          <w:color w:val="auto"/>
        </w:rPr>
        <w:tab/>
      </w:r>
      <w:r>
        <w:rPr>
          <w:rFonts w:ascii="Courier New" w:cs="Courier New" w:eastAsia="Courier New" w:hAnsi="Courier New"/>
          <w:sz w:val="14"/>
          <w:szCs w:val="14"/>
          <w:color w:val="auto"/>
        </w:rPr>
        <w:t>Force Majeure shall mean an act of God, fire, flood,</w:t>
      </w:r>
    </w:p>
    <w:p>
      <w:pPr>
        <w:ind w:left="180"/>
        <w:spacing w:after="0" w:line="236" w:lineRule="auto"/>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right="2959"/>
        <w:spacing w:after="0" w:line="279" w:lineRule="auto"/>
        <w:rPr>
          <w:sz w:val="20"/>
          <w:szCs w:val="20"/>
          <w:color w:val="auto"/>
        </w:rPr>
      </w:pPr>
      <w:r>
        <w:rPr>
          <w:rFonts w:ascii="Courier New" w:cs="Courier New" w:eastAsia="Courier New" w:hAnsi="Courier New"/>
          <w:sz w:val="14"/>
          <w:szCs w:val="14"/>
          <w:color w:val="auto"/>
        </w:rPr>
        <w:t>accident, riot war, government intervention, embargoes, strikes, labor difficulties, equipment failure, late delivery of supplies, supplier shortages or other difficulties which are beyond the reasonable control and without the fault or negligence of a party whose performance has been affected.</w:t>
      </w:r>
    </w:p>
    <w:p>
      <w:pPr>
        <w:spacing w:after="0" w:line="151" w:lineRule="exact"/>
        <w:rPr>
          <w:sz w:val="20"/>
          <w:szCs w:val="20"/>
          <w:color w:val="auto"/>
        </w:rPr>
      </w:pPr>
    </w:p>
    <w:p>
      <w:pPr>
        <w:ind w:left="180"/>
        <w:spacing w:after="0"/>
        <w:tabs>
          <w:tab w:leader="none" w:pos="2480" w:val="left"/>
        </w:tabs>
        <w:rPr>
          <w:sz w:val="20"/>
          <w:szCs w:val="20"/>
          <w:color w:val="auto"/>
        </w:rPr>
      </w:pPr>
      <w:r>
        <w:rPr>
          <w:rFonts w:ascii="Courier New" w:cs="Courier New" w:eastAsia="Courier New" w:hAnsi="Courier New"/>
          <w:sz w:val="16"/>
          <w:szCs w:val="16"/>
          <w:color w:val="auto"/>
        </w:rPr>
        <w:t>Initial Purchase Price.</w:t>
      </w:r>
      <w:r>
        <w:rPr>
          <w:sz w:val="20"/>
          <w:szCs w:val="20"/>
          <w:color w:val="auto"/>
        </w:rPr>
        <w:tab/>
      </w:r>
      <w:r>
        <w:rPr>
          <w:rFonts w:ascii="Courier New" w:cs="Courier New" w:eastAsia="Courier New" w:hAnsi="Courier New"/>
          <w:sz w:val="14"/>
          <w:szCs w:val="14"/>
          <w:color w:val="auto"/>
        </w:rPr>
        <w:t>Initial Purchase Price means $31.625, appropriately</w:t>
      </w:r>
    </w:p>
    <w:p>
      <w:pPr>
        <w:ind w:left="180"/>
        <w:spacing w:after="0" w:line="236" w:lineRule="auto"/>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right="2779"/>
        <w:spacing w:after="0" w:line="235" w:lineRule="auto"/>
        <w:rPr>
          <w:sz w:val="20"/>
          <w:szCs w:val="20"/>
          <w:color w:val="auto"/>
        </w:rPr>
      </w:pPr>
      <w:r>
        <w:rPr>
          <w:rFonts w:ascii="Courier New" w:cs="Courier New" w:eastAsia="Courier New" w:hAnsi="Courier New"/>
          <w:sz w:val="16"/>
          <w:szCs w:val="16"/>
          <w:color w:val="auto"/>
        </w:rPr>
        <w:t>adjusted to reflect the effect of any stock splits, reclassifications, stock dividends, recapitalizations, combinations or other similar events affecting the Common Stock occurring after October 19, 1998.</w:t>
      </w:r>
    </w:p>
    <w:p>
      <w:pPr>
        <w:spacing w:after="0" w:line="177" w:lineRule="exact"/>
        <w:rPr>
          <w:sz w:val="20"/>
          <w:szCs w:val="20"/>
          <w:color w:val="auto"/>
        </w:rPr>
      </w:pPr>
    </w:p>
    <w:p>
      <w:pPr>
        <w:ind w:left="180"/>
        <w:spacing w:after="0"/>
        <w:tabs>
          <w:tab w:leader="none" w:pos="2760" w:val="left"/>
          <w:tab w:leader="none" w:pos="5280" w:val="left"/>
        </w:tabs>
        <w:rPr>
          <w:sz w:val="20"/>
          <w:szCs w:val="20"/>
          <w:color w:val="auto"/>
        </w:rPr>
      </w:pPr>
      <w:r>
        <w:rPr>
          <w:rFonts w:ascii="Courier New" w:cs="Courier New" w:eastAsia="Courier New" w:hAnsi="Courier New"/>
          <w:sz w:val="16"/>
          <w:szCs w:val="16"/>
          <w:color w:val="auto"/>
        </w:rPr>
        <w:t>Maximum Adjustment Amount.</w:t>
        <w:tab/>
        <w:t>Maximum Adjustment Amount</w:t>
      </w:r>
      <w:r>
        <w:rPr>
          <w:sz w:val="20"/>
          <w:szCs w:val="20"/>
          <w:color w:val="auto"/>
        </w:rPr>
        <w:tab/>
      </w:r>
      <w:r>
        <w:rPr>
          <w:rFonts w:ascii="Courier New" w:cs="Courier New" w:eastAsia="Courier New" w:hAnsi="Courier New"/>
          <w:sz w:val="14"/>
          <w:szCs w:val="14"/>
          <w:color w:val="auto"/>
        </w:rPr>
        <w:t>shall have the meaning</w:t>
      </w:r>
    </w:p>
    <w:p>
      <w:pPr>
        <w:ind w:left="180"/>
        <w:spacing w:after="0" w:line="236" w:lineRule="auto"/>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ascribed to such term in the Securities Purchase Agreement.</w:t>
      </w:r>
    </w:p>
    <w:p>
      <w:pPr>
        <w:spacing w:after="0" w:line="177" w:lineRule="exact"/>
        <w:rPr>
          <w:sz w:val="20"/>
          <w:szCs w:val="20"/>
          <w:color w:val="auto"/>
        </w:rPr>
      </w:pPr>
    </w:p>
    <w:p>
      <w:pPr>
        <w:ind w:left="180"/>
        <w:spacing w:after="0"/>
        <w:tabs>
          <w:tab w:leader="none" w:pos="1460" w:val="left"/>
        </w:tabs>
        <w:rPr>
          <w:sz w:val="20"/>
          <w:szCs w:val="20"/>
          <w:color w:val="auto"/>
        </w:rPr>
      </w:pPr>
      <w:r>
        <w:rPr>
          <w:rFonts w:ascii="Courier New" w:cs="Courier New" w:eastAsia="Courier New" w:hAnsi="Courier New"/>
          <w:sz w:val="16"/>
          <w:szCs w:val="16"/>
          <w:color w:val="auto"/>
        </w:rPr>
        <w:t>Maximum FGI.</w:t>
      </w:r>
      <w:r>
        <w:rPr>
          <w:sz w:val="20"/>
          <w:szCs w:val="20"/>
          <w:color w:val="auto"/>
        </w:rPr>
        <w:tab/>
      </w:r>
      <w:r>
        <w:rPr>
          <w:rFonts w:ascii="Courier New" w:cs="Courier New" w:eastAsia="Courier New" w:hAnsi="Courier New"/>
          <w:sz w:val="14"/>
          <w:szCs w:val="14"/>
          <w:color w:val="auto"/>
        </w:rPr>
        <w:t>Maximum FGI shall have the meaning ascribed to such term in the</w:t>
      </w:r>
    </w:p>
    <w:p>
      <w:pPr>
        <w:ind w:left="180"/>
        <w:spacing w:after="0" w:line="236" w:lineRule="auto"/>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Securities Purchase Agreement.</w:t>
      </w:r>
    </w:p>
    <w:p>
      <w:pPr>
        <w:spacing w:after="0" w:line="177" w:lineRule="exact"/>
        <w:rPr>
          <w:sz w:val="20"/>
          <w:szCs w:val="20"/>
          <w:color w:val="auto"/>
        </w:rPr>
      </w:pPr>
    </w:p>
    <w:p>
      <w:pPr>
        <w:ind w:left="180"/>
        <w:spacing w:after="0"/>
        <w:tabs>
          <w:tab w:leader="none" w:pos="2020" w:val="left"/>
        </w:tabs>
        <w:rPr>
          <w:sz w:val="20"/>
          <w:szCs w:val="20"/>
          <w:color w:val="auto"/>
        </w:rPr>
      </w:pPr>
      <w:r>
        <w:rPr>
          <w:rFonts w:ascii="Courier New" w:cs="Courier New" w:eastAsia="Courier New" w:hAnsi="Courier New"/>
          <w:sz w:val="16"/>
          <w:szCs w:val="16"/>
          <w:color w:val="auto"/>
        </w:rPr>
        <w:t>Maximum FGI Date.</w:t>
      </w:r>
      <w:r>
        <w:rPr>
          <w:sz w:val="20"/>
          <w:szCs w:val="20"/>
          <w:color w:val="auto"/>
        </w:rPr>
        <w:tab/>
      </w:r>
      <w:r>
        <w:rPr>
          <w:rFonts w:ascii="Courier New" w:cs="Courier New" w:eastAsia="Courier New" w:hAnsi="Courier New"/>
          <w:sz w:val="14"/>
          <w:szCs w:val="14"/>
          <w:color w:val="auto"/>
        </w:rPr>
        <w:t>Maximum FGI Date shall have the meaning ascribed to such</w:t>
      </w:r>
    </w:p>
    <w:p>
      <w:pPr>
        <w:ind w:left="180"/>
        <w:spacing w:after="0" w:line="236" w:lineRule="auto"/>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term in the Securities Purchase Agreement.</w:t>
      </w:r>
    </w:p>
    <w:p>
      <w:pPr>
        <w:spacing w:after="0" w:line="177" w:lineRule="exact"/>
        <w:rPr>
          <w:sz w:val="20"/>
          <w:szCs w:val="20"/>
          <w:color w:val="auto"/>
        </w:rPr>
      </w:pPr>
    </w:p>
    <w:p>
      <w:pPr>
        <w:ind w:left="180"/>
        <w:spacing w:after="0"/>
        <w:tabs>
          <w:tab w:leader="none" w:pos="2120" w:val="left"/>
        </w:tabs>
        <w:rPr>
          <w:sz w:val="20"/>
          <w:szCs w:val="20"/>
          <w:color w:val="auto"/>
        </w:rPr>
      </w:pPr>
      <w:r>
        <w:rPr>
          <w:rFonts w:ascii="Courier New" w:cs="Courier New" w:eastAsia="Courier New" w:hAnsi="Courier New"/>
          <w:sz w:val="16"/>
          <w:szCs w:val="16"/>
          <w:color w:val="auto"/>
        </w:rPr>
        <w:t>Maximum Percentage.</w:t>
      </w:r>
      <w:r>
        <w:rPr>
          <w:sz w:val="20"/>
          <w:szCs w:val="20"/>
          <w:color w:val="auto"/>
        </w:rPr>
        <w:tab/>
      </w:r>
      <w:r>
        <w:rPr>
          <w:rFonts w:ascii="Courier New" w:cs="Courier New" w:eastAsia="Courier New" w:hAnsi="Courier New"/>
          <w:sz w:val="14"/>
          <w:szCs w:val="14"/>
          <w:color w:val="auto"/>
        </w:rPr>
        <w:t>Maximum Percentage shall have the meaning ascribed to</w:t>
      </w:r>
    </w:p>
    <w:p>
      <w:pPr>
        <w:ind w:left="180"/>
        <w:spacing w:after="0" w:line="236" w:lineRule="auto"/>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such term in the Securities Purchase Agreement.</w:t>
      </w:r>
    </w:p>
    <w:p>
      <w:pPr>
        <w:spacing w:after="0" w:line="177" w:lineRule="exact"/>
        <w:rPr>
          <w:sz w:val="20"/>
          <w:szCs w:val="20"/>
          <w:color w:val="auto"/>
        </w:rPr>
      </w:pPr>
    </w:p>
    <w:p>
      <w:pPr>
        <w:ind w:left="180"/>
        <w:spacing w:after="0"/>
        <w:tabs>
          <w:tab w:leader="none" w:pos="1740" w:val="left"/>
        </w:tabs>
        <w:rPr>
          <w:sz w:val="20"/>
          <w:szCs w:val="20"/>
          <w:color w:val="auto"/>
        </w:rPr>
      </w:pPr>
      <w:r>
        <w:rPr>
          <w:rFonts w:ascii="Courier New" w:cs="Courier New" w:eastAsia="Courier New" w:hAnsi="Courier New"/>
          <w:sz w:val="16"/>
          <w:szCs w:val="16"/>
          <w:color w:val="auto"/>
        </w:rPr>
        <w:t>Maximum Shares.</w:t>
      </w:r>
      <w:r>
        <w:rPr>
          <w:sz w:val="20"/>
          <w:szCs w:val="20"/>
          <w:color w:val="auto"/>
        </w:rPr>
        <w:tab/>
      </w:r>
      <w:r>
        <w:rPr>
          <w:rFonts w:ascii="Courier New" w:cs="Courier New" w:eastAsia="Courier New" w:hAnsi="Courier New"/>
          <w:sz w:val="14"/>
          <w:szCs w:val="14"/>
          <w:color w:val="auto"/>
        </w:rPr>
        <w:t>Maximum Shares shall have the meaning ascribed to such term</w:t>
      </w:r>
    </w:p>
    <w:p>
      <w:pPr>
        <w:ind w:left="180"/>
        <w:spacing w:after="0" w:line="236" w:lineRule="auto"/>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in the Securities Purchase Agreement.</w:t>
      </w:r>
    </w:p>
    <w:p>
      <w:pPr>
        <w:spacing w:after="0" w:line="177" w:lineRule="exact"/>
        <w:rPr>
          <w:sz w:val="20"/>
          <w:szCs w:val="20"/>
          <w:color w:val="auto"/>
        </w:rPr>
      </w:pPr>
    </w:p>
    <w:p>
      <w:pPr>
        <w:ind w:left="180"/>
        <w:spacing w:after="0"/>
        <w:tabs>
          <w:tab w:leader="none" w:pos="3240" w:val="left"/>
        </w:tabs>
        <w:rPr>
          <w:sz w:val="20"/>
          <w:szCs w:val="20"/>
          <w:color w:val="auto"/>
        </w:rPr>
      </w:pPr>
      <w:r>
        <w:rPr>
          <w:rFonts w:ascii="Courier New" w:cs="Courier New" w:eastAsia="Courier New" w:hAnsi="Courier New"/>
          <w:sz w:val="16"/>
          <w:szCs w:val="16"/>
          <w:color w:val="auto"/>
        </w:rPr>
        <w:t>Minimum Qualified Expenditures.</w:t>
      </w:r>
      <w:r>
        <w:rPr>
          <w:sz w:val="20"/>
          <w:szCs w:val="20"/>
          <w:color w:val="auto"/>
        </w:rPr>
        <w:tab/>
      </w:r>
      <w:r>
        <w:rPr>
          <w:rFonts w:ascii="Courier New" w:cs="Courier New" w:eastAsia="Courier New" w:hAnsi="Courier New"/>
          <w:sz w:val="14"/>
          <w:szCs w:val="14"/>
          <w:color w:val="auto"/>
        </w:rPr>
        <w:t>Minimum Qualified Expenditures shall have the</w:t>
      </w:r>
    </w:p>
    <w:p>
      <w:pPr>
        <w:ind w:left="180"/>
        <w:spacing w:after="0" w:line="236" w:lineRule="auto"/>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meaning ascribed to such term in the Securities Purchase Agreement.</w:t>
      </w:r>
    </w:p>
    <w:p>
      <w:pPr>
        <w:spacing w:after="0" w:line="177" w:lineRule="exact"/>
        <w:rPr>
          <w:sz w:val="20"/>
          <w:szCs w:val="20"/>
          <w:color w:val="auto"/>
        </w:rPr>
      </w:pPr>
    </w:p>
    <w:p>
      <w:pPr>
        <w:ind w:left="180"/>
        <w:spacing w:after="0"/>
        <w:tabs>
          <w:tab w:leader="none" w:pos="2480" w:val="left"/>
        </w:tabs>
        <w:rPr>
          <w:sz w:val="20"/>
          <w:szCs w:val="20"/>
          <w:color w:val="auto"/>
        </w:rPr>
      </w:pPr>
      <w:r>
        <w:rPr>
          <w:rFonts w:ascii="Courier New" w:cs="Courier New" w:eastAsia="Courier New" w:hAnsi="Courier New"/>
          <w:sz w:val="16"/>
          <w:szCs w:val="16"/>
          <w:color w:val="auto"/>
        </w:rPr>
        <w:t>Qualified Expenditures.</w:t>
      </w:r>
      <w:r>
        <w:rPr>
          <w:sz w:val="20"/>
          <w:szCs w:val="20"/>
          <w:color w:val="auto"/>
        </w:rPr>
        <w:tab/>
      </w:r>
      <w:r>
        <w:rPr>
          <w:rFonts w:ascii="Courier New" w:cs="Courier New" w:eastAsia="Courier New" w:hAnsi="Courier New"/>
          <w:sz w:val="14"/>
          <w:szCs w:val="14"/>
          <w:color w:val="auto"/>
        </w:rPr>
        <w:t>Qualified Expenditures shall have the meaning</w:t>
      </w:r>
    </w:p>
    <w:p>
      <w:pPr>
        <w:ind w:left="180"/>
        <w:spacing w:after="0" w:line="236" w:lineRule="auto"/>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ascribed to such term in the Securities Purchase Agreement.</w:t>
      </w:r>
    </w:p>
    <w:p>
      <w:pPr>
        <w:spacing w:after="0" w:line="177" w:lineRule="exact"/>
        <w:rPr>
          <w:sz w:val="20"/>
          <w:szCs w:val="20"/>
          <w:color w:val="auto"/>
        </w:rPr>
      </w:pPr>
    </w:p>
    <w:p>
      <w:pPr>
        <w:ind w:left="180"/>
        <w:spacing w:after="0"/>
        <w:tabs>
          <w:tab w:leader="none" w:pos="3420" w:val="left"/>
        </w:tabs>
        <w:rPr>
          <w:sz w:val="20"/>
          <w:szCs w:val="20"/>
          <w:color w:val="auto"/>
        </w:rPr>
      </w:pPr>
      <w:r>
        <w:rPr>
          <w:rFonts w:ascii="Courier New" w:cs="Courier New" w:eastAsia="Courier New" w:hAnsi="Courier New"/>
          <w:sz w:val="16"/>
          <w:szCs w:val="16"/>
          <w:color w:val="auto"/>
        </w:rPr>
        <w:t>Qualified Expenditures Milestone.</w:t>
      </w:r>
      <w:r>
        <w:rPr>
          <w:sz w:val="20"/>
          <w:szCs w:val="20"/>
          <w:color w:val="auto"/>
        </w:rPr>
        <w:tab/>
      </w:r>
      <w:r>
        <w:rPr>
          <w:rFonts w:ascii="Courier New" w:cs="Courier New" w:eastAsia="Courier New" w:hAnsi="Courier New"/>
          <w:sz w:val="14"/>
          <w:szCs w:val="14"/>
          <w:color w:val="auto"/>
        </w:rPr>
        <w:t>The Qualified Expenditures Milestone means</w:t>
      </w:r>
    </w:p>
    <w:p>
      <w:pPr>
        <w:ind w:left="180"/>
        <w:spacing w:after="0" w:line="236" w:lineRule="auto"/>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right="2779"/>
        <w:spacing w:after="0" w:line="234" w:lineRule="auto"/>
        <w:rPr>
          <w:sz w:val="20"/>
          <w:szCs w:val="20"/>
          <w:color w:val="auto"/>
        </w:rPr>
      </w:pPr>
      <w:r>
        <w:rPr>
          <w:rFonts w:ascii="Courier New" w:cs="Courier New" w:eastAsia="Courier New" w:hAnsi="Courier New"/>
          <w:sz w:val="16"/>
          <w:szCs w:val="16"/>
          <w:color w:val="auto"/>
        </w:rPr>
        <w:t>the expenditure of at least the Required Qualified Expenditures on or before the Qualified Expenditures Milestone Date.</w:t>
      </w:r>
    </w:p>
    <w:p>
      <w:pPr>
        <w:spacing w:after="0" w:line="177" w:lineRule="exact"/>
        <w:rPr>
          <w:sz w:val="20"/>
          <w:szCs w:val="20"/>
          <w:color w:val="auto"/>
        </w:rPr>
      </w:pPr>
    </w:p>
    <w:p>
      <w:pPr>
        <w:ind w:left="180"/>
        <w:spacing w:after="0"/>
        <w:tabs>
          <w:tab w:leader="none" w:pos="3880" w:val="left"/>
        </w:tabs>
        <w:rPr>
          <w:sz w:val="20"/>
          <w:szCs w:val="20"/>
          <w:color w:val="auto"/>
        </w:rPr>
      </w:pPr>
      <w:r>
        <w:rPr>
          <w:rFonts w:ascii="Courier New" w:cs="Courier New" w:eastAsia="Courier New" w:hAnsi="Courier New"/>
          <w:sz w:val="16"/>
          <w:szCs w:val="16"/>
          <w:color w:val="auto"/>
        </w:rPr>
        <w:t>Qualified Expenditures Milestone Date.</w:t>
      </w:r>
      <w:r>
        <w:rPr>
          <w:sz w:val="20"/>
          <w:szCs w:val="20"/>
          <w:color w:val="auto"/>
        </w:rPr>
        <w:tab/>
      </w:r>
      <w:r>
        <w:rPr>
          <w:rFonts w:ascii="Courier New" w:cs="Courier New" w:eastAsia="Courier New" w:hAnsi="Courier New"/>
          <w:sz w:val="14"/>
          <w:szCs w:val="14"/>
          <w:color w:val="auto"/>
        </w:rPr>
        <w:t>The Qualified Expenditures Milestone</w:t>
      </w:r>
    </w:p>
    <w:p>
      <w:pPr>
        <w:ind w:left="180"/>
        <w:spacing w:after="0" w:line="236" w:lineRule="auto"/>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right="3159"/>
        <w:spacing w:after="0" w:line="234" w:lineRule="auto"/>
        <w:rPr>
          <w:sz w:val="20"/>
          <w:szCs w:val="20"/>
          <w:color w:val="auto"/>
        </w:rPr>
      </w:pPr>
      <w:r>
        <w:rPr>
          <w:rFonts w:ascii="Courier New" w:cs="Courier New" w:eastAsia="Courier New" w:hAnsi="Courier New"/>
          <w:sz w:val="16"/>
          <w:szCs w:val="16"/>
          <w:color w:val="auto"/>
        </w:rPr>
        <w:t>Date shall have the meaning ascribed to such term in the Securities Purchase Agreement.</w:t>
      </w:r>
    </w:p>
    <w:p>
      <w:pPr>
        <w:spacing w:after="0" w:line="177" w:lineRule="exact"/>
        <w:rPr>
          <w:sz w:val="20"/>
          <w:szCs w:val="20"/>
          <w:color w:val="auto"/>
        </w:rPr>
      </w:pPr>
    </w:p>
    <w:p>
      <w:pPr>
        <w:ind w:left="180"/>
        <w:spacing w:after="0"/>
        <w:tabs>
          <w:tab w:leader="none" w:pos="2300" w:val="left"/>
        </w:tabs>
        <w:rPr>
          <w:sz w:val="20"/>
          <w:szCs w:val="20"/>
          <w:color w:val="auto"/>
        </w:rPr>
      </w:pPr>
      <w:r>
        <w:rPr>
          <w:rFonts w:ascii="Courier New" w:cs="Courier New" w:eastAsia="Courier New" w:hAnsi="Courier New"/>
          <w:sz w:val="16"/>
          <w:szCs w:val="16"/>
          <w:color w:val="auto"/>
        </w:rPr>
        <w:t>Qualified Subsidiary.</w:t>
      </w:r>
      <w:r>
        <w:rPr>
          <w:sz w:val="20"/>
          <w:szCs w:val="20"/>
          <w:color w:val="auto"/>
        </w:rPr>
        <w:tab/>
      </w:r>
      <w:r>
        <w:rPr>
          <w:rFonts w:ascii="Courier New" w:cs="Courier New" w:eastAsia="Courier New" w:hAnsi="Courier New"/>
          <w:sz w:val="14"/>
          <w:szCs w:val="14"/>
          <w:color w:val="auto"/>
        </w:rPr>
        <w:t>Qualified Subsidiary shall have the meaning ascribed to</w:t>
      </w:r>
    </w:p>
    <w:p>
      <w:pPr>
        <w:ind w:left="180"/>
        <w:spacing w:after="0" w:line="236" w:lineRule="auto"/>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such term in the Rights and Restrictions Agreement.</w:t>
      </w:r>
    </w:p>
    <w:p>
      <w:pPr>
        <w:spacing w:after="0" w:line="177" w:lineRule="exact"/>
        <w:rPr>
          <w:sz w:val="20"/>
          <w:szCs w:val="20"/>
          <w:color w:val="auto"/>
        </w:rPr>
      </w:pPr>
    </w:p>
    <w:p>
      <w:pPr>
        <w:ind w:left="180"/>
        <w:spacing w:after="0"/>
        <w:tabs>
          <w:tab w:leader="none" w:pos="1000" w:val="left"/>
        </w:tabs>
        <w:rPr>
          <w:sz w:val="20"/>
          <w:szCs w:val="20"/>
          <w:color w:val="auto"/>
        </w:rPr>
      </w:pPr>
      <w:r>
        <w:rPr>
          <w:rFonts w:ascii="Courier New" w:cs="Courier New" w:eastAsia="Courier New" w:hAnsi="Courier New"/>
          <w:sz w:val="16"/>
          <w:szCs w:val="16"/>
          <w:color w:val="auto"/>
        </w:rPr>
        <w:t>Rambus.</w:t>
      </w:r>
      <w:r>
        <w:rPr>
          <w:sz w:val="20"/>
          <w:szCs w:val="20"/>
          <w:color w:val="auto"/>
        </w:rPr>
        <w:tab/>
      </w:r>
      <w:r>
        <w:rPr>
          <w:rFonts w:ascii="Courier New" w:cs="Courier New" w:eastAsia="Courier New" w:hAnsi="Courier New"/>
          <w:sz w:val="14"/>
          <w:szCs w:val="14"/>
          <w:color w:val="auto"/>
        </w:rPr>
        <w:t>Rambus means Rambus, Inc. , a Delaware corporation, and any successor</w:t>
      </w:r>
    </w:p>
    <w:p>
      <w:pPr>
        <w:ind w:left="180"/>
        <w:spacing w:after="0" w:line="236" w:lineRule="auto"/>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right="3519"/>
        <w:spacing w:after="0" w:line="234" w:lineRule="auto"/>
        <w:rPr>
          <w:sz w:val="20"/>
          <w:szCs w:val="20"/>
          <w:color w:val="auto"/>
        </w:rPr>
      </w:pPr>
      <w:r>
        <w:rPr>
          <w:rFonts w:ascii="Courier New" w:cs="Courier New" w:eastAsia="Courier New" w:hAnsi="Courier New"/>
          <w:sz w:val="16"/>
          <w:szCs w:val="16"/>
          <w:color w:val="auto"/>
        </w:rPr>
        <w:t>to all or substantially all of Rambus Inc.'s business (by acquisition or otherwise).</w:t>
      </w:r>
    </w:p>
    <w:p>
      <w:pPr>
        <w:spacing w:after="0" w:line="177" w:lineRule="exact"/>
        <w:rPr>
          <w:sz w:val="20"/>
          <w:szCs w:val="20"/>
          <w:color w:val="auto"/>
        </w:rPr>
      </w:pPr>
    </w:p>
    <w:p>
      <w:pPr>
        <w:ind w:left="180"/>
        <w:spacing w:after="0"/>
        <w:tabs>
          <w:tab w:leader="none" w:pos="900" w:val="left"/>
        </w:tabs>
        <w:rPr>
          <w:sz w:val="20"/>
          <w:szCs w:val="20"/>
          <w:color w:val="auto"/>
        </w:rPr>
      </w:pPr>
      <w:r>
        <w:rPr>
          <w:rFonts w:ascii="Courier New" w:cs="Courier New" w:eastAsia="Courier New" w:hAnsi="Courier New"/>
          <w:sz w:val="16"/>
          <w:szCs w:val="16"/>
          <w:color w:val="auto"/>
        </w:rPr>
        <w:t>RDRAM.</w:t>
      </w:r>
      <w:r>
        <w:rPr>
          <w:sz w:val="20"/>
          <w:szCs w:val="20"/>
          <w:color w:val="auto"/>
        </w:rPr>
        <w:tab/>
      </w:r>
      <w:r>
        <w:rPr>
          <w:rFonts w:ascii="Courier New" w:cs="Courier New" w:eastAsia="Courier New" w:hAnsi="Courier New"/>
          <w:sz w:val="14"/>
          <w:szCs w:val="14"/>
          <w:color w:val="auto"/>
        </w:rPr>
        <w:t>RDRAM shall have the meaning ascribed to such term in the Supply</w:t>
      </w:r>
    </w:p>
    <w:p>
      <w:pPr>
        <w:ind w:left="180"/>
        <w:spacing w:after="0" w:line="236" w:lineRule="auto"/>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Agreement.</w:t>
      </w:r>
    </w:p>
    <w:p>
      <w:pPr>
        <w:sectPr>
          <w:pgSz w:w="11900" w:h="16838" w:orient="portrait"/>
          <w:cols w:equalWidth="0" w:num="1">
            <w:col w:w="10219"/>
          </w:cols>
          <w:pgMar w:left="240" w:top="648" w:right="1440" w:bottom="1440" w:gutter="0" w:footer="0" w:header="0"/>
        </w:sectPr>
      </w:pPr>
    </w:p>
    <w:bookmarkStart w:id="77" w:name="page78"/>
    <w:bookmarkEnd w:id="77"/>
    <w:p>
      <w:pPr>
        <w:ind w:left="180"/>
        <w:spacing w:after="0"/>
        <w:tabs>
          <w:tab w:leader="none" w:pos="3320" w:val="left"/>
        </w:tabs>
        <w:rPr>
          <w:sz w:val="20"/>
          <w:szCs w:val="20"/>
          <w:color w:val="auto"/>
        </w:rPr>
      </w:pPr>
      <w:r>
        <w:rPr>
          <w:rFonts w:ascii="Courier New" w:cs="Courier New" w:eastAsia="Courier New" w:hAnsi="Courier New"/>
          <w:sz w:val="16"/>
          <w:szCs w:val="16"/>
          <w:color w:val="auto"/>
        </w:rPr>
        <w:t>Required Qualified Expenditures.</w:t>
      </w:r>
      <w:r>
        <w:rPr>
          <w:sz w:val="20"/>
          <w:szCs w:val="20"/>
          <w:color w:val="auto"/>
        </w:rPr>
        <w:tab/>
      </w:r>
      <w:r>
        <w:rPr>
          <w:rFonts w:ascii="Courier New" w:cs="Courier New" w:eastAsia="Courier New" w:hAnsi="Courier New"/>
          <w:sz w:val="14"/>
          <w:szCs w:val="14"/>
          <w:color w:val="auto"/>
        </w:rPr>
        <w:t>Required Qualified Expenditures shall have</w:t>
      </w:r>
    </w:p>
    <w:p>
      <w:pPr>
        <w:ind w:left="180"/>
        <w:spacing w:after="0" w:line="236" w:lineRule="auto"/>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the meaning ascribed to such term in the Securities Purchase Agreement.</w:t>
      </w:r>
    </w:p>
    <w:p>
      <w:pPr>
        <w:spacing w:after="0" w:line="177" w:lineRule="exact"/>
        <w:rPr>
          <w:sz w:val="20"/>
          <w:szCs w:val="20"/>
          <w:color w:val="auto"/>
        </w:rPr>
      </w:pPr>
    </w:p>
    <w:p>
      <w:pPr>
        <w:ind w:left="180"/>
        <w:spacing w:after="0"/>
        <w:tabs>
          <w:tab w:leader="none" w:pos="1000" w:val="left"/>
        </w:tabs>
        <w:rPr>
          <w:sz w:val="20"/>
          <w:szCs w:val="20"/>
          <w:color w:val="auto"/>
        </w:rPr>
      </w:pPr>
      <w:r>
        <w:rPr>
          <w:rFonts w:ascii="Courier New" w:cs="Courier New" w:eastAsia="Courier New" w:hAnsi="Courier New"/>
          <w:sz w:val="16"/>
          <w:szCs w:val="16"/>
          <w:color w:val="auto"/>
        </w:rPr>
        <w:t>Rights.</w:t>
      </w:r>
      <w:r>
        <w:rPr>
          <w:sz w:val="20"/>
          <w:szCs w:val="20"/>
          <w:color w:val="auto"/>
        </w:rPr>
        <w:tab/>
      </w:r>
      <w:r>
        <w:rPr>
          <w:rFonts w:ascii="Courier New" w:cs="Courier New" w:eastAsia="Courier New" w:hAnsi="Courier New"/>
          <w:sz w:val="14"/>
          <w:szCs w:val="14"/>
          <w:color w:val="auto"/>
        </w:rPr>
        <w:t>Rights shall have the meaning ascribed to such term in the Stock</w:t>
      </w:r>
    </w:p>
    <w:p>
      <w:pPr>
        <w:ind w:left="180"/>
        <w:spacing w:after="0" w:line="236" w:lineRule="auto"/>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Rights Agreement.</w:t>
      </w:r>
    </w:p>
    <w:p>
      <w:pPr>
        <w:spacing w:after="0" w:line="177" w:lineRule="exact"/>
        <w:rPr>
          <w:sz w:val="20"/>
          <w:szCs w:val="20"/>
          <w:color w:val="auto"/>
        </w:rPr>
      </w:pPr>
    </w:p>
    <w:p>
      <w:pPr>
        <w:ind w:left="180"/>
        <w:spacing w:after="0"/>
        <w:tabs>
          <w:tab w:leader="none" w:pos="3520" w:val="left"/>
        </w:tabs>
        <w:rPr>
          <w:sz w:val="20"/>
          <w:szCs w:val="20"/>
          <w:color w:val="auto"/>
        </w:rPr>
      </w:pPr>
      <w:r>
        <w:rPr>
          <w:rFonts w:ascii="Courier New" w:cs="Courier New" w:eastAsia="Courier New" w:hAnsi="Courier New"/>
          <w:sz w:val="16"/>
          <w:szCs w:val="16"/>
          <w:color w:val="auto"/>
        </w:rPr>
        <w:t>Rights and Restrictions Agreement.</w:t>
      </w:r>
      <w:r>
        <w:rPr>
          <w:sz w:val="20"/>
          <w:szCs w:val="20"/>
          <w:color w:val="auto"/>
        </w:rPr>
        <w:tab/>
      </w:r>
      <w:r>
        <w:rPr>
          <w:rFonts w:ascii="Courier New" w:cs="Courier New" w:eastAsia="Courier New" w:hAnsi="Courier New"/>
          <w:sz w:val="14"/>
          <w:szCs w:val="14"/>
          <w:color w:val="auto"/>
        </w:rPr>
        <w:t>Rights and Restrictions Agreement shall</w:t>
      </w:r>
    </w:p>
    <w:p>
      <w:pPr>
        <w:ind w:left="180"/>
        <w:spacing w:after="0" w:line="236" w:lineRule="auto"/>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right="2959"/>
        <w:spacing w:after="0" w:line="235" w:lineRule="auto"/>
        <w:rPr>
          <w:sz w:val="20"/>
          <w:szCs w:val="20"/>
          <w:color w:val="auto"/>
        </w:rPr>
      </w:pPr>
      <w:r>
        <w:rPr>
          <w:rFonts w:ascii="Courier New" w:cs="Courier New" w:eastAsia="Courier New" w:hAnsi="Courier New"/>
          <w:sz w:val="16"/>
          <w:szCs w:val="16"/>
          <w:color w:val="auto"/>
        </w:rPr>
        <w:t>mean that certain Securities Rights and Restrictions Agreement, dated as of October 19, 1998, as amended from time to time, by and between the Corporation and Intel Corporation.</w:t>
      </w:r>
    </w:p>
    <w:p>
      <w:pPr>
        <w:spacing w:after="0" w:line="177" w:lineRule="exact"/>
        <w:rPr>
          <w:sz w:val="20"/>
          <w:szCs w:val="20"/>
          <w:color w:val="auto"/>
        </w:rPr>
      </w:pPr>
    </w:p>
    <w:p>
      <w:pPr>
        <w:ind w:left="180"/>
        <w:spacing w:after="0"/>
        <w:tabs>
          <w:tab w:leader="none" w:pos="3700" w:val="left"/>
        </w:tabs>
        <w:rPr>
          <w:sz w:val="20"/>
          <w:szCs w:val="20"/>
          <w:color w:val="auto"/>
        </w:rPr>
      </w:pPr>
      <w:r>
        <w:rPr>
          <w:rFonts w:ascii="Courier New" w:cs="Courier New" w:eastAsia="Courier New" w:hAnsi="Courier New"/>
          <w:sz w:val="16"/>
          <w:szCs w:val="16"/>
          <w:color w:val="auto"/>
        </w:rPr>
        <w:t>Second Minimum Production Milestone.</w:t>
      </w:r>
      <w:r>
        <w:rPr>
          <w:sz w:val="20"/>
          <w:szCs w:val="20"/>
          <w:color w:val="auto"/>
        </w:rPr>
        <w:tab/>
      </w:r>
      <w:r>
        <w:rPr>
          <w:rFonts w:ascii="Courier New" w:cs="Courier New" w:eastAsia="Courier New" w:hAnsi="Courier New"/>
          <w:sz w:val="14"/>
          <w:szCs w:val="14"/>
          <w:color w:val="auto"/>
        </w:rPr>
        <w:t>The Second Minimum Production Milestone</w:t>
      </w:r>
    </w:p>
    <w:p>
      <w:pPr>
        <w:ind w:left="180"/>
        <w:spacing w:after="0" w:line="236" w:lineRule="auto"/>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right="3619"/>
        <w:spacing w:after="0" w:line="234" w:lineRule="auto"/>
        <w:rPr>
          <w:sz w:val="20"/>
          <w:szCs w:val="20"/>
          <w:color w:val="auto"/>
        </w:rPr>
      </w:pPr>
      <w:r>
        <w:rPr>
          <w:rFonts w:ascii="Courier New" w:cs="Courier New" w:eastAsia="Courier New" w:hAnsi="Courier New"/>
          <w:sz w:val="16"/>
          <w:szCs w:val="16"/>
          <w:color w:val="auto"/>
        </w:rPr>
        <w:t>shall have the meaning ascribed to such term in the Securities Purchase Agreement.</w:t>
      </w:r>
    </w:p>
    <w:p>
      <w:pPr>
        <w:spacing w:after="0" w:line="177" w:lineRule="exact"/>
        <w:rPr>
          <w:sz w:val="20"/>
          <w:szCs w:val="20"/>
          <w:color w:val="auto"/>
        </w:rPr>
      </w:pPr>
    </w:p>
    <w:p>
      <w:pPr>
        <w:ind w:left="180"/>
        <w:spacing w:after="0"/>
        <w:tabs>
          <w:tab w:leader="none" w:pos="3600" w:val="left"/>
        </w:tabs>
        <w:rPr>
          <w:sz w:val="20"/>
          <w:szCs w:val="20"/>
          <w:color w:val="auto"/>
        </w:rPr>
      </w:pPr>
      <w:r>
        <w:rPr>
          <w:rFonts w:ascii="Courier New" w:cs="Courier New" w:eastAsia="Courier New" w:hAnsi="Courier New"/>
          <w:sz w:val="16"/>
          <w:szCs w:val="16"/>
          <w:color w:val="auto"/>
        </w:rPr>
        <w:t>Second Minimum Required Production.</w:t>
      </w:r>
      <w:r>
        <w:rPr>
          <w:sz w:val="20"/>
          <w:szCs w:val="20"/>
          <w:color w:val="auto"/>
        </w:rPr>
        <w:tab/>
      </w:r>
      <w:r>
        <w:rPr>
          <w:rFonts w:ascii="Courier New" w:cs="Courier New" w:eastAsia="Courier New" w:hAnsi="Courier New"/>
          <w:sz w:val="14"/>
          <w:szCs w:val="14"/>
          <w:color w:val="auto"/>
        </w:rPr>
        <w:t>Second Minimum Required Production shall</w:t>
      </w:r>
    </w:p>
    <w:p>
      <w:pPr>
        <w:ind w:left="180"/>
        <w:spacing w:after="0" w:line="236" w:lineRule="auto"/>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have the meaning ascribed to such term in the Securities Purchase Agreement.</w:t>
      </w:r>
    </w:p>
    <w:p>
      <w:pPr>
        <w:spacing w:after="0" w:line="177" w:lineRule="exact"/>
        <w:rPr>
          <w:sz w:val="20"/>
          <w:szCs w:val="20"/>
          <w:color w:val="auto"/>
        </w:rPr>
      </w:pPr>
    </w:p>
    <w:p>
      <w:pPr>
        <w:ind w:left="180"/>
        <w:spacing w:after="0"/>
        <w:tabs>
          <w:tab w:leader="none" w:pos="3420" w:val="left"/>
        </w:tabs>
        <w:rPr>
          <w:sz w:val="20"/>
          <w:szCs w:val="20"/>
          <w:color w:val="auto"/>
        </w:rPr>
      </w:pPr>
      <w:r>
        <w:rPr>
          <w:rFonts w:ascii="Courier New" w:cs="Courier New" w:eastAsia="Courier New" w:hAnsi="Courier New"/>
          <w:sz w:val="16"/>
          <w:szCs w:val="16"/>
          <w:color w:val="auto"/>
        </w:rPr>
        <w:t>Second Production Milestone Date.</w:t>
      </w:r>
      <w:r>
        <w:rPr>
          <w:sz w:val="20"/>
          <w:szCs w:val="20"/>
          <w:color w:val="auto"/>
        </w:rPr>
        <w:tab/>
      </w:r>
      <w:r>
        <w:rPr>
          <w:rFonts w:ascii="Courier New" w:cs="Courier New" w:eastAsia="Courier New" w:hAnsi="Courier New"/>
          <w:sz w:val="14"/>
          <w:szCs w:val="14"/>
          <w:color w:val="auto"/>
        </w:rPr>
        <w:t>The Second Production Milestone Date shall</w:t>
      </w:r>
    </w:p>
    <w:p>
      <w:pPr>
        <w:ind w:left="180"/>
        <w:spacing w:after="0" w:line="236" w:lineRule="auto"/>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have the meaning ascribed to such term in the Securities Purchase Agreement.</w:t>
      </w:r>
    </w:p>
    <w:p>
      <w:pPr>
        <w:spacing w:after="0" w:line="177" w:lineRule="exact"/>
        <w:rPr>
          <w:sz w:val="20"/>
          <w:szCs w:val="20"/>
          <w:color w:val="auto"/>
        </w:rPr>
      </w:pPr>
    </w:p>
    <w:p>
      <w:pPr>
        <w:ind w:left="180"/>
        <w:spacing w:after="0"/>
        <w:tabs>
          <w:tab w:leader="none" w:pos="3140" w:val="left"/>
        </w:tabs>
        <w:rPr>
          <w:sz w:val="20"/>
          <w:szCs w:val="20"/>
          <w:color w:val="auto"/>
        </w:rPr>
      </w:pPr>
      <w:r>
        <w:rPr>
          <w:rFonts w:ascii="Courier New" w:cs="Courier New" w:eastAsia="Courier New" w:hAnsi="Courier New"/>
          <w:sz w:val="16"/>
          <w:szCs w:val="16"/>
          <w:color w:val="auto"/>
        </w:rPr>
        <w:t>Securities Purchase Agreement.</w:t>
      </w:r>
      <w:r>
        <w:rPr>
          <w:sz w:val="20"/>
          <w:szCs w:val="20"/>
          <w:color w:val="auto"/>
        </w:rPr>
        <w:tab/>
      </w:r>
      <w:r>
        <w:rPr>
          <w:rFonts w:ascii="Courier New" w:cs="Courier New" w:eastAsia="Courier New" w:hAnsi="Courier New"/>
          <w:sz w:val="14"/>
          <w:szCs w:val="14"/>
          <w:color w:val="auto"/>
        </w:rPr>
        <w:t>Securities Purchase Agreement shall mean that</w:t>
      </w:r>
    </w:p>
    <w:p>
      <w:pPr>
        <w:ind w:left="180"/>
        <w:spacing w:after="0" w:line="236" w:lineRule="auto"/>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right="2959"/>
        <w:spacing w:after="0" w:line="234" w:lineRule="auto"/>
        <w:rPr>
          <w:sz w:val="20"/>
          <w:szCs w:val="20"/>
          <w:color w:val="auto"/>
        </w:rPr>
      </w:pPr>
      <w:r>
        <w:rPr>
          <w:rFonts w:ascii="Courier New" w:cs="Courier New" w:eastAsia="Courier New" w:hAnsi="Courier New"/>
          <w:sz w:val="16"/>
          <w:szCs w:val="16"/>
          <w:color w:val="auto"/>
        </w:rPr>
        <w:t>certain Securities Purchase Agreement, dated October 15, 1998, as amended from time to time, by and between the Corporation and Intel Corporation.</w:t>
      </w:r>
    </w:p>
    <w:p>
      <w:pPr>
        <w:spacing w:after="0" w:line="177" w:lineRule="exact"/>
        <w:rPr>
          <w:sz w:val="20"/>
          <w:szCs w:val="20"/>
          <w:color w:val="auto"/>
        </w:rPr>
      </w:pPr>
    </w:p>
    <w:p>
      <w:pPr>
        <w:ind w:left="180"/>
        <w:spacing w:after="0"/>
        <w:tabs>
          <w:tab w:leader="none" w:pos="3140" w:val="left"/>
        </w:tabs>
        <w:rPr>
          <w:sz w:val="20"/>
          <w:szCs w:val="20"/>
          <w:color w:val="auto"/>
        </w:rPr>
      </w:pPr>
      <w:r>
        <w:rPr>
          <w:rFonts w:ascii="Courier New" w:cs="Courier New" w:eastAsia="Courier New" w:hAnsi="Courier New"/>
          <w:sz w:val="16"/>
          <w:szCs w:val="16"/>
          <w:color w:val="auto"/>
        </w:rPr>
        <w:t>Special Conversion Adjustment.</w:t>
      </w:r>
      <w:r>
        <w:rPr>
          <w:sz w:val="20"/>
          <w:szCs w:val="20"/>
          <w:color w:val="auto"/>
        </w:rPr>
        <w:tab/>
      </w:r>
      <w:r>
        <w:rPr>
          <w:rFonts w:ascii="Courier New" w:cs="Courier New" w:eastAsia="Courier New" w:hAnsi="Courier New"/>
          <w:sz w:val="14"/>
          <w:szCs w:val="14"/>
          <w:color w:val="auto"/>
        </w:rPr>
        <w:t>A Special Conversion Adjustment shall mean</w:t>
      </w:r>
    </w:p>
    <w:p>
      <w:pPr>
        <w:ind w:left="180"/>
        <w:spacing w:after="0" w:line="236" w:lineRule="auto"/>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right="2779"/>
        <w:spacing w:after="0" w:line="234" w:lineRule="auto"/>
        <w:rPr>
          <w:sz w:val="20"/>
          <w:szCs w:val="20"/>
          <w:color w:val="auto"/>
        </w:rPr>
      </w:pPr>
      <w:r>
        <w:rPr>
          <w:rFonts w:ascii="Courier New" w:cs="Courier New" w:eastAsia="Courier New" w:hAnsi="Courier New"/>
          <w:sz w:val="16"/>
          <w:szCs w:val="16"/>
          <w:color w:val="auto"/>
        </w:rPr>
        <w:t>an adjustment to the number of shares of Common Stock receivable upon conversion of Class A Common Stock, as provided in Section 3 hereof.</w:t>
      </w:r>
    </w:p>
    <w:p>
      <w:pPr>
        <w:spacing w:after="0" w:line="177" w:lineRule="exact"/>
        <w:rPr>
          <w:sz w:val="20"/>
          <w:szCs w:val="20"/>
          <w:color w:val="auto"/>
        </w:rPr>
      </w:pPr>
    </w:p>
    <w:p>
      <w:pPr>
        <w:ind w:left="180"/>
        <w:spacing w:after="0"/>
        <w:tabs>
          <w:tab w:leader="none" w:pos="2480" w:val="left"/>
        </w:tabs>
        <w:rPr>
          <w:sz w:val="20"/>
          <w:szCs w:val="20"/>
          <w:color w:val="auto"/>
        </w:rPr>
      </w:pPr>
      <w:r>
        <w:rPr>
          <w:rFonts w:ascii="Courier New" w:cs="Courier New" w:eastAsia="Courier New" w:hAnsi="Courier New"/>
          <w:sz w:val="16"/>
          <w:szCs w:val="16"/>
          <w:color w:val="auto"/>
        </w:rPr>
        <w:t>Stock Rights Agreement.</w:t>
      </w:r>
      <w:r>
        <w:rPr>
          <w:sz w:val="20"/>
          <w:szCs w:val="20"/>
          <w:color w:val="auto"/>
        </w:rPr>
        <w:tab/>
      </w:r>
      <w:r>
        <w:rPr>
          <w:rFonts w:ascii="Courier New" w:cs="Courier New" w:eastAsia="Courier New" w:hAnsi="Courier New"/>
          <w:sz w:val="14"/>
          <w:szCs w:val="14"/>
          <w:color w:val="auto"/>
        </w:rPr>
        <w:t>Stock Rights Agreement shall mean that certain</w:t>
      </w:r>
    </w:p>
    <w:p>
      <w:pPr>
        <w:ind w:left="180"/>
        <w:spacing w:after="0" w:line="236" w:lineRule="auto"/>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right="3059"/>
        <w:spacing w:after="0" w:line="234" w:lineRule="auto"/>
        <w:rPr>
          <w:sz w:val="20"/>
          <w:szCs w:val="20"/>
          <w:color w:val="auto"/>
        </w:rPr>
      </w:pPr>
      <w:r>
        <w:rPr>
          <w:rFonts w:ascii="Courier New" w:cs="Courier New" w:eastAsia="Courier New" w:hAnsi="Courier New"/>
          <w:sz w:val="16"/>
          <w:szCs w:val="16"/>
          <w:color w:val="auto"/>
        </w:rPr>
        <w:t>Stock Rights Agreement, dated as of October 19, 1998, as amended from time to time, by and between the Corporation and Intel Corporation.</w:t>
      </w:r>
    </w:p>
    <w:p>
      <w:pPr>
        <w:spacing w:after="0" w:line="177" w:lineRule="exact"/>
        <w:rPr>
          <w:sz w:val="20"/>
          <w:szCs w:val="20"/>
          <w:color w:val="auto"/>
        </w:rPr>
      </w:pPr>
    </w:p>
    <w:p>
      <w:pPr>
        <w:ind w:left="180"/>
        <w:spacing w:after="0"/>
        <w:tabs>
          <w:tab w:leader="none" w:pos="1920" w:val="left"/>
        </w:tabs>
        <w:rPr>
          <w:sz w:val="20"/>
          <w:szCs w:val="20"/>
          <w:color w:val="auto"/>
        </w:rPr>
      </w:pPr>
      <w:r>
        <w:rPr>
          <w:rFonts w:ascii="Courier New" w:cs="Courier New" w:eastAsia="Courier New" w:hAnsi="Courier New"/>
          <w:sz w:val="16"/>
          <w:szCs w:val="16"/>
          <w:color w:val="auto"/>
        </w:rPr>
        <w:t>Supply Agreement.</w:t>
      </w:r>
      <w:r>
        <w:rPr>
          <w:sz w:val="20"/>
          <w:szCs w:val="20"/>
          <w:color w:val="auto"/>
        </w:rPr>
        <w:tab/>
      </w:r>
      <w:r>
        <w:rPr>
          <w:rFonts w:ascii="Courier New" w:cs="Courier New" w:eastAsia="Courier New" w:hAnsi="Courier New"/>
          <w:sz w:val="14"/>
          <w:szCs w:val="14"/>
          <w:color w:val="auto"/>
        </w:rPr>
        <w:t>Supply Agreement shall mean that certain Supply</w:t>
      </w:r>
    </w:p>
    <w:p>
      <w:pPr>
        <w:ind w:left="180"/>
        <w:spacing w:after="0" w:line="236" w:lineRule="auto"/>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right="3059"/>
        <w:spacing w:after="0" w:line="234" w:lineRule="auto"/>
        <w:rPr>
          <w:sz w:val="20"/>
          <w:szCs w:val="20"/>
          <w:color w:val="auto"/>
        </w:rPr>
      </w:pPr>
      <w:r>
        <w:rPr>
          <w:rFonts w:ascii="Courier New" w:cs="Courier New" w:eastAsia="Courier New" w:hAnsi="Courier New"/>
          <w:sz w:val="16"/>
          <w:szCs w:val="16"/>
          <w:color w:val="auto"/>
        </w:rPr>
        <w:t>Agreement, dated as of October 19, 1998, as amended from time to time, by and between the Corporation and Intel Corporation.</w:t>
      </w:r>
    </w:p>
    <w:p>
      <w:pPr>
        <w:spacing w:after="0" w:line="177" w:lineRule="exact"/>
        <w:rPr>
          <w:sz w:val="20"/>
          <w:szCs w:val="20"/>
          <w:color w:val="auto"/>
        </w:rPr>
      </w:pPr>
    </w:p>
    <w:p>
      <w:pPr>
        <w:ind w:left="180"/>
        <w:spacing w:after="0"/>
        <w:tabs>
          <w:tab w:leader="none" w:pos="2020" w:val="left"/>
        </w:tabs>
        <w:rPr>
          <w:sz w:val="20"/>
          <w:szCs w:val="20"/>
          <w:color w:val="auto"/>
        </w:rPr>
      </w:pPr>
      <w:r>
        <w:rPr>
          <w:rFonts w:ascii="Courier New" w:cs="Courier New" w:eastAsia="Courier New" w:hAnsi="Courier New"/>
          <w:sz w:val="16"/>
          <w:szCs w:val="16"/>
          <w:color w:val="auto"/>
        </w:rPr>
        <w:t>Volume Production.</w:t>
      </w:r>
      <w:r>
        <w:rPr>
          <w:sz w:val="20"/>
          <w:szCs w:val="20"/>
          <w:color w:val="auto"/>
        </w:rPr>
        <w:tab/>
      </w:r>
      <w:r>
        <w:rPr>
          <w:rFonts w:ascii="Courier New" w:cs="Courier New" w:eastAsia="Courier New" w:hAnsi="Courier New"/>
          <w:sz w:val="14"/>
          <w:szCs w:val="14"/>
          <w:color w:val="auto"/>
        </w:rPr>
        <w:t>Volume Production shall have the meaning ascribed to</w:t>
      </w:r>
    </w:p>
    <w:p>
      <w:pPr>
        <w:ind w:left="180"/>
        <w:spacing w:after="0" w:line="236" w:lineRule="auto"/>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such term in the Securities Purchase Agreement.</w:t>
      </w:r>
    </w:p>
    <w:p>
      <w:pPr>
        <w:spacing w:after="0" w:line="183" w:lineRule="exact"/>
        <w:rPr>
          <w:sz w:val="20"/>
          <w:szCs w:val="20"/>
          <w:color w:val="auto"/>
        </w:rPr>
      </w:pPr>
    </w:p>
    <w:p>
      <w:pPr>
        <w:ind w:right="2879" w:firstLine="186"/>
        <w:spacing w:after="0" w:line="235" w:lineRule="auto"/>
        <w:rPr>
          <w:sz w:val="20"/>
          <w:szCs w:val="20"/>
          <w:color w:val="auto"/>
        </w:rPr>
      </w:pPr>
      <w:r>
        <w:rPr>
          <w:rFonts w:ascii="Courier New" w:cs="Courier New" w:eastAsia="Courier New" w:hAnsi="Courier New"/>
          <w:sz w:val="16"/>
          <w:szCs w:val="16"/>
          <w:color w:val="auto"/>
        </w:rPr>
        <w:t>IN WITNESS WHEREOF, this Certificate of Sixth Amendment to the Certificate of Incorporation of Micron Technology, Inc. has been executed this 27th day of January, 1999.</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Steven R. Appleton</w:t>
      </w:r>
    </w:p>
    <w:p>
      <w:pPr>
        <w:spacing w:after="0" w:line="236" w:lineRule="auto"/>
        <w:rPr>
          <w:sz w:val="20"/>
          <w:szCs w:val="20"/>
          <w:color w:val="auto"/>
        </w:rPr>
      </w:pPr>
      <w:r>
        <w:rPr>
          <w:rFonts w:ascii="Courier New" w:cs="Courier New" w:eastAsia="Courier New" w:hAnsi="Courier New"/>
          <w:sz w:val="16"/>
          <w:szCs w:val="16"/>
          <w:color w:val="auto"/>
        </w:rPr>
        <w:t>- ----------------------</w:t>
      </w:r>
    </w:p>
    <w:p>
      <w:pPr>
        <w:spacing w:after="0" w:line="237" w:lineRule="auto"/>
        <w:rPr>
          <w:sz w:val="20"/>
          <w:szCs w:val="20"/>
          <w:color w:val="auto"/>
        </w:rPr>
      </w:pPr>
      <w:r>
        <w:rPr>
          <w:rFonts w:ascii="Courier New" w:cs="Courier New" w:eastAsia="Courier New" w:hAnsi="Courier New"/>
          <w:sz w:val="16"/>
          <w:szCs w:val="16"/>
          <w:color w:val="auto"/>
        </w:rPr>
        <w:t>Steven R. Appleton, Chairman, Chief</w:t>
      </w:r>
    </w:p>
    <w:p>
      <w:pPr>
        <w:spacing w:after="0" w:line="237" w:lineRule="auto"/>
        <w:rPr>
          <w:sz w:val="20"/>
          <w:szCs w:val="20"/>
          <w:color w:val="auto"/>
        </w:rPr>
      </w:pPr>
      <w:r>
        <w:rPr>
          <w:rFonts w:ascii="Courier New" w:cs="Courier New" w:eastAsia="Courier New" w:hAnsi="Courier New"/>
          <w:sz w:val="16"/>
          <w:szCs w:val="16"/>
          <w:color w:val="auto"/>
        </w:rPr>
        <w:t>Executive Officer and President</w:t>
      </w:r>
    </w:p>
    <w:p>
      <w:pPr>
        <w:sectPr>
          <w:pgSz w:w="11900" w:h="16838" w:orient="portrait"/>
          <w:cols w:equalWidth="0" w:num="1">
            <w:col w:w="10219"/>
          </w:cols>
          <w:pgMar w:left="240" w:top="648" w:right="1440" w:bottom="1440" w:gutter="0" w:footer="0" w:header="0"/>
        </w:sectPr>
      </w:pPr>
    </w:p>
    <w:bookmarkStart w:id="78" w:name="page79"/>
    <w:bookmarkEnd w:id="78"/>
    <w:p>
      <w:pPr>
        <w:jc w:val="right"/>
        <w:ind w:right="2779"/>
        <w:spacing w:after="0"/>
        <w:rPr>
          <w:sz w:val="20"/>
          <w:szCs w:val="20"/>
          <w:color w:val="auto"/>
        </w:rPr>
      </w:pPr>
      <w:r>
        <w:rPr>
          <w:rFonts w:ascii="Courier New" w:cs="Courier New" w:eastAsia="Courier New" w:hAnsi="Courier New"/>
          <w:sz w:val="16"/>
          <w:szCs w:val="16"/>
          <w:color w:val="auto"/>
        </w:rPr>
        <w:t>EXHIBIT 21.1</w:t>
      </w:r>
    </w:p>
    <w:p>
      <w:pPr>
        <w:spacing w:after="0" w:line="177"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MICRON TECHNOLOGY, INC.</w:t>
      </w:r>
    </w:p>
    <w:p>
      <w:pPr>
        <w:spacing w:after="0" w:line="177"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SUBSIDIARIES OF THE REGISTRANT</w:t>
      </w: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94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2420" w:type="dxa"/>
            <w:vAlign w:val="bottom"/>
          </w:tcPr>
          <w:p>
            <w:pPr>
              <w:spacing w:after="0"/>
              <w:rPr>
                <w:sz w:val="20"/>
                <w:szCs w:val="20"/>
                <w:color w:val="auto"/>
              </w:rPr>
            </w:pPr>
            <w:r>
              <w:rPr>
                <w:rFonts w:ascii="Courier New" w:cs="Courier New" w:eastAsia="Courier New" w:hAnsi="Courier New"/>
                <w:sz w:val="16"/>
                <w:szCs w:val="16"/>
                <w:color w:val="auto"/>
                <w:w w:val="96"/>
              </w:rPr>
              <w:t>State (or jurisdiction) in</w:t>
            </w:r>
          </w:p>
        </w:tc>
      </w:tr>
      <w:tr>
        <w:trPr>
          <w:trHeight w:val="179"/>
        </w:trPr>
        <w:tc>
          <w:tcPr>
            <w:tcW w:w="1940" w:type="dxa"/>
            <w:vAlign w:val="bottom"/>
          </w:tcPr>
          <w:p>
            <w:pPr>
              <w:ind w:left="840"/>
              <w:spacing w:after="0" w:line="179" w:lineRule="exact"/>
              <w:rPr>
                <w:sz w:val="20"/>
                <w:szCs w:val="20"/>
                <w:color w:val="auto"/>
              </w:rPr>
            </w:pPr>
            <w:r>
              <w:rPr>
                <w:rFonts w:ascii="Courier New" w:cs="Courier New" w:eastAsia="Courier New" w:hAnsi="Courier New"/>
                <w:sz w:val="16"/>
                <w:szCs w:val="16"/>
                <w:color w:val="auto"/>
              </w:rPr>
              <w:t>Name</w:t>
            </w:r>
          </w:p>
        </w:tc>
        <w:tc>
          <w:tcPr>
            <w:tcW w:w="2980" w:type="dxa"/>
            <w:vAlign w:val="bottom"/>
          </w:tcPr>
          <w:p>
            <w:pPr>
              <w:spacing w:after="0"/>
              <w:rPr>
                <w:sz w:val="15"/>
                <w:szCs w:val="15"/>
                <w:color w:val="auto"/>
              </w:rPr>
            </w:pPr>
          </w:p>
        </w:tc>
        <w:tc>
          <w:tcPr>
            <w:tcW w:w="2420" w:type="dxa"/>
            <w:vAlign w:val="bottom"/>
          </w:tcPr>
          <w:p>
            <w:pPr>
              <w:ind w:left="380"/>
              <w:spacing w:after="0" w:line="179" w:lineRule="exact"/>
              <w:rPr>
                <w:sz w:val="20"/>
                <w:szCs w:val="20"/>
                <w:color w:val="auto"/>
              </w:rPr>
            </w:pPr>
            <w:r>
              <w:rPr>
                <w:rFonts w:ascii="Courier New" w:cs="Courier New" w:eastAsia="Courier New" w:hAnsi="Courier New"/>
                <w:sz w:val="16"/>
                <w:szCs w:val="16"/>
                <w:color w:val="auto"/>
              </w:rPr>
              <w:t>which Incorporated</w:t>
            </w:r>
          </w:p>
        </w:tc>
      </w:tr>
      <w:tr>
        <w:trPr>
          <w:trHeight w:val="179"/>
        </w:trPr>
        <w:tc>
          <w:tcPr>
            <w:tcW w:w="1940" w:type="dxa"/>
            <w:vAlign w:val="bottom"/>
          </w:tcPr>
          <w:p>
            <w:pPr>
              <w:ind w:left="840"/>
              <w:spacing w:after="0" w:line="179" w:lineRule="exact"/>
              <w:rPr>
                <w:sz w:val="20"/>
                <w:szCs w:val="20"/>
                <w:color w:val="auto"/>
              </w:rPr>
            </w:pPr>
            <w:r>
              <w:rPr>
                <w:rFonts w:ascii="Courier New" w:cs="Courier New" w:eastAsia="Courier New" w:hAnsi="Courier New"/>
                <w:sz w:val="16"/>
                <w:szCs w:val="16"/>
                <w:color w:val="auto"/>
              </w:rPr>
              <w:t>----</w:t>
            </w:r>
          </w:p>
        </w:tc>
        <w:tc>
          <w:tcPr>
            <w:tcW w:w="2980" w:type="dxa"/>
            <w:vAlign w:val="bottom"/>
          </w:tcPr>
          <w:p>
            <w:pPr>
              <w:spacing w:after="0"/>
              <w:rPr>
                <w:sz w:val="15"/>
                <w:szCs w:val="15"/>
                <w:color w:val="auto"/>
              </w:rPr>
            </w:pPr>
          </w:p>
        </w:tc>
        <w:tc>
          <w:tcPr>
            <w:tcW w:w="2420" w:type="dxa"/>
            <w:vAlign w:val="bottom"/>
          </w:tcPr>
          <w:p>
            <w:pPr>
              <w:ind w:left="380"/>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920" w:type="dxa"/>
            <w:vAlign w:val="bottom"/>
            <w:gridSpan w:val="2"/>
          </w:tcPr>
          <w:p>
            <w:pPr>
              <w:spacing w:after="0"/>
              <w:rPr>
                <w:sz w:val="20"/>
                <w:szCs w:val="20"/>
                <w:color w:val="auto"/>
              </w:rPr>
            </w:pPr>
            <w:r>
              <w:rPr>
                <w:rFonts w:ascii="Courier New" w:cs="Courier New" w:eastAsia="Courier New" w:hAnsi="Courier New"/>
                <w:sz w:val="16"/>
                <w:szCs w:val="16"/>
                <w:color w:val="auto"/>
                <w:w w:val="89"/>
              </w:rPr>
              <w:t>Micron Electronics, Inc..................................</w:t>
            </w:r>
          </w:p>
        </w:tc>
        <w:tc>
          <w:tcPr>
            <w:tcW w:w="2420" w:type="dxa"/>
            <w:vAlign w:val="bottom"/>
          </w:tcPr>
          <w:p>
            <w:pPr>
              <w:ind w:left="740"/>
              <w:spacing w:after="0"/>
              <w:rPr>
                <w:sz w:val="20"/>
                <w:szCs w:val="20"/>
                <w:color w:val="auto"/>
              </w:rPr>
            </w:pPr>
            <w:r>
              <w:rPr>
                <w:rFonts w:ascii="Courier New" w:cs="Courier New" w:eastAsia="Courier New" w:hAnsi="Courier New"/>
                <w:sz w:val="16"/>
                <w:szCs w:val="16"/>
                <w:color w:val="auto"/>
              </w:rPr>
              <w:t>Minnesota</w:t>
            </w:r>
          </w:p>
        </w:tc>
      </w:tr>
      <w:tr>
        <w:trPr>
          <w:trHeight w:val="179"/>
        </w:trPr>
        <w:tc>
          <w:tcPr>
            <w:tcW w:w="19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5"/>
              </w:rPr>
              <w:t>MEI California, Inc</w:t>
            </w:r>
          </w:p>
        </w:tc>
        <w:tc>
          <w:tcPr>
            <w:tcW w:w="2980" w:type="dxa"/>
            <w:vAlign w:val="bottom"/>
          </w:tcPr>
          <w:p>
            <w:pPr>
              <w:spacing w:after="0" w:line="179" w:lineRule="exact"/>
              <w:rPr>
                <w:sz w:val="20"/>
                <w:szCs w:val="20"/>
                <w:color w:val="auto"/>
              </w:rPr>
            </w:pPr>
            <w:r>
              <w:rPr>
                <w:rFonts w:ascii="Courier New" w:cs="Courier New" w:eastAsia="Courier New" w:hAnsi="Courier New"/>
                <w:sz w:val="16"/>
                <w:szCs w:val="16"/>
                <w:color w:val="auto"/>
                <w:w w:val="85"/>
              </w:rPr>
              <w:t>....................................</w:t>
            </w:r>
          </w:p>
        </w:tc>
        <w:tc>
          <w:tcPr>
            <w:tcW w:w="2420" w:type="dxa"/>
            <w:vAlign w:val="bottom"/>
          </w:tcPr>
          <w:p>
            <w:pPr>
              <w:ind w:left="740"/>
              <w:spacing w:after="0" w:line="179" w:lineRule="exact"/>
              <w:rPr>
                <w:sz w:val="20"/>
                <w:szCs w:val="20"/>
                <w:color w:val="auto"/>
              </w:rPr>
            </w:pPr>
            <w:r>
              <w:rPr>
                <w:rFonts w:ascii="Courier New" w:cs="Courier New" w:eastAsia="Courier New" w:hAnsi="Courier New"/>
                <w:sz w:val="16"/>
                <w:szCs w:val="16"/>
                <w:color w:val="auto"/>
              </w:rPr>
              <w:t>California</w:t>
            </w:r>
          </w:p>
        </w:tc>
      </w:tr>
      <w:tr>
        <w:trPr>
          <w:trHeight w:val="179"/>
        </w:trPr>
        <w:tc>
          <w:tcPr>
            <w:tcW w:w="492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w w:val="89"/>
              </w:rPr>
              <w:t>Micron Commercial Computer Systems, Inc................</w:t>
            </w:r>
          </w:p>
        </w:tc>
        <w:tc>
          <w:tcPr>
            <w:tcW w:w="2420" w:type="dxa"/>
            <w:vAlign w:val="bottom"/>
          </w:tcPr>
          <w:p>
            <w:pPr>
              <w:ind w:left="740"/>
              <w:spacing w:after="0" w:line="179" w:lineRule="exact"/>
              <w:rPr>
                <w:sz w:val="20"/>
                <w:szCs w:val="20"/>
                <w:color w:val="auto"/>
              </w:rPr>
            </w:pPr>
            <w:r>
              <w:rPr>
                <w:rFonts w:ascii="Courier New" w:cs="Courier New" w:eastAsia="Courier New" w:hAnsi="Courier New"/>
                <w:sz w:val="16"/>
                <w:szCs w:val="16"/>
                <w:color w:val="auto"/>
              </w:rPr>
              <w:t>Delaware</w:t>
            </w:r>
          </w:p>
        </w:tc>
      </w:tr>
      <w:tr>
        <w:trPr>
          <w:trHeight w:val="179"/>
        </w:trPr>
        <w:tc>
          <w:tcPr>
            <w:tcW w:w="19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Micron Computer of</w:t>
            </w:r>
          </w:p>
        </w:tc>
        <w:tc>
          <w:tcPr>
            <w:tcW w:w="2980" w:type="dxa"/>
            <w:vAlign w:val="bottom"/>
          </w:tcPr>
          <w:p>
            <w:pPr>
              <w:spacing w:after="0" w:line="179" w:lineRule="exact"/>
              <w:rPr>
                <w:sz w:val="20"/>
                <w:szCs w:val="20"/>
                <w:color w:val="auto"/>
              </w:rPr>
            </w:pPr>
            <w:r>
              <w:rPr>
                <w:rFonts w:ascii="Courier New" w:cs="Courier New" w:eastAsia="Courier New" w:hAnsi="Courier New"/>
                <w:sz w:val="16"/>
                <w:szCs w:val="16"/>
                <w:color w:val="auto"/>
                <w:w w:val="85"/>
              </w:rPr>
              <w:t>Canada, Inc.........................</w:t>
            </w:r>
          </w:p>
        </w:tc>
        <w:tc>
          <w:tcPr>
            <w:tcW w:w="2420" w:type="dxa"/>
            <w:vAlign w:val="bottom"/>
          </w:tcPr>
          <w:p>
            <w:pPr>
              <w:ind w:left="740"/>
              <w:spacing w:after="0" w:line="179" w:lineRule="exact"/>
              <w:rPr>
                <w:sz w:val="20"/>
                <w:szCs w:val="20"/>
                <w:color w:val="auto"/>
              </w:rPr>
            </w:pPr>
            <w:r>
              <w:rPr>
                <w:rFonts w:ascii="Courier New" w:cs="Courier New" w:eastAsia="Courier New" w:hAnsi="Courier New"/>
                <w:sz w:val="16"/>
                <w:szCs w:val="16"/>
                <w:color w:val="auto"/>
              </w:rPr>
              <w:t>Canada</w:t>
            </w:r>
          </w:p>
        </w:tc>
      </w:tr>
      <w:tr>
        <w:trPr>
          <w:trHeight w:val="179"/>
        </w:trPr>
        <w:tc>
          <w:tcPr>
            <w:tcW w:w="492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w w:val="89"/>
              </w:rPr>
              <w:t>Micron Computer Services, Inc..........................</w:t>
            </w:r>
          </w:p>
        </w:tc>
        <w:tc>
          <w:tcPr>
            <w:tcW w:w="2420" w:type="dxa"/>
            <w:vAlign w:val="bottom"/>
          </w:tcPr>
          <w:p>
            <w:pPr>
              <w:ind w:left="740"/>
              <w:spacing w:after="0" w:line="179" w:lineRule="exact"/>
              <w:rPr>
                <w:sz w:val="20"/>
                <w:szCs w:val="20"/>
                <w:color w:val="auto"/>
              </w:rPr>
            </w:pPr>
            <w:r>
              <w:rPr>
                <w:rFonts w:ascii="Courier New" w:cs="Courier New" w:eastAsia="Courier New" w:hAnsi="Courier New"/>
                <w:sz w:val="16"/>
                <w:szCs w:val="16"/>
                <w:color w:val="auto"/>
              </w:rPr>
              <w:t>Delaware</w:t>
            </w:r>
          </w:p>
        </w:tc>
      </w:tr>
      <w:tr>
        <w:trPr>
          <w:trHeight w:val="179"/>
        </w:trPr>
        <w:tc>
          <w:tcPr>
            <w:tcW w:w="19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Micron Electronics</w:t>
            </w:r>
          </w:p>
        </w:tc>
        <w:tc>
          <w:tcPr>
            <w:tcW w:w="2980" w:type="dxa"/>
            <w:vAlign w:val="bottom"/>
          </w:tcPr>
          <w:p>
            <w:pPr>
              <w:spacing w:after="0" w:line="179" w:lineRule="exact"/>
              <w:rPr>
                <w:sz w:val="20"/>
                <w:szCs w:val="20"/>
                <w:color w:val="auto"/>
              </w:rPr>
            </w:pPr>
            <w:r>
              <w:rPr>
                <w:rFonts w:ascii="Courier New" w:cs="Courier New" w:eastAsia="Courier New" w:hAnsi="Courier New"/>
                <w:sz w:val="16"/>
                <w:szCs w:val="16"/>
                <w:color w:val="auto"/>
                <w:w w:val="85"/>
              </w:rPr>
              <w:t>(H.K.) Limited......................</w:t>
            </w:r>
          </w:p>
        </w:tc>
        <w:tc>
          <w:tcPr>
            <w:tcW w:w="2420" w:type="dxa"/>
            <w:vAlign w:val="bottom"/>
          </w:tcPr>
          <w:p>
            <w:pPr>
              <w:ind w:left="740"/>
              <w:spacing w:after="0" w:line="179" w:lineRule="exact"/>
              <w:rPr>
                <w:sz w:val="20"/>
                <w:szCs w:val="20"/>
                <w:color w:val="auto"/>
              </w:rPr>
            </w:pPr>
            <w:r>
              <w:rPr>
                <w:rFonts w:ascii="Courier New" w:cs="Courier New" w:eastAsia="Courier New" w:hAnsi="Courier New"/>
                <w:sz w:val="16"/>
                <w:szCs w:val="16"/>
                <w:color w:val="auto"/>
              </w:rPr>
              <w:t>Hong Kong</w:t>
            </w:r>
          </w:p>
        </w:tc>
      </w:tr>
      <w:tr>
        <w:trPr>
          <w:trHeight w:val="179"/>
        </w:trPr>
        <w:tc>
          <w:tcPr>
            <w:tcW w:w="19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Micron Electronics</w:t>
            </w:r>
          </w:p>
        </w:tc>
        <w:tc>
          <w:tcPr>
            <w:tcW w:w="2980" w:type="dxa"/>
            <w:vAlign w:val="bottom"/>
          </w:tcPr>
          <w:p>
            <w:pPr>
              <w:spacing w:after="0" w:line="179" w:lineRule="exact"/>
              <w:rPr>
                <w:sz w:val="20"/>
                <w:szCs w:val="20"/>
                <w:color w:val="auto"/>
              </w:rPr>
            </w:pPr>
            <w:r>
              <w:rPr>
                <w:rFonts w:ascii="Courier New" w:cs="Courier New" w:eastAsia="Courier New" w:hAnsi="Courier New"/>
                <w:sz w:val="16"/>
                <w:szCs w:val="16"/>
                <w:color w:val="auto"/>
                <w:w w:val="85"/>
              </w:rPr>
              <w:t>Asia-Pacific Holdings, Inc..........</w:t>
            </w:r>
          </w:p>
        </w:tc>
        <w:tc>
          <w:tcPr>
            <w:tcW w:w="2420" w:type="dxa"/>
            <w:vAlign w:val="bottom"/>
          </w:tcPr>
          <w:p>
            <w:pPr>
              <w:ind w:left="740"/>
              <w:spacing w:after="0" w:line="179" w:lineRule="exact"/>
              <w:rPr>
                <w:sz w:val="20"/>
                <w:szCs w:val="20"/>
                <w:color w:val="auto"/>
              </w:rPr>
            </w:pPr>
            <w:r>
              <w:rPr>
                <w:rFonts w:ascii="Courier New" w:cs="Courier New" w:eastAsia="Courier New" w:hAnsi="Courier New"/>
                <w:sz w:val="16"/>
                <w:szCs w:val="16"/>
                <w:color w:val="auto"/>
              </w:rPr>
              <w:t>B.V.I.</w:t>
            </w:r>
          </w:p>
        </w:tc>
      </w:tr>
      <w:tr>
        <w:trPr>
          <w:trHeight w:val="179"/>
        </w:trPr>
        <w:tc>
          <w:tcPr>
            <w:tcW w:w="19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Micron Electronics</w:t>
            </w:r>
          </w:p>
        </w:tc>
        <w:tc>
          <w:tcPr>
            <w:tcW w:w="2980" w:type="dxa"/>
            <w:vAlign w:val="bottom"/>
          </w:tcPr>
          <w:p>
            <w:pPr>
              <w:spacing w:after="0" w:line="179" w:lineRule="exact"/>
              <w:rPr>
                <w:sz w:val="20"/>
                <w:szCs w:val="20"/>
                <w:color w:val="auto"/>
              </w:rPr>
            </w:pPr>
            <w:r>
              <w:rPr>
                <w:rFonts w:ascii="Courier New" w:cs="Courier New" w:eastAsia="Courier New" w:hAnsi="Courier New"/>
                <w:sz w:val="16"/>
                <w:szCs w:val="16"/>
                <w:color w:val="auto"/>
                <w:w w:val="85"/>
              </w:rPr>
              <w:t>Asia-Pacific Operations, Inc........</w:t>
            </w:r>
          </w:p>
        </w:tc>
        <w:tc>
          <w:tcPr>
            <w:tcW w:w="2420" w:type="dxa"/>
            <w:vAlign w:val="bottom"/>
          </w:tcPr>
          <w:p>
            <w:pPr>
              <w:ind w:left="740"/>
              <w:spacing w:after="0" w:line="179" w:lineRule="exact"/>
              <w:rPr>
                <w:sz w:val="20"/>
                <w:szCs w:val="20"/>
                <w:color w:val="auto"/>
              </w:rPr>
            </w:pPr>
            <w:r>
              <w:rPr>
                <w:rFonts w:ascii="Courier New" w:cs="Courier New" w:eastAsia="Courier New" w:hAnsi="Courier New"/>
                <w:sz w:val="16"/>
                <w:szCs w:val="16"/>
                <w:color w:val="auto"/>
              </w:rPr>
              <w:t>B.V.I.</w:t>
            </w:r>
          </w:p>
        </w:tc>
      </w:tr>
      <w:tr>
        <w:trPr>
          <w:trHeight w:val="179"/>
        </w:trPr>
        <w:tc>
          <w:tcPr>
            <w:tcW w:w="19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Micron Electronics</w:t>
            </w:r>
          </w:p>
        </w:tc>
        <w:tc>
          <w:tcPr>
            <w:tcW w:w="2980" w:type="dxa"/>
            <w:vAlign w:val="bottom"/>
          </w:tcPr>
          <w:p>
            <w:pPr>
              <w:spacing w:after="0" w:line="179" w:lineRule="exact"/>
              <w:rPr>
                <w:sz w:val="20"/>
                <w:szCs w:val="20"/>
                <w:color w:val="auto"/>
              </w:rPr>
            </w:pPr>
            <w:r>
              <w:rPr>
                <w:rFonts w:ascii="Courier New" w:cs="Courier New" w:eastAsia="Courier New" w:hAnsi="Courier New"/>
                <w:sz w:val="16"/>
                <w:szCs w:val="16"/>
                <w:color w:val="auto"/>
                <w:w w:val="85"/>
              </w:rPr>
              <w:t>Asia-Pacific Trading, Ltd...........</w:t>
            </w:r>
          </w:p>
        </w:tc>
        <w:tc>
          <w:tcPr>
            <w:tcW w:w="2420" w:type="dxa"/>
            <w:vAlign w:val="bottom"/>
          </w:tcPr>
          <w:p>
            <w:pPr>
              <w:ind w:left="740"/>
              <w:spacing w:after="0" w:line="179" w:lineRule="exact"/>
              <w:rPr>
                <w:sz w:val="20"/>
                <w:szCs w:val="20"/>
                <w:color w:val="auto"/>
              </w:rPr>
            </w:pPr>
            <w:r>
              <w:rPr>
                <w:rFonts w:ascii="Courier New" w:cs="Courier New" w:eastAsia="Courier New" w:hAnsi="Courier New"/>
                <w:sz w:val="16"/>
                <w:szCs w:val="16"/>
                <w:color w:val="auto"/>
              </w:rPr>
              <w:t>Hong Kong</w:t>
            </w:r>
          </w:p>
        </w:tc>
      </w:tr>
      <w:tr>
        <w:trPr>
          <w:trHeight w:val="179"/>
        </w:trPr>
        <w:tc>
          <w:tcPr>
            <w:tcW w:w="19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Micron Electronics</w:t>
            </w:r>
          </w:p>
        </w:tc>
        <w:tc>
          <w:tcPr>
            <w:tcW w:w="2980" w:type="dxa"/>
            <w:vAlign w:val="bottom"/>
          </w:tcPr>
          <w:p>
            <w:pPr>
              <w:spacing w:after="0" w:line="179" w:lineRule="exact"/>
              <w:rPr>
                <w:sz w:val="20"/>
                <w:szCs w:val="20"/>
                <w:color w:val="auto"/>
              </w:rPr>
            </w:pPr>
            <w:r>
              <w:rPr>
                <w:rFonts w:ascii="Courier New" w:cs="Courier New" w:eastAsia="Courier New" w:hAnsi="Courier New"/>
                <w:sz w:val="16"/>
                <w:szCs w:val="16"/>
                <w:color w:val="auto"/>
                <w:w w:val="85"/>
              </w:rPr>
              <w:t>International, Inc..................</w:t>
            </w:r>
          </w:p>
        </w:tc>
        <w:tc>
          <w:tcPr>
            <w:tcW w:w="2420" w:type="dxa"/>
            <w:vAlign w:val="bottom"/>
          </w:tcPr>
          <w:p>
            <w:pPr>
              <w:ind w:left="740"/>
              <w:spacing w:after="0" w:line="179" w:lineRule="exact"/>
              <w:rPr>
                <w:sz w:val="20"/>
                <w:szCs w:val="20"/>
                <w:color w:val="auto"/>
              </w:rPr>
            </w:pPr>
            <w:r>
              <w:rPr>
                <w:rFonts w:ascii="Courier New" w:cs="Courier New" w:eastAsia="Courier New" w:hAnsi="Courier New"/>
                <w:sz w:val="16"/>
                <w:szCs w:val="16"/>
                <w:color w:val="auto"/>
              </w:rPr>
              <w:t>Delaware</w:t>
            </w:r>
          </w:p>
        </w:tc>
      </w:tr>
      <w:tr>
        <w:trPr>
          <w:trHeight w:val="179"/>
        </w:trPr>
        <w:tc>
          <w:tcPr>
            <w:tcW w:w="19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Micron Electronics</w:t>
            </w:r>
          </w:p>
        </w:tc>
        <w:tc>
          <w:tcPr>
            <w:tcW w:w="2980" w:type="dxa"/>
            <w:vAlign w:val="bottom"/>
          </w:tcPr>
          <w:p>
            <w:pPr>
              <w:spacing w:after="0" w:line="179" w:lineRule="exact"/>
              <w:rPr>
                <w:sz w:val="20"/>
                <w:szCs w:val="20"/>
                <w:color w:val="auto"/>
              </w:rPr>
            </w:pPr>
            <w:r>
              <w:rPr>
                <w:rFonts w:ascii="Courier New" w:cs="Courier New" w:eastAsia="Courier New" w:hAnsi="Courier New"/>
                <w:sz w:val="16"/>
                <w:szCs w:val="16"/>
                <w:color w:val="auto"/>
                <w:w w:val="85"/>
              </w:rPr>
              <w:t>Japan K.K...........................</w:t>
            </w:r>
          </w:p>
        </w:tc>
        <w:tc>
          <w:tcPr>
            <w:tcW w:w="2420" w:type="dxa"/>
            <w:vAlign w:val="bottom"/>
          </w:tcPr>
          <w:p>
            <w:pPr>
              <w:ind w:left="740"/>
              <w:spacing w:after="0" w:line="179" w:lineRule="exact"/>
              <w:rPr>
                <w:sz w:val="20"/>
                <w:szCs w:val="20"/>
                <w:color w:val="auto"/>
              </w:rPr>
            </w:pPr>
            <w:r>
              <w:rPr>
                <w:rFonts w:ascii="Courier New" w:cs="Courier New" w:eastAsia="Courier New" w:hAnsi="Courier New"/>
                <w:sz w:val="16"/>
                <w:szCs w:val="16"/>
                <w:color w:val="auto"/>
              </w:rPr>
              <w:t>Japan</w:t>
            </w:r>
          </w:p>
        </w:tc>
      </w:tr>
      <w:tr>
        <w:trPr>
          <w:trHeight w:val="179"/>
        </w:trPr>
        <w:tc>
          <w:tcPr>
            <w:tcW w:w="492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w w:val="89"/>
              </w:rPr>
              <w:t>Micron Government Computer Systems, Inc................</w:t>
            </w:r>
          </w:p>
        </w:tc>
        <w:tc>
          <w:tcPr>
            <w:tcW w:w="2420" w:type="dxa"/>
            <w:vAlign w:val="bottom"/>
          </w:tcPr>
          <w:p>
            <w:pPr>
              <w:ind w:left="740"/>
              <w:spacing w:after="0" w:line="179" w:lineRule="exact"/>
              <w:rPr>
                <w:sz w:val="20"/>
                <w:szCs w:val="20"/>
                <w:color w:val="auto"/>
              </w:rPr>
            </w:pPr>
            <w:r>
              <w:rPr>
                <w:rFonts w:ascii="Courier New" w:cs="Courier New" w:eastAsia="Courier New" w:hAnsi="Courier New"/>
                <w:sz w:val="16"/>
                <w:szCs w:val="16"/>
                <w:color w:val="auto"/>
              </w:rPr>
              <w:t>Delaware</w:t>
            </w:r>
          </w:p>
        </w:tc>
      </w:tr>
      <w:tr>
        <w:trPr>
          <w:trHeight w:val="179"/>
        </w:trPr>
        <w:tc>
          <w:tcPr>
            <w:tcW w:w="492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w w:val="89"/>
              </w:rPr>
              <w:t>Micron Internet Services, Inc..........................</w:t>
            </w:r>
          </w:p>
        </w:tc>
        <w:tc>
          <w:tcPr>
            <w:tcW w:w="2420" w:type="dxa"/>
            <w:vAlign w:val="bottom"/>
          </w:tcPr>
          <w:p>
            <w:pPr>
              <w:ind w:left="740"/>
              <w:spacing w:after="0" w:line="179" w:lineRule="exact"/>
              <w:rPr>
                <w:sz w:val="20"/>
                <w:szCs w:val="20"/>
                <w:color w:val="auto"/>
              </w:rPr>
            </w:pPr>
            <w:r>
              <w:rPr>
                <w:rFonts w:ascii="Courier New" w:cs="Courier New" w:eastAsia="Courier New" w:hAnsi="Courier New"/>
                <w:sz w:val="16"/>
                <w:szCs w:val="16"/>
                <w:color w:val="auto"/>
              </w:rPr>
              <w:t>Delaware</w:t>
            </w:r>
          </w:p>
        </w:tc>
      </w:tr>
      <w:tr>
        <w:trPr>
          <w:trHeight w:val="179"/>
        </w:trPr>
        <w:tc>
          <w:tcPr>
            <w:tcW w:w="492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w w:val="89"/>
              </w:rPr>
              <w:t>Micron Overseas Trading, Inc...........................</w:t>
            </w:r>
          </w:p>
        </w:tc>
        <w:tc>
          <w:tcPr>
            <w:tcW w:w="2420" w:type="dxa"/>
            <w:vAlign w:val="bottom"/>
          </w:tcPr>
          <w:p>
            <w:pPr>
              <w:ind w:left="740"/>
              <w:spacing w:after="0" w:line="179" w:lineRule="exact"/>
              <w:rPr>
                <w:sz w:val="20"/>
                <w:szCs w:val="20"/>
                <w:color w:val="auto"/>
              </w:rPr>
            </w:pPr>
            <w:r>
              <w:rPr>
                <w:rFonts w:ascii="Courier New" w:cs="Courier New" w:eastAsia="Courier New" w:hAnsi="Courier New"/>
                <w:sz w:val="16"/>
                <w:szCs w:val="16"/>
                <w:color w:val="auto"/>
              </w:rPr>
              <w:t>Barbados</w:t>
            </w:r>
          </w:p>
        </w:tc>
      </w:tr>
      <w:tr>
        <w:trPr>
          <w:trHeight w:val="179"/>
        </w:trPr>
        <w:tc>
          <w:tcPr>
            <w:tcW w:w="492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w w:val="89"/>
              </w:rPr>
              <w:t>Micron PC Web Services, Inc............................</w:t>
            </w:r>
          </w:p>
        </w:tc>
        <w:tc>
          <w:tcPr>
            <w:tcW w:w="2420" w:type="dxa"/>
            <w:vAlign w:val="bottom"/>
          </w:tcPr>
          <w:p>
            <w:pPr>
              <w:ind w:left="740"/>
              <w:spacing w:after="0" w:line="179" w:lineRule="exact"/>
              <w:rPr>
                <w:sz w:val="20"/>
                <w:szCs w:val="20"/>
                <w:color w:val="auto"/>
              </w:rPr>
            </w:pPr>
            <w:r>
              <w:rPr>
                <w:rFonts w:ascii="Courier New" w:cs="Courier New" w:eastAsia="Courier New" w:hAnsi="Courier New"/>
                <w:sz w:val="16"/>
                <w:szCs w:val="16"/>
                <w:color w:val="auto"/>
              </w:rPr>
              <w:t>Delaware</w:t>
            </w:r>
          </w:p>
        </w:tc>
      </w:tr>
      <w:tr>
        <w:trPr>
          <w:trHeight w:val="179"/>
        </w:trPr>
        <w:tc>
          <w:tcPr>
            <w:tcW w:w="492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w w:val="89"/>
              </w:rPr>
              <w:t>Micron PC, Inc.........................................</w:t>
            </w:r>
          </w:p>
        </w:tc>
        <w:tc>
          <w:tcPr>
            <w:tcW w:w="2420" w:type="dxa"/>
            <w:vAlign w:val="bottom"/>
          </w:tcPr>
          <w:p>
            <w:pPr>
              <w:ind w:left="740"/>
              <w:spacing w:after="0" w:line="179" w:lineRule="exact"/>
              <w:rPr>
                <w:sz w:val="20"/>
                <w:szCs w:val="20"/>
                <w:color w:val="auto"/>
              </w:rPr>
            </w:pPr>
            <w:r>
              <w:rPr>
                <w:rFonts w:ascii="Courier New" w:cs="Courier New" w:eastAsia="Courier New" w:hAnsi="Courier New"/>
                <w:sz w:val="16"/>
                <w:szCs w:val="16"/>
                <w:color w:val="auto"/>
              </w:rPr>
              <w:t>Delaware</w:t>
            </w:r>
          </w:p>
        </w:tc>
      </w:tr>
      <w:tr>
        <w:trPr>
          <w:trHeight w:val="179"/>
        </w:trPr>
        <w:tc>
          <w:tcPr>
            <w:tcW w:w="492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w w:val="89"/>
              </w:rPr>
              <w:t>NetLimited, Inc........................................</w:t>
            </w:r>
          </w:p>
        </w:tc>
        <w:tc>
          <w:tcPr>
            <w:tcW w:w="2420" w:type="dxa"/>
            <w:vAlign w:val="bottom"/>
          </w:tcPr>
          <w:p>
            <w:pPr>
              <w:ind w:left="740"/>
              <w:spacing w:after="0" w:line="179" w:lineRule="exact"/>
              <w:rPr>
                <w:sz w:val="20"/>
                <w:szCs w:val="20"/>
                <w:color w:val="auto"/>
              </w:rPr>
            </w:pPr>
            <w:r>
              <w:rPr>
                <w:rFonts w:ascii="Courier New" w:cs="Courier New" w:eastAsia="Courier New" w:hAnsi="Courier New"/>
                <w:sz w:val="16"/>
                <w:szCs w:val="16"/>
                <w:color w:val="auto"/>
              </w:rPr>
              <w:t>California</w:t>
            </w:r>
          </w:p>
        </w:tc>
      </w:tr>
      <w:tr>
        <w:trPr>
          <w:trHeight w:val="179"/>
        </w:trPr>
        <w:tc>
          <w:tcPr>
            <w:tcW w:w="492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w w:val="89"/>
              </w:rPr>
              <w:t>SpecTek Products, LLC..................................</w:t>
            </w:r>
          </w:p>
        </w:tc>
        <w:tc>
          <w:tcPr>
            <w:tcW w:w="2420" w:type="dxa"/>
            <w:vAlign w:val="bottom"/>
          </w:tcPr>
          <w:p>
            <w:pPr>
              <w:ind w:left="740"/>
              <w:spacing w:after="0" w:line="179" w:lineRule="exact"/>
              <w:rPr>
                <w:sz w:val="20"/>
                <w:szCs w:val="20"/>
                <w:color w:val="auto"/>
              </w:rPr>
            </w:pPr>
            <w:r>
              <w:rPr>
                <w:rFonts w:ascii="Courier New" w:cs="Courier New" w:eastAsia="Courier New" w:hAnsi="Courier New"/>
                <w:sz w:val="16"/>
                <w:szCs w:val="16"/>
                <w:color w:val="auto"/>
              </w:rPr>
              <w:t>Delaware</w:t>
            </w:r>
          </w:p>
        </w:tc>
      </w:tr>
      <w:tr>
        <w:trPr>
          <w:trHeight w:val="179"/>
        </w:trPr>
        <w:tc>
          <w:tcPr>
            <w:tcW w:w="1940" w:type="dxa"/>
            <w:vAlign w:val="bottom"/>
          </w:tcPr>
          <w:p>
            <w:pPr>
              <w:spacing w:after="0" w:line="179" w:lineRule="exact"/>
              <w:rPr>
                <w:sz w:val="20"/>
                <w:szCs w:val="20"/>
                <w:color w:val="auto"/>
              </w:rPr>
            </w:pPr>
            <w:r>
              <w:rPr>
                <w:rFonts w:ascii="Courier New" w:cs="Courier New" w:eastAsia="Courier New" w:hAnsi="Courier New"/>
                <w:sz w:val="16"/>
                <w:szCs w:val="16"/>
                <w:color w:val="auto"/>
                <w:w w:val="95"/>
              </w:rPr>
              <w:t>Micron Europe Limited</w:t>
            </w:r>
          </w:p>
        </w:tc>
        <w:tc>
          <w:tcPr>
            <w:tcW w:w="2980" w:type="dxa"/>
            <w:vAlign w:val="bottom"/>
          </w:tcPr>
          <w:p>
            <w:pPr>
              <w:spacing w:after="0" w:line="179" w:lineRule="exact"/>
              <w:rPr>
                <w:sz w:val="20"/>
                <w:szCs w:val="20"/>
                <w:color w:val="auto"/>
              </w:rPr>
            </w:pPr>
            <w:r>
              <w:rPr>
                <w:rFonts w:ascii="Courier New" w:cs="Courier New" w:eastAsia="Courier New" w:hAnsi="Courier New"/>
                <w:sz w:val="16"/>
                <w:szCs w:val="16"/>
                <w:color w:val="auto"/>
                <w:w w:val="85"/>
              </w:rPr>
              <w:t>....................................</w:t>
            </w:r>
          </w:p>
        </w:tc>
        <w:tc>
          <w:tcPr>
            <w:tcW w:w="2420" w:type="dxa"/>
            <w:vAlign w:val="bottom"/>
          </w:tcPr>
          <w:p>
            <w:pPr>
              <w:ind w:left="740"/>
              <w:spacing w:after="0" w:line="179" w:lineRule="exact"/>
              <w:rPr>
                <w:sz w:val="20"/>
                <w:szCs w:val="20"/>
                <w:color w:val="auto"/>
              </w:rPr>
            </w:pPr>
            <w:r>
              <w:rPr>
                <w:rFonts w:ascii="Courier New" w:cs="Courier New" w:eastAsia="Courier New" w:hAnsi="Courier New"/>
                <w:sz w:val="16"/>
                <w:szCs w:val="16"/>
                <w:color w:val="auto"/>
              </w:rPr>
              <w:t>United Kingdom</w:t>
            </w:r>
          </w:p>
        </w:tc>
      </w:tr>
      <w:tr>
        <w:trPr>
          <w:trHeight w:val="179"/>
        </w:trPr>
        <w:tc>
          <w:tcPr>
            <w:tcW w:w="194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Micron International</w:t>
            </w:r>
          </w:p>
        </w:tc>
        <w:tc>
          <w:tcPr>
            <w:tcW w:w="2980" w:type="dxa"/>
            <w:vAlign w:val="bottom"/>
          </w:tcPr>
          <w:p>
            <w:pPr>
              <w:spacing w:after="0" w:line="179" w:lineRule="exact"/>
              <w:rPr>
                <w:sz w:val="20"/>
                <w:szCs w:val="20"/>
                <w:color w:val="auto"/>
              </w:rPr>
            </w:pPr>
            <w:r>
              <w:rPr>
                <w:rFonts w:ascii="Courier New" w:cs="Courier New" w:eastAsia="Courier New" w:hAnsi="Courier New"/>
                <w:sz w:val="16"/>
                <w:szCs w:val="16"/>
                <w:color w:val="auto"/>
                <w:w w:val="85"/>
              </w:rPr>
              <w:t>Sales, Inc..........................</w:t>
            </w:r>
          </w:p>
        </w:tc>
        <w:tc>
          <w:tcPr>
            <w:tcW w:w="2420" w:type="dxa"/>
            <w:vAlign w:val="bottom"/>
          </w:tcPr>
          <w:p>
            <w:pPr>
              <w:ind w:left="740"/>
              <w:spacing w:after="0" w:line="179" w:lineRule="exact"/>
              <w:rPr>
                <w:sz w:val="20"/>
                <w:szCs w:val="20"/>
                <w:color w:val="auto"/>
              </w:rPr>
            </w:pPr>
            <w:r>
              <w:rPr>
                <w:rFonts w:ascii="Courier New" w:cs="Courier New" w:eastAsia="Courier New" w:hAnsi="Courier New"/>
                <w:sz w:val="16"/>
                <w:szCs w:val="16"/>
                <w:color w:val="auto"/>
              </w:rPr>
              <w:t>Barbados</w:t>
            </w:r>
          </w:p>
        </w:tc>
      </w:tr>
      <w:tr>
        <w:trPr>
          <w:trHeight w:val="179"/>
        </w:trPr>
        <w:tc>
          <w:tcPr>
            <w:tcW w:w="194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Micron Semiconductor</w:t>
            </w:r>
          </w:p>
        </w:tc>
        <w:tc>
          <w:tcPr>
            <w:tcW w:w="2980" w:type="dxa"/>
            <w:vAlign w:val="bottom"/>
          </w:tcPr>
          <w:p>
            <w:pPr>
              <w:spacing w:after="0" w:line="179" w:lineRule="exact"/>
              <w:rPr>
                <w:sz w:val="20"/>
                <w:szCs w:val="20"/>
                <w:color w:val="auto"/>
              </w:rPr>
            </w:pPr>
            <w:r>
              <w:rPr>
                <w:rFonts w:ascii="Courier New" w:cs="Courier New" w:eastAsia="Courier New" w:hAnsi="Courier New"/>
                <w:sz w:val="16"/>
                <w:szCs w:val="16"/>
                <w:color w:val="auto"/>
                <w:w w:val="85"/>
              </w:rPr>
              <w:t>Asia Pte. Ltd.......................</w:t>
            </w:r>
          </w:p>
        </w:tc>
        <w:tc>
          <w:tcPr>
            <w:tcW w:w="2420" w:type="dxa"/>
            <w:vAlign w:val="bottom"/>
          </w:tcPr>
          <w:p>
            <w:pPr>
              <w:ind w:left="740"/>
              <w:spacing w:after="0" w:line="179" w:lineRule="exact"/>
              <w:rPr>
                <w:sz w:val="20"/>
                <w:szCs w:val="20"/>
                <w:color w:val="auto"/>
              </w:rPr>
            </w:pPr>
            <w:r>
              <w:rPr>
                <w:rFonts w:ascii="Courier New" w:cs="Courier New" w:eastAsia="Courier New" w:hAnsi="Courier New"/>
                <w:sz w:val="16"/>
                <w:szCs w:val="16"/>
                <w:color w:val="auto"/>
              </w:rPr>
              <w:t>Singapore</w:t>
            </w:r>
          </w:p>
        </w:tc>
      </w:tr>
      <w:tr>
        <w:trPr>
          <w:trHeight w:val="179"/>
        </w:trPr>
        <w:tc>
          <w:tcPr>
            <w:tcW w:w="194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Micron Semiconductor</w:t>
            </w:r>
          </w:p>
        </w:tc>
        <w:tc>
          <w:tcPr>
            <w:tcW w:w="2980" w:type="dxa"/>
            <w:vAlign w:val="bottom"/>
          </w:tcPr>
          <w:p>
            <w:pPr>
              <w:spacing w:after="0" w:line="179" w:lineRule="exact"/>
              <w:rPr>
                <w:sz w:val="20"/>
                <w:szCs w:val="20"/>
                <w:color w:val="auto"/>
              </w:rPr>
            </w:pPr>
            <w:r>
              <w:rPr>
                <w:rFonts w:ascii="Courier New" w:cs="Courier New" w:eastAsia="Courier New" w:hAnsi="Courier New"/>
                <w:sz w:val="16"/>
                <w:szCs w:val="16"/>
                <w:color w:val="auto"/>
                <w:w w:val="85"/>
              </w:rPr>
              <w:t>Asia Pacific, Inc...................</w:t>
            </w:r>
          </w:p>
        </w:tc>
        <w:tc>
          <w:tcPr>
            <w:tcW w:w="2420" w:type="dxa"/>
            <w:vAlign w:val="bottom"/>
          </w:tcPr>
          <w:p>
            <w:pPr>
              <w:ind w:left="740"/>
              <w:spacing w:after="0" w:line="179" w:lineRule="exact"/>
              <w:rPr>
                <w:sz w:val="20"/>
                <w:szCs w:val="20"/>
                <w:color w:val="auto"/>
              </w:rPr>
            </w:pPr>
            <w:r>
              <w:rPr>
                <w:rFonts w:ascii="Courier New" w:cs="Courier New" w:eastAsia="Courier New" w:hAnsi="Courier New"/>
                <w:sz w:val="16"/>
                <w:szCs w:val="16"/>
                <w:color w:val="auto"/>
              </w:rPr>
              <w:t>Idaho</w:t>
            </w:r>
          </w:p>
        </w:tc>
      </w:tr>
      <w:tr>
        <w:trPr>
          <w:trHeight w:val="179"/>
        </w:trPr>
        <w:tc>
          <w:tcPr>
            <w:tcW w:w="194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Micron Semiconductor</w:t>
            </w:r>
          </w:p>
        </w:tc>
        <w:tc>
          <w:tcPr>
            <w:tcW w:w="2980" w:type="dxa"/>
            <w:vAlign w:val="bottom"/>
          </w:tcPr>
          <w:p>
            <w:pPr>
              <w:spacing w:after="0" w:line="179" w:lineRule="exact"/>
              <w:rPr>
                <w:sz w:val="20"/>
                <w:szCs w:val="20"/>
                <w:color w:val="auto"/>
              </w:rPr>
            </w:pPr>
            <w:r>
              <w:rPr>
                <w:rFonts w:ascii="Courier New" w:cs="Courier New" w:eastAsia="Courier New" w:hAnsi="Courier New"/>
                <w:sz w:val="16"/>
                <w:szCs w:val="16"/>
                <w:color w:val="auto"/>
                <w:w w:val="85"/>
              </w:rPr>
              <w:t>(Deutschland) GmbH..................</w:t>
            </w:r>
          </w:p>
        </w:tc>
        <w:tc>
          <w:tcPr>
            <w:tcW w:w="2420" w:type="dxa"/>
            <w:vAlign w:val="bottom"/>
          </w:tcPr>
          <w:p>
            <w:pPr>
              <w:ind w:left="740"/>
              <w:spacing w:after="0" w:line="179" w:lineRule="exact"/>
              <w:rPr>
                <w:sz w:val="20"/>
                <w:szCs w:val="20"/>
                <w:color w:val="auto"/>
              </w:rPr>
            </w:pPr>
            <w:r>
              <w:rPr>
                <w:rFonts w:ascii="Courier New" w:cs="Courier New" w:eastAsia="Courier New" w:hAnsi="Courier New"/>
                <w:sz w:val="16"/>
                <w:szCs w:val="16"/>
                <w:color w:val="auto"/>
              </w:rPr>
              <w:t>Germany</w:t>
            </w:r>
          </w:p>
        </w:tc>
      </w:tr>
      <w:tr>
        <w:trPr>
          <w:trHeight w:val="179"/>
        </w:trPr>
        <w:tc>
          <w:tcPr>
            <w:tcW w:w="194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Micron Semiconductor</w:t>
            </w:r>
          </w:p>
        </w:tc>
        <w:tc>
          <w:tcPr>
            <w:tcW w:w="2980" w:type="dxa"/>
            <w:vAlign w:val="bottom"/>
          </w:tcPr>
          <w:p>
            <w:pPr>
              <w:spacing w:after="0" w:line="179" w:lineRule="exact"/>
              <w:rPr>
                <w:sz w:val="20"/>
                <w:szCs w:val="20"/>
                <w:color w:val="auto"/>
              </w:rPr>
            </w:pPr>
            <w:r>
              <w:rPr>
                <w:rFonts w:ascii="Courier New" w:cs="Courier New" w:eastAsia="Courier New" w:hAnsi="Courier New"/>
                <w:sz w:val="16"/>
                <w:szCs w:val="16"/>
                <w:color w:val="auto"/>
                <w:w w:val="85"/>
              </w:rPr>
              <w:t>Products, Inc.......................</w:t>
            </w:r>
          </w:p>
        </w:tc>
        <w:tc>
          <w:tcPr>
            <w:tcW w:w="2420" w:type="dxa"/>
            <w:vAlign w:val="bottom"/>
          </w:tcPr>
          <w:p>
            <w:pPr>
              <w:ind w:left="740"/>
              <w:spacing w:after="0" w:line="179" w:lineRule="exact"/>
              <w:rPr>
                <w:sz w:val="20"/>
                <w:szCs w:val="20"/>
                <w:color w:val="auto"/>
              </w:rPr>
            </w:pPr>
            <w:r>
              <w:rPr>
                <w:rFonts w:ascii="Courier New" w:cs="Courier New" w:eastAsia="Courier New" w:hAnsi="Courier New"/>
                <w:sz w:val="16"/>
                <w:szCs w:val="16"/>
                <w:color w:val="auto"/>
              </w:rPr>
              <w:t>Idaho</w:t>
            </w:r>
          </w:p>
        </w:tc>
      </w:tr>
      <w:tr>
        <w:trPr>
          <w:trHeight w:val="179"/>
        </w:trPr>
        <w:tc>
          <w:tcPr>
            <w:tcW w:w="492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89"/>
              </w:rPr>
              <w:t>Micron Technology Asia Pacific, Inc......................</w:t>
            </w:r>
          </w:p>
        </w:tc>
        <w:tc>
          <w:tcPr>
            <w:tcW w:w="2420" w:type="dxa"/>
            <w:vAlign w:val="bottom"/>
          </w:tcPr>
          <w:p>
            <w:pPr>
              <w:ind w:left="740"/>
              <w:spacing w:after="0" w:line="179" w:lineRule="exact"/>
              <w:rPr>
                <w:sz w:val="20"/>
                <w:szCs w:val="20"/>
                <w:color w:val="auto"/>
              </w:rPr>
            </w:pPr>
            <w:r>
              <w:rPr>
                <w:rFonts w:ascii="Courier New" w:cs="Courier New" w:eastAsia="Courier New" w:hAnsi="Courier New"/>
                <w:sz w:val="16"/>
                <w:szCs w:val="16"/>
                <w:color w:val="auto"/>
              </w:rPr>
              <w:t>Idaho</w:t>
            </w:r>
          </w:p>
        </w:tc>
      </w:tr>
      <w:tr>
        <w:trPr>
          <w:trHeight w:val="179"/>
        </w:trPr>
        <w:tc>
          <w:tcPr>
            <w:tcW w:w="492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89"/>
              </w:rPr>
              <w:t>Micron Technology Italia S.r.l...........................</w:t>
            </w:r>
          </w:p>
        </w:tc>
        <w:tc>
          <w:tcPr>
            <w:tcW w:w="2420" w:type="dxa"/>
            <w:vAlign w:val="bottom"/>
          </w:tcPr>
          <w:p>
            <w:pPr>
              <w:ind w:left="740"/>
              <w:spacing w:after="0" w:line="179" w:lineRule="exact"/>
              <w:rPr>
                <w:sz w:val="20"/>
                <w:szCs w:val="20"/>
                <w:color w:val="auto"/>
              </w:rPr>
            </w:pPr>
            <w:r>
              <w:rPr>
                <w:rFonts w:ascii="Courier New" w:cs="Courier New" w:eastAsia="Courier New" w:hAnsi="Courier New"/>
                <w:sz w:val="16"/>
                <w:szCs w:val="16"/>
                <w:color w:val="auto"/>
              </w:rPr>
              <w:t>Italy</w:t>
            </w:r>
          </w:p>
        </w:tc>
      </w:tr>
      <w:tr>
        <w:trPr>
          <w:trHeight w:val="179"/>
        </w:trPr>
        <w:tc>
          <w:tcPr>
            <w:tcW w:w="492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89"/>
              </w:rPr>
              <w:t>Micron Technology Japan, K.K.............................</w:t>
            </w:r>
          </w:p>
        </w:tc>
        <w:tc>
          <w:tcPr>
            <w:tcW w:w="2420" w:type="dxa"/>
            <w:vAlign w:val="bottom"/>
          </w:tcPr>
          <w:p>
            <w:pPr>
              <w:ind w:left="740"/>
              <w:spacing w:after="0" w:line="179" w:lineRule="exact"/>
              <w:rPr>
                <w:sz w:val="20"/>
                <w:szCs w:val="20"/>
                <w:color w:val="auto"/>
              </w:rPr>
            </w:pPr>
            <w:r>
              <w:rPr>
                <w:rFonts w:ascii="Courier New" w:cs="Courier New" w:eastAsia="Courier New" w:hAnsi="Courier New"/>
                <w:sz w:val="16"/>
                <w:szCs w:val="16"/>
                <w:color w:val="auto"/>
              </w:rPr>
              <w:t>Japan</w:t>
            </w:r>
          </w:p>
        </w:tc>
      </w:tr>
      <w:tr>
        <w:trPr>
          <w:trHeight w:val="179"/>
        </w:trPr>
        <w:tc>
          <w:tcPr>
            <w:tcW w:w="492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89"/>
              </w:rPr>
              <w:t>Micron Technology Services, Inc..........................</w:t>
            </w:r>
          </w:p>
        </w:tc>
        <w:tc>
          <w:tcPr>
            <w:tcW w:w="2420" w:type="dxa"/>
            <w:vAlign w:val="bottom"/>
          </w:tcPr>
          <w:p>
            <w:pPr>
              <w:ind w:left="740"/>
              <w:spacing w:after="0" w:line="179" w:lineRule="exact"/>
              <w:rPr>
                <w:sz w:val="20"/>
                <w:szCs w:val="20"/>
                <w:color w:val="auto"/>
              </w:rPr>
            </w:pPr>
            <w:r>
              <w:rPr>
                <w:rFonts w:ascii="Courier New" w:cs="Courier New" w:eastAsia="Courier New" w:hAnsi="Courier New"/>
                <w:sz w:val="16"/>
                <w:szCs w:val="16"/>
                <w:color w:val="auto"/>
              </w:rPr>
              <w:t>Idaho</w:t>
            </w:r>
          </w:p>
        </w:tc>
      </w:tr>
      <w:tr>
        <w:trPr>
          <w:trHeight w:val="179"/>
        </w:trPr>
        <w:tc>
          <w:tcPr>
            <w:tcW w:w="492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89"/>
              </w:rPr>
              <w:t>Micron Technology Texas, LLC.............................</w:t>
            </w:r>
          </w:p>
        </w:tc>
        <w:tc>
          <w:tcPr>
            <w:tcW w:w="2420" w:type="dxa"/>
            <w:vAlign w:val="bottom"/>
          </w:tcPr>
          <w:p>
            <w:pPr>
              <w:ind w:left="740"/>
              <w:spacing w:after="0" w:line="179" w:lineRule="exact"/>
              <w:rPr>
                <w:sz w:val="20"/>
                <w:szCs w:val="20"/>
                <w:color w:val="auto"/>
              </w:rPr>
            </w:pPr>
            <w:r>
              <w:rPr>
                <w:rFonts w:ascii="Courier New" w:cs="Courier New" w:eastAsia="Courier New" w:hAnsi="Courier New"/>
                <w:sz w:val="16"/>
                <w:szCs w:val="16"/>
                <w:color w:val="auto"/>
              </w:rPr>
              <w:t>Idaho</w:t>
            </w:r>
          </w:p>
        </w:tc>
      </w:tr>
    </w:tbl>
    <w:p>
      <w:pPr>
        <w:sectPr>
          <w:pgSz w:w="11900" w:h="16838" w:orient="portrait"/>
          <w:cols w:equalWidth="0" w:num="1">
            <w:col w:w="10219"/>
          </w:cols>
          <w:pgMar w:left="240" w:top="493" w:right="1440" w:bottom="1440" w:gutter="0" w:footer="0" w:header="0"/>
        </w:sectPr>
      </w:pPr>
    </w:p>
    <w:bookmarkStart w:id="79" w:name="page80"/>
    <w:bookmarkEnd w:id="79"/>
    <w:p>
      <w:pPr>
        <w:jc w:val="right"/>
        <w:ind w:right="2779"/>
        <w:spacing w:after="0"/>
        <w:rPr>
          <w:sz w:val="20"/>
          <w:szCs w:val="20"/>
          <w:color w:val="auto"/>
        </w:rPr>
      </w:pPr>
      <w:r>
        <w:rPr>
          <w:rFonts w:ascii="Courier New" w:cs="Courier New" w:eastAsia="Courier New" w:hAnsi="Courier New"/>
          <w:sz w:val="16"/>
          <w:szCs w:val="16"/>
          <w:color w:val="auto"/>
        </w:rPr>
        <w:t>EXHIBIT 23.1</w:t>
      </w:r>
    </w:p>
    <w:p>
      <w:pPr>
        <w:spacing w:after="0" w:line="200" w:lineRule="exact"/>
        <w:rPr>
          <w:sz w:val="20"/>
          <w:szCs w:val="20"/>
          <w:color w:val="auto"/>
        </w:rPr>
      </w:pPr>
    </w:p>
    <w:p>
      <w:pPr>
        <w:spacing w:after="0" w:line="334" w:lineRule="exact"/>
        <w:rPr>
          <w:sz w:val="20"/>
          <w:szCs w:val="20"/>
          <w:color w:val="auto"/>
        </w:rPr>
      </w:pPr>
    </w:p>
    <w:p>
      <w:pPr>
        <w:ind w:left="2040"/>
        <w:spacing w:after="0"/>
        <w:rPr>
          <w:sz w:val="20"/>
          <w:szCs w:val="20"/>
          <w:color w:val="auto"/>
        </w:rPr>
      </w:pPr>
      <w:r>
        <w:rPr>
          <w:rFonts w:ascii="Courier New" w:cs="Courier New" w:eastAsia="Courier New" w:hAnsi="Courier New"/>
          <w:sz w:val="16"/>
          <w:szCs w:val="16"/>
          <w:color w:val="auto"/>
        </w:rPr>
        <w:t>CONSENT OF INDEPENDENT ACCOUNTANTS</w:t>
      </w:r>
    </w:p>
    <w:p>
      <w:pPr>
        <w:spacing w:after="0" w:line="362" w:lineRule="exact"/>
        <w:rPr>
          <w:sz w:val="20"/>
          <w:szCs w:val="20"/>
          <w:color w:val="auto"/>
        </w:rPr>
      </w:pPr>
    </w:p>
    <w:p>
      <w:pPr>
        <w:ind w:right="2879"/>
        <w:spacing w:after="0" w:line="236" w:lineRule="auto"/>
        <w:rPr>
          <w:sz w:val="20"/>
          <w:szCs w:val="20"/>
          <w:color w:val="auto"/>
        </w:rPr>
      </w:pPr>
      <w:r>
        <w:rPr>
          <w:rFonts w:ascii="Courier New" w:cs="Courier New" w:eastAsia="Courier New" w:hAnsi="Courier New"/>
          <w:sz w:val="16"/>
          <w:szCs w:val="16"/>
          <w:color w:val="auto"/>
        </w:rPr>
        <w:t>We hereby consent to the incorporation by reference in the Registration Statement on Form S-3 as amended (File No. 333-18441) and Forms S-8 (File Nos. 33-3686, 33-16832, 33-27078, 33-38665, 33-38926, 33-65050, 33-52653, 33-57887, 333-07283, 333-17073, 333-50323, 333-65449, 333-71249, 333-82549) of Micron Technology, Inc. and subsidiaries of our report dated October 4, 1999, relating to the financial statements and financial statement schedule, which appear in this Form 10-K.</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/s/PricewaterhouseCoopers LLP</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Boise, Idaho</w:t>
      </w:r>
    </w:p>
    <w:p>
      <w:pPr>
        <w:spacing w:after="0" w:line="236" w:lineRule="auto"/>
        <w:rPr>
          <w:sz w:val="20"/>
          <w:szCs w:val="20"/>
          <w:color w:val="auto"/>
        </w:rPr>
      </w:pPr>
      <w:r>
        <w:rPr>
          <w:rFonts w:ascii="Courier New" w:cs="Courier New" w:eastAsia="Courier New" w:hAnsi="Courier New"/>
          <w:sz w:val="16"/>
          <w:szCs w:val="16"/>
          <w:color w:val="auto"/>
        </w:rPr>
        <w:t>November 8, 1999</w:t>
      </w:r>
    </w:p>
    <w:p>
      <w:pPr>
        <w:sectPr>
          <w:pgSz w:w="11900" w:h="16838" w:orient="portrait"/>
          <w:cols w:equalWidth="0" w:num="1">
            <w:col w:w="10219"/>
          </w:cols>
          <w:pgMar w:left="240" w:top="493" w:right="1440" w:bottom="1440" w:gutter="0" w:footer="0" w:header="0"/>
        </w:sectPr>
      </w:pPr>
    </w:p>
    <w:bookmarkStart w:id="80" w:name="page81"/>
    <w:bookmarkEnd w:id="80"/>
    <w:p>
      <w:pPr>
        <w:spacing w:after="0" w:line="236" w:lineRule="auto"/>
        <w:rPr>
          <w:sz w:val="20"/>
          <w:szCs w:val="20"/>
          <w:color w:val="auto"/>
        </w:rPr>
      </w:pPr>
    </w:p>
    <w:p>
      <w:pPr>
        <w:sectPr>
          <w:pgSz w:w="11900" w:h="16838" w:orient="portrait"/>
          <w:cols w:equalWidth="1" w:num="1" w:space="0"/>
          <w:pgMar w:left="1440" w:top="1440" w:right="1440" w:bottom="875" w:gutter="0" w:footer="0" w:header="0"/>
        </w:sectPr>
      </w:pPr>
    </w:p>
    <w:bookmarkStart w:id="81" w:name="page82"/>
    <w:bookmarkEnd w:id="81"/>
    <w:p>
      <w:pPr>
        <w:ind w:left="60"/>
        <w:spacing w:after="0"/>
        <w:rPr>
          <w:sz w:val="20"/>
          <w:szCs w:val="20"/>
          <w:color w:val="auto"/>
        </w:rPr>
      </w:pPr>
      <w:r>
        <w:rPr>
          <w:rFonts w:ascii="Courier New" w:cs="Courier New" w:eastAsia="Courier New" w:hAnsi="Courier New"/>
          <w:sz w:val="16"/>
          <w:szCs w:val="16"/>
          <w:color w:val="auto"/>
        </w:rPr>
        <w:t>5</w:t>
      </w:r>
    </w:p>
    <w:p>
      <w:pPr>
        <w:spacing w:after="0" w:line="183" w:lineRule="exact"/>
        <w:rPr>
          <w:sz w:val="20"/>
          <w:szCs w:val="20"/>
          <w:color w:val="auto"/>
        </w:rPr>
      </w:pPr>
    </w:p>
    <w:p>
      <w:pPr>
        <w:ind w:right="2859"/>
        <w:spacing w:after="0" w:line="235" w:lineRule="auto"/>
        <w:rPr>
          <w:sz w:val="20"/>
          <w:szCs w:val="20"/>
          <w:color w:val="auto"/>
        </w:rPr>
      </w:pPr>
      <w:r>
        <w:rPr>
          <w:rFonts w:ascii="Courier New" w:cs="Courier New" w:eastAsia="Courier New" w:hAnsi="Courier New"/>
          <w:sz w:val="16"/>
          <w:szCs w:val="16"/>
          <w:color w:val="auto"/>
        </w:rPr>
        <w:t>THIS SCHEDULE CONTAINS SUMMARY FINANCIAL INFORMATION EXTRACTED FROM THE ACCOMPANYING FINANCIAL STATEMENTS AND IS QUALIFIED IN ITS ENTIRETY BY REFERENCE TO SUCH FINANCIAL STATEMENTS.</w:t>
      </w:r>
    </w:p>
    <w:p>
      <w:pPr>
        <w:spacing w:after="0" w:line="177"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1,000,000</w:t>
      </w:r>
    </w:p>
    <w:p>
      <w:pPr>
        <w:spacing w:after="0" w:line="355" w:lineRule="exact"/>
        <w:rPr>
          <w:sz w:val="20"/>
          <w:szCs w:val="20"/>
          <w:color w:val="auto"/>
        </w:rPr>
      </w:pPr>
    </w:p>
    <w:tbl>
      <w:tblPr>
        <w:tblLayout w:type="fixed"/>
        <w:tblInd w:w="1740" w:type="dxa"/>
        <w:tblCellMar>
          <w:top w:w="0" w:type="dxa"/>
          <w:left w:w="0" w:type="dxa"/>
          <w:bottom w:w="0" w:type="dxa"/>
          <w:right w:w="0" w:type="dxa"/>
        </w:tblCellMar>
      </w:tblPr>
      <w:tr>
        <w:trPr>
          <w:trHeight w:val="181"/>
        </w:trPr>
        <w:tc>
          <w:tcPr>
            <w:tcW w:w="700" w:type="dxa"/>
            <w:vAlign w:val="bottom"/>
          </w:tcPr>
          <w:p>
            <w:pPr>
              <w:jc w:val="right"/>
              <w:ind w:right="242"/>
              <w:spacing w:after="0"/>
              <w:rPr>
                <w:sz w:val="20"/>
                <w:szCs w:val="20"/>
                <w:color w:val="auto"/>
              </w:rPr>
            </w:pPr>
            <w:r>
              <w:rPr>
                <w:rFonts w:ascii="Courier New" w:cs="Courier New" w:eastAsia="Courier New" w:hAnsi="Courier New"/>
                <w:sz w:val="16"/>
                <w:szCs w:val="16"/>
                <w:color w:val="auto"/>
                <w:w w:val="93"/>
              </w:rPr>
              <w:t>YEAR</w:t>
            </w:r>
          </w:p>
        </w:tc>
        <w:tc>
          <w:tcPr>
            <w:tcW w:w="224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YEAR</w:t>
            </w:r>
          </w:p>
        </w:tc>
        <w:tc>
          <w:tcPr>
            <w:tcW w:w="2080" w:type="dxa"/>
            <w:vAlign w:val="bottom"/>
          </w:tcPr>
          <w:p>
            <w:pPr>
              <w:spacing w:after="0"/>
              <w:rPr>
                <w:sz w:val="15"/>
                <w:szCs w:val="15"/>
                <w:color w:val="auto"/>
              </w:rPr>
            </w:pPr>
          </w:p>
        </w:tc>
      </w:tr>
      <w:tr>
        <w:trPr>
          <w:trHeight w:val="179"/>
        </w:trPr>
        <w:tc>
          <w:tcPr>
            <w:tcW w:w="700" w:type="dxa"/>
            <w:vAlign w:val="bottom"/>
          </w:tcPr>
          <w:p>
            <w:pPr>
              <w:spacing w:after="0"/>
              <w:rPr>
                <w:sz w:val="15"/>
                <w:szCs w:val="15"/>
                <w:color w:val="auto"/>
              </w:rPr>
            </w:pPr>
          </w:p>
        </w:tc>
        <w:tc>
          <w:tcPr>
            <w:tcW w:w="2240" w:type="dxa"/>
            <w:vAlign w:val="bottom"/>
          </w:tcPr>
          <w:p>
            <w:pPr>
              <w:jc w:val="right"/>
              <w:ind w:right="1182"/>
              <w:spacing w:after="0" w:line="179" w:lineRule="exact"/>
              <w:rPr>
                <w:sz w:val="20"/>
                <w:szCs w:val="20"/>
                <w:color w:val="auto"/>
              </w:rPr>
            </w:pPr>
            <w:r>
              <w:rPr>
                <w:rFonts w:ascii="Courier New" w:cs="Courier New" w:eastAsia="Courier New" w:hAnsi="Courier New"/>
                <w:sz w:val="16"/>
                <w:szCs w:val="16"/>
                <w:color w:val="auto"/>
                <w:w w:val="99"/>
              </w:rPr>
              <w:t>SEP-3-1998</w:t>
            </w:r>
          </w:p>
        </w:tc>
        <w:tc>
          <w:tcPr>
            <w:tcW w:w="2080" w:type="dxa"/>
            <w:vAlign w:val="bottom"/>
          </w:tcPr>
          <w:p>
            <w:pPr>
              <w:jc w:val="right"/>
              <w:ind w:right="1042"/>
              <w:spacing w:after="0" w:line="179" w:lineRule="exact"/>
              <w:rPr>
                <w:sz w:val="20"/>
                <w:szCs w:val="20"/>
                <w:color w:val="auto"/>
              </w:rPr>
            </w:pPr>
            <w:r>
              <w:rPr>
                <w:rFonts w:ascii="Courier New" w:cs="Courier New" w:eastAsia="Courier New" w:hAnsi="Courier New"/>
                <w:sz w:val="16"/>
                <w:szCs w:val="16"/>
                <w:color w:val="auto"/>
                <w:w w:val="97"/>
              </w:rPr>
              <w:t>SEP-2-1999</w:t>
            </w:r>
          </w:p>
        </w:tc>
      </w:tr>
      <w:tr>
        <w:trPr>
          <w:trHeight w:val="179"/>
        </w:trPr>
        <w:tc>
          <w:tcPr>
            <w:tcW w:w="700" w:type="dxa"/>
            <w:vAlign w:val="bottom"/>
          </w:tcPr>
          <w:p>
            <w:pPr>
              <w:spacing w:after="0"/>
              <w:rPr>
                <w:sz w:val="15"/>
                <w:szCs w:val="15"/>
                <w:color w:val="auto"/>
              </w:rPr>
            </w:pPr>
          </w:p>
        </w:tc>
        <w:tc>
          <w:tcPr>
            <w:tcW w:w="2240" w:type="dxa"/>
            <w:vAlign w:val="bottom"/>
          </w:tcPr>
          <w:p>
            <w:pPr>
              <w:jc w:val="right"/>
              <w:ind w:right="902"/>
              <w:spacing w:after="0" w:line="179" w:lineRule="exact"/>
              <w:rPr>
                <w:sz w:val="20"/>
                <w:szCs w:val="20"/>
                <w:color w:val="auto"/>
              </w:rPr>
            </w:pPr>
            <w:r>
              <w:rPr>
                <w:rFonts w:ascii="Courier New" w:cs="Courier New" w:eastAsia="Courier New" w:hAnsi="Courier New"/>
                <w:sz w:val="16"/>
                <w:szCs w:val="16"/>
                <w:color w:val="auto"/>
              </w:rPr>
              <w:t>AUG-29-1997</w:t>
            </w:r>
          </w:p>
        </w:tc>
        <w:tc>
          <w:tcPr>
            <w:tcW w:w="2080" w:type="dxa"/>
            <w:vAlign w:val="bottom"/>
          </w:tcPr>
          <w:p>
            <w:pPr>
              <w:jc w:val="right"/>
              <w:ind w:right="762"/>
              <w:spacing w:after="0" w:line="179" w:lineRule="exact"/>
              <w:rPr>
                <w:sz w:val="20"/>
                <w:szCs w:val="20"/>
                <w:color w:val="auto"/>
              </w:rPr>
            </w:pPr>
            <w:r>
              <w:rPr>
                <w:rFonts w:ascii="Courier New" w:cs="Courier New" w:eastAsia="Courier New" w:hAnsi="Courier New"/>
                <w:sz w:val="16"/>
                <w:szCs w:val="16"/>
                <w:color w:val="auto"/>
              </w:rPr>
              <w:t>SEP-4-1998</w:t>
            </w:r>
          </w:p>
        </w:tc>
      </w:tr>
      <w:tr>
        <w:trPr>
          <w:trHeight w:val="179"/>
        </w:trPr>
        <w:tc>
          <w:tcPr>
            <w:tcW w:w="700" w:type="dxa"/>
            <w:vAlign w:val="bottom"/>
          </w:tcPr>
          <w:p>
            <w:pPr>
              <w:spacing w:after="0"/>
              <w:rPr>
                <w:sz w:val="15"/>
                <w:szCs w:val="15"/>
                <w:color w:val="auto"/>
              </w:rPr>
            </w:pPr>
          </w:p>
        </w:tc>
        <w:tc>
          <w:tcPr>
            <w:tcW w:w="2240" w:type="dxa"/>
            <w:vAlign w:val="bottom"/>
          </w:tcPr>
          <w:p>
            <w:pPr>
              <w:jc w:val="right"/>
              <w:ind w:right="722"/>
              <w:spacing w:after="0" w:line="179" w:lineRule="exact"/>
              <w:rPr>
                <w:sz w:val="20"/>
                <w:szCs w:val="20"/>
                <w:color w:val="auto"/>
              </w:rPr>
            </w:pPr>
            <w:r>
              <w:rPr>
                <w:rFonts w:ascii="Courier New" w:cs="Courier New" w:eastAsia="Courier New" w:hAnsi="Courier New"/>
                <w:sz w:val="16"/>
                <w:szCs w:val="16"/>
                <w:color w:val="auto"/>
              </w:rPr>
              <w:t>SEP-3-1998</w:t>
            </w:r>
          </w:p>
        </w:tc>
        <w:tc>
          <w:tcPr>
            <w:tcW w:w="208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rPr>
              <w:t>SEP-2-1999</w:t>
            </w:r>
          </w:p>
        </w:tc>
      </w:tr>
      <w:tr>
        <w:trPr>
          <w:trHeight w:val="179"/>
        </w:trPr>
        <w:tc>
          <w:tcPr>
            <w:tcW w:w="700" w:type="dxa"/>
            <w:vAlign w:val="bottom"/>
          </w:tcPr>
          <w:p>
            <w:pPr>
              <w:spacing w:after="0"/>
              <w:rPr>
                <w:sz w:val="15"/>
                <w:szCs w:val="15"/>
                <w:color w:val="auto"/>
              </w:rPr>
            </w:pPr>
          </w:p>
        </w:tc>
        <w:tc>
          <w:tcPr>
            <w:tcW w:w="224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559</w:t>
            </w:r>
          </w:p>
        </w:tc>
        <w:tc>
          <w:tcPr>
            <w:tcW w:w="20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295</w:t>
            </w:r>
          </w:p>
        </w:tc>
      </w:tr>
      <w:tr>
        <w:trPr>
          <w:trHeight w:val="179"/>
        </w:trPr>
        <w:tc>
          <w:tcPr>
            <w:tcW w:w="700" w:type="dxa"/>
            <w:vAlign w:val="bottom"/>
          </w:tcPr>
          <w:p>
            <w:pPr>
              <w:spacing w:after="0"/>
              <w:rPr>
                <w:sz w:val="15"/>
                <w:szCs w:val="15"/>
                <w:color w:val="auto"/>
              </w:rPr>
            </w:pPr>
          </w:p>
        </w:tc>
        <w:tc>
          <w:tcPr>
            <w:tcW w:w="2240" w:type="dxa"/>
            <w:vAlign w:val="bottom"/>
          </w:tcPr>
          <w:p>
            <w:pPr>
              <w:jc w:val="right"/>
              <w:ind w:right="722"/>
              <w:spacing w:after="0" w:line="179" w:lineRule="exact"/>
              <w:rPr>
                <w:sz w:val="20"/>
                <w:szCs w:val="20"/>
                <w:color w:val="auto"/>
              </w:rPr>
            </w:pPr>
            <w:r>
              <w:rPr>
                <w:rFonts w:ascii="Courier New" w:cs="Courier New" w:eastAsia="Courier New" w:hAnsi="Courier New"/>
                <w:sz w:val="16"/>
                <w:szCs w:val="16"/>
                <w:color w:val="auto"/>
              </w:rPr>
              <w:t>91</w:t>
            </w:r>
          </w:p>
        </w:tc>
        <w:tc>
          <w:tcPr>
            <w:tcW w:w="208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rPr>
              <w:t>1,319</w:t>
            </w:r>
          </w:p>
        </w:tc>
      </w:tr>
      <w:tr>
        <w:trPr>
          <w:trHeight w:val="179"/>
        </w:trPr>
        <w:tc>
          <w:tcPr>
            <w:tcW w:w="700" w:type="dxa"/>
            <w:vAlign w:val="bottom"/>
          </w:tcPr>
          <w:p>
            <w:pPr>
              <w:spacing w:after="0"/>
              <w:rPr>
                <w:sz w:val="15"/>
                <w:szCs w:val="15"/>
                <w:color w:val="auto"/>
              </w:rPr>
            </w:pPr>
          </w:p>
        </w:tc>
        <w:tc>
          <w:tcPr>
            <w:tcW w:w="2240" w:type="dxa"/>
            <w:vAlign w:val="bottom"/>
          </w:tcPr>
          <w:p>
            <w:pPr>
              <w:jc w:val="right"/>
              <w:ind w:right="822"/>
              <w:spacing w:after="0" w:line="179" w:lineRule="exact"/>
              <w:rPr>
                <w:sz w:val="20"/>
                <w:szCs w:val="20"/>
                <w:color w:val="auto"/>
              </w:rPr>
            </w:pPr>
            <w:r>
              <w:rPr>
                <w:rFonts w:ascii="Courier New" w:cs="Courier New" w:eastAsia="Courier New" w:hAnsi="Courier New"/>
                <w:sz w:val="16"/>
                <w:szCs w:val="16"/>
                <w:color w:val="auto"/>
              </w:rPr>
              <w:t>508</w:t>
            </w:r>
          </w:p>
        </w:tc>
        <w:tc>
          <w:tcPr>
            <w:tcW w:w="208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rPr>
              <w:t>741</w:t>
            </w:r>
          </w:p>
        </w:tc>
      </w:tr>
      <w:tr>
        <w:trPr>
          <w:trHeight w:val="179"/>
        </w:trPr>
        <w:tc>
          <w:tcPr>
            <w:tcW w:w="700" w:type="dxa"/>
            <w:vAlign w:val="bottom"/>
          </w:tcPr>
          <w:p>
            <w:pPr>
              <w:spacing w:after="0"/>
              <w:rPr>
                <w:sz w:val="15"/>
                <w:szCs w:val="15"/>
                <w:color w:val="auto"/>
              </w:rPr>
            </w:pPr>
          </w:p>
        </w:tc>
        <w:tc>
          <w:tcPr>
            <w:tcW w:w="2240" w:type="dxa"/>
            <w:vAlign w:val="bottom"/>
          </w:tcPr>
          <w:p>
            <w:pPr>
              <w:jc w:val="right"/>
              <w:ind w:right="722"/>
              <w:spacing w:after="0" w:line="179" w:lineRule="exact"/>
              <w:rPr>
                <w:sz w:val="20"/>
                <w:szCs w:val="20"/>
                <w:color w:val="auto"/>
              </w:rPr>
            </w:pPr>
            <w:r>
              <w:rPr>
                <w:rFonts w:ascii="Courier New" w:cs="Courier New" w:eastAsia="Courier New" w:hAnsi="Courier New"/>
                <w:sz w:val="16"/>
                <w:szCs w:val="16"/>
                <w:color w:val="auto"/>
              </w:rPr>
              <w:t>19</w:t>
            </w:r>
          </w:p>
        </w:tc>
        <w:tc>
          <w:tcPr>
            <w:tcW w:w="208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rPr>
              <w:t>48</w:t>
            </w:r>
          </w:p>
        </w:tc>
      </w:tr>
      <w:tr>
        <w:trPr>
          <w:trHeight w:val="179"/>
        </w:trPr>
        <w:tc>
          <w:tcPr>
            <w:tcW w:w="700" w:type="dxa"/>
            <w:vAlign w:val="bottom"/>
          </w:tcPr>
          <w:p>
            <w:pPr>
              <w:spacing w:after="0"/>
              <w:rPr>
                <w:sz w:val="15"/>
                <w:szCs w:val="15"/>
                <w:color w:val="auto"/>
              </w:rPr>
            </w:pPr>
          </w:p>
        </w:tc>
        <w:tc>
          <w:tcPr>
            <w:tcW w:w="2240" w:type="dxa"/>
            <w:vAlign w:val="bottom"/>
          </w:tcPr>
          <w:p>
            <w:pPr>
              <w:jc w:val="right"/>
              <w:ind w:right="622"/>
              <w:spacing w:after="0" w:line="179" w:lineRule="exact"/>
              <w:rPr>
                <w:sz w:val="20"/>
                <w:szCs w:val="20"/>
                <w:color w:val="auto"/>
              </w:rPr>
            </w:pPr>
            <w:r>
              <w:rPr>
                <w:rFonts w:ascii="Courier New" w:cs="Courier New" w:eastAsia="Courier New" w:hAnsi="Courier New"/>
                <w:sz w:val="16"/>
                <w:szCs w:val="16"/>
                <w:color w:val="auto"/>
              </w:rPr>
              <w:t>292</w:t>
            </w:r>
          </w:p>
        </w:tc>
        <w:tc>
          <w:tcPr>
            <w:tcW w:w="20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366</w:t>
            </w:r>
          </w:p>
        </w:tc>
      </w:tr>
      <w:tr>
        <w:trPr>
          <w:trHeight w:val="179"/>
        </w:trPr>
        <w:tc>
          <w:tcPr>
            <w:tcW w:w="700" w:type="dxa"/>
            <w:vAlign w:val="bottom"/>
          </w:tcPr>
          <w:p>
            <w:pPr>
              <w:spacing w:after="0"/>
              <w:rPr>
                <w:sz w:val="15"/>
                <w:szCs w:val="15"/>
                <w:color w:val="auto"/>
              </w:rPr>
            </w:pPr>
          </w:p>
        </w:tc>
        <w:tc>
          <w:tcPr>
            <w:tcW w:w="2240" w:type="dxa"/>
            <w:vAlign w:val="bottom"/>
          </w:tcPr>
          <w:p>
            <w:pPr>
              <w:jc w:val="right"/>
              <w:ind w:right="1082"/>
              <w:spacing w:after="0" w:line="179" w:lineRule="exact"/>
              <w:rPr>
                <w:sz w:val="20"/>
                <w:szCs w:val="20"/>
                <w:color w:val="auto"/>
              </w:rPr>
            </w:pPr>
            <w:r>
              <w:rPr>
                <w:rFonts w:ascii="Courier New" w:cs="Courier New" w:eastAsia="Courier New" w:hAnsi="Courier New"/>
                <w:sz w:val="16"/>
                <w:szCs w:val="16"/>
                <w:color w:val="auto"/>
              </w:rPr>
              <w:t>1,501</w:t>
            </w:r>
          </w:p>
        </w:tc>
        <w:tc>
          <w:tcPr>
            <w:tcW w:w="2080" w:type="dxa"/>
            <w:vAlign w:val="bottom"/>
          </w:tcPr>
          <w:p>
            <w:pPr>
              <w:jc w:val="right"/>
              <w:ind w:right="942"/>
              <w:spacing w:after="0" w:line="179" w:lineRule="exact"/>
              <w:rPr>
                <w:sz w:val="20"/>
                <w:szCs w:val="20"/>
                <w:color w:val="auto"/>
              </w:rPr>
            </w:pPr>
            <w:r>
              <w:rPr>
                <w:rFonts w:ascii="Courier New" w:cs="Courier New" w:eastAsia="Courier New" w:hAnsi="Courier New"/>
                <w:sz w:val="16"/>
                <w:szCs w:val="16"/>
                <w:color w:val="auto"/>
              </w:rPr>
              <w:t>2,830</w:t>
            </w:r>
          </w:p>
        </w:tc>
      </w:tr>
      <w:tr>
        <w:trPr>
          <w:trHeight w:val="179"/>
        </w:trPr>
        <w:tc>
          <w:tcPr>
            <w:tcW w:w="700" w:type="dxa"/>
            <w:vAlign w:val="bottom"/>
          </w:tcPr>
          <w:p>
            <w:pPr>
              <w:spacing w:after="0"/>
              <w:rPr>
                <w:sz w:val="15"/>
                <w:szCs w:val="15"/>
                <w:color w:val="auto"/>
              </w:rPr>
            </w:pPr>
          </w:p>
        </w:tc>
        <w:tc>
          <w:tcPr>
            <w:tcW w:w="224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4,681</w:t>
            </w:r>
          </w:p>
        </w:tc>
        <w:tc>
          <w:tcPr>
            <w:tcW w:w="20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6,015</w:t>
            </w:r>
          </w:p>
        </w:tc>
      </w:tr>
      <w:tr>
        <w:trPr>
          <w:trHeight w:val="179"/>
        </w:trPr>
        <w:tc>
          <w:tcPr>
            <w:tcW w:w="700" w:type="dxa"/>
            <w:vAlign w:val="bottom"/>
          </w:tcPr>
          <w:p>
            <w:pPr>
              <w:spacing w:after="0"/>
              <w:rPr>
                <w:sz w:val="15"/>
                <w:szCs w:val="15"/>
                <w:color w:val="auto"/>
              </w:rPr>
            </w:pPr>
          </w:p>
        </w:tc>
        <w:tc>
          <w:tcPr>
            <w:tcW w:w="2240" w:type="dxa"/>
            <w:vAlign w:val="bottom"/>
          </w:tcPr>
          <w:p>
            <w:pPr>
              <w:jc w:val="right"/>
              <w:ind w:right="902"/>
              <w:spacing w:after="0" w:line="179" w:lineRule="exact"/>
              <w:rPr>
                <w:sz w:val="20"/>
                <w:szCs w:val="20"/>
                <w:color w:val="auto"/>
              </w:rPr>
            </w:pPr>
            <w:r>
              <w:rPr>
                <w:rFonts w:ascii="Courier New" w:cs="Courier New" w:eastAsia="Courier New" w:hAnsi="Courier New"/>
                <w:sz w:val="16"/>
                <w:szCs w:val="16"/>
                <w:color w:val="auto"/>
              </w:rPr>
              <w:t>1,645</w:t>
            </w:r>
          </w:p>
        </w:tc>
        <w:tc>
          <w:tcPr>
            <w:tcW w:w="2080" w:type="dxa"/>
            <w:vAlign w:val="bottom"/>
          </w:tcPr>
          <w:p>
            <w:pPr>
              <w:jc w:val="right"/>
              <w:ind w:right="762"/>
              <w:spacing w:after="0" w:line="179" w:lineRule="exact"/>
              <w:rPr>
                <w:sz w:val="20"/>
                <w:szCs w:val="20"/>
                <w:color w:val="auto"/>
              </w:rPr>
            </w:pPr>
            <w:r>
              <w:rPr>
                <w:rFonts w:ascii="Courier New" w:cs="Courier New" w:eastAsia="Courier New" w:hAnsi="Courier New"/>
                <w:sz w:val="16"/>
                <w:szCs w:val="16"/>
                <w:color w:val="auto"/>
              </w:rPr>
              <w:t>2,215</w:t>
            </w:r>
          </w:p>
        </w:tc>
      </w:tr>
      <w:tr>
        <w:trPr>
          <w:trHeight w:val="179"/>
        </w:trPr>
        <w:tc>
          <w:tcPr>
            <w:tcW w:w="700" w:type="dxa"/>
            <w:vAlign w:val="bottom"/>
          </w:tcPr>
          <w:p>
            <w:pPr>
              <w:spacing w:after="0"/>
              <w:rPr>
                <w:sz w:val="15"/>
                <w:szCs w:val="15"/>
                <w:color w:val="auto"/>
              </w:rPr>
            </w:pPr>
          </w:p>
        </w:tc>
        <w:tc>
          <w:tcPr>
            <w:tcW w:w="2240" w:type="dxa"/>
            <w:vAlign w:val="bottom"/>
          </w:tcPr>
          <w:p>
            <w:pPr>
              <w:jc w:val="right"/>
              <w:ind w:right="902"/>
              <w:spacing w:after="0" w:line="179" w:lineRule="exact"/>
              <w:rPr>
                <w:sz w:val="20"/>
                <w:szCs w:val="20"/>
                <w:color w:val="auto"/>
              </w:rPr>
            </w:pPr>
            <w:r>
              <w:rPr>
                <w:rFonts w:ascii="Courier New" w:cs="Courier New" w:eastAsia="Courier New" w:hAnsi="Courier New"/>
                <w:sz w:val="16"/>
                <w:szCs w:val="16"/>
                <w:color w:val="auto"/>
              </w:rPr>
              <w:t>4,704</w:t>
            </w:r>
          </w:p>
        </w:tc>
        <w:tc>
          <w:tcPr>
            <w:tcW w:w="2080" w:type="dxa"/>
            <w:vAlign w:val="bottom"/>
          </w:tcPr>
          <w:p>
            <w:pPr>
              <w:jc w:val="right"/>
              <w:ind w:right="762"/>
              <w:spacing w:after="0" w:line="179" w:lineRule="exact"/>
              <w:rPr>
                <w:sz w:val="20"/>
                <w:szCs w:val="20"/>
                <w:color w:val="auto"/>
              </w:rPr>
            </w:pPr>
            <w:r>
              <w:rPr>
                <w:rFonts w:ascii="Courier New" w:cs="Courier New" w:eastAsia="Courier New" w:hAnsi="Courier New"/>
                <w:sz w:val="16"/>
                <w:szCs w:val="16"/>
                <w:color w:val="auto"/>
              </w:rPr>
              <w:t>6,965</w:t>
            </w:r>
          </w:p>
        </w:tc>
      </w:tr>
      <w:tr>
        <w:trPr>
          <w:trHeight w:val="179"/>
        </w:trPr>
        <w:tc>
          <w:tcPr>
            <w:tcW w:w="700" w:type="dxa"/>
            <w:vAlign w:val="bottom"/>
          </w:tcPr>
          <w:p>
            <w:pPr>
              <w:spacing w:after="0"/>
              <w:rPr>
                <w:sz w:val="15"/>
                <w:szCs w:val="15"/>
                <w:color w:val="auto"/>
              </w:rPr>
            </w:pPr>
          </w:p>
        </w:tc>
        <w:tc>
          <w:tcPr>
            <w:tcW w:w="2240" w:type="dxa"/>
            <w:vAlign w:val="bottom"/>
          </w:tcPr>
          <w:p>
            <w:pPr>
              <w:jc w:val="right"/>
              <w:ind w:right="1562"/>
              <w:spacing w:after="0" w:line="179" w:lineRule="exact"/>
              <w:rPr>
                <w:sz w:val="20"/>
                <w:szCs w:val="20"/>
                <w:color w:val="auto"/>
              </w:rPr>
            </w:pPr>
            <w:r>
              <w:rPr>
                <w:rFonts w:ascii="Courier New" w:cs="Courier New" w:eastAsia="Courier New" w:hAnsi="Courier New"/>
                <w:sz w:val="16"/>
                <w:szCs w:val="16"/>
                <w:color w:val="auto"/>
              </w:rPr>
              <w:t>746</w:t>
            </w:r>
          </w:p>
        </w:tc>
        <w:tc>
          <w:tcPr>
            <w:tcW w:w="2080" w:type="dxa"/>
            <w:vAlign w:val="bottom"/>
          </w:tcPr>
          <w:p>
            <w:pPr>
              <w:jc w:val="right"/>
              <w:ind w:right="1402"/>
              <w:spacing w:after="0" w:line="179" w:lineRule="exact"/>
              <w:rPr>
                <w:sz w:val="20"/>
                <w:szCs w:val="20"/>
                <w:color w:val="auto"/>
              </w:rPr>
            </w:pPr>
            <w:r>
              <w:rPr>
                <w:rFonts w:ascii="Courier New" w:cs="Courier New" w:eastAsia="Courier New" w:hAnsi="Courier New"/>
                <w:sz w:val="16"/>
                <w:szCs w:val="16"/>
                <w:color w:val="auto"/>
              </w:rPr>
              <w:t>922</w:t>
            </w:r>
          </w:p>
        </w:tc>
      </w:tr>
      <w:tr>
        <w:trPr>
          <w:trHeight w:val="179"/>
        </w:trPr>
        <w:tc>
          <w:tcPr>
            <w:tcW w:w="700" w:type="dxa"/>
            <w:vAlign w:val="bottom"/>
          </w:tcPr>
          <w:p>
            <w:pPr>
              <w:spacing w:after="0"/>
              <w:rPr>
                <w:sz w:val="15"/>
                <w:szCs w:val="15"/>
                <w:color w:val="auto"/>
              </w:rPr>
            </w:pPr>
          </w:p>
        </w:tc>
        <w:tc>
          <w:tcPr>
            <w:tcW w:w="224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0</w:t>
            </w:r>
          </w:p>
        </w:tc>
        <w:tc>
          <w:tcPr>
            <w:tcW w:w="20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0</w:t>
            </w:r>
          </w:p>
        </w:tc>
      </w:tr>
      <w:tr>
        <w:trPr>
          <w:trHeight w:val="179"/>
        </w:trPr>
        <w:tc>
          <w:tcPr>
            <w:tcW w:w="700" w:type="dxa"/>
            <w:vAlign w:val="bottom"/>
          </w:tcPr>
          <w:p>
            <w:pPr>
              <w:spacing w:after="0"/>
              <w:rPr>
                <w:sz w:val="15"/>
                <w:szCs w:val="15"/>
                <w:color w:val="auto"/>
              </w:rPr>
            </w:pPr>
          </w:p>
        </w:tc>
        <w:tc>
          <w:tcPr>
            <w:tcW w:w="2240" w:type="dxa"/>
            <w:vAlign w:val="bottom"/>
          </w:tcPr>
          <w:p>
            <w:pPr>
              <w:jc w:val="right"/>
              <w:ind w:right="1562"/>
              <w:spacing w:after="0" w:line="179" w:lineRule="exact"/>
              <w:rPr>
                <w:sz w:val="20"/>
                <w:szCs w:val="20"/>
                <w:color w:val="auto"/>
              </w:rPr>
            </w:pPr>
            <w:r>
              <w:rPr>
                <w:rFonts w:ascii="Courier New" w:cs="Courier New" w:eastAsia="Courier New" w:hAnsi="Courier New"/>
                <w:sz w:val="16"/>
                <w:szCs w:val="16"/>
                <w:color w:val="auto"/>
              </w:rPr>
              <w:t>0</w:t>
            </w:r>
          </w:p>
        </w:tc>
        <w:tc>
          <w:tcPr>
            <w:tcW w:w="2080" w:type="dxa"/>
            <w:vAlign w:val="bottom"/>
          </w:tcPr>
          <w:p>
            <w:pPr>
              <w:jc w:val="right"/>
              <w:ind w:right="1402"/>
              <w:spacing w:after="0" w:line="179" w:lineRule="exact"/>
              <w:rPr>
                <w:sz w:val="20"/>
                <w:szCs w:val="20"/>
                <w:color w:val="auto"/>
              </w:rPr>
            </w:pPr>
            <w:r>
              <w:rPr>
                <w:rFonts w:ascii="Courier New" w:cs="Courier New" w:eastAsia="Courier New" w:hAnsi="Courier New"/>
                <w:sz w:val="16"/>
                <w:szCs w:val="16"/>
                <w:color w:val="auto"/>
              </w:rPr>
              <w:t>0</w:t>
            </w:r>
          </w:p>
        </w:tc>
      </w:tr>
      <w:tr>
        <w:trPr>
          <w:trHeight w:val="179"/>
        </w:trPr>
        <w:tc>
          <w:tcPr>
            <w:tcW w:w="700" w:type="dxa"/>
            <w:vAlign w:val="bottom"/>
          </w:tcPr>
          <w:p>
            <w:pPr>
              <w:spacing w:after="0"/>
              <w:rPr>
                <w:sz w:val="15"/>
                <w:szCs w:val="15"/>
                <w:color w:val="auto"/>
              </w:rPr>
            </w:pPr>
          </w:p>
        </w:tc>
        <w:tc>
          <w:tcPr>
            <w:tcW w:w="2240" w:type="dxa"/>
            <w:vAlign w:val="bottom"/>
          </w:tcPr>
          <w:p>
            <w:pPr>
              <w:jc w:val="right"/>
              <w:ind w:right="622"/>
              <w:spacing w:after="0" w:line="179" w:lineRule="exact"/>
              <w:rPr>
                <w:sz w:val="20"/>
                <w:szCs w:val="20"/>
                <w:color w:val="auto"/>
              </w:rPr>
            </w:pPr>
            <w:r>
              <w:rPr>
                <w:rFonts w:ascii="Courier New" w:cs="Courier New" w:eastAsia="Courier New" w:hAnsi="Courier New"/>
                <w:sz w:val="16"/>
                <w:szCs w:val="16"/>
                <w:color w:val="auto"/>
              </w:rPr>
              <w:t>0</w:t>
            </w:r>
          </w:p>
        </w:tc>
        <w:tc>
          <w:tcPr>
            <w:tcW w:w="20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0</w:t>
            </w:r>
          </w:p>
        </w:tc>
      </w:tr>
      <w:tr>
        <w:trPr>
          <w:trHeight w:val="179"/>
        </w:trPr>
        <w:tc>
          <w:tcPr>
            <w:tcW w:w="700" w:type="dxa"/>
            <w:vAlign w:val="bottom"/>
          </w:tcPr>
          <w:p>
            <w:pPr>
              <w:spacing w:after="0"/>
              <w:rPr>
                <w:sz w:val="15"/>
                <w:szCs w:val="15"/>
                <w:color w:val="auto"/>
              </w:rPr>
            </w:pPr>
          </w:p>
        </w:tc>
        <w:tc>
          <w:tcPr>
            <w:tcW w:w="2240" w:type="dxa"/>
            <w:vAlign w:val="bottom"/>
          </w:tcPr>
          <w:p>
            <w:pPr>
              <w:ind w:left="1620"/>
              <w:spacing w:after="0" w:line="179" w:lineRule="exact"/>
              <w:rPr>
                <w:sz w:val="20"/>
                <w:szCs w:val="20"/>
                <w:color w:val="auto"/>
              </w:rPr>
            </w:pPr>
            <w:r>
              <w:rPr>
                <w:rFonts w:ascii="Courier New" w:cs="Courier New" w:eastAsia="Courier New" w:hAnsi="Courier New"/>
                <w:sz w:val="16"/>
                <w:szCs w:val="16"/>
                <w:color w:val="auto"/>
              </w:rPr>
              <w:t>22</w:t>
            </w:r>
          </w:p>
        </w:tc>
        <w:tc>
          <w:tcPr>
            <w:tcW w:w="2080" w:type="dxa"/>
            <w:vAlign w:val="bottom"/>
          </w:tcPr>
          <w:p>
            <w:pPr>
              <w:ind w:left="1620"/>
              <w:spacing w:after="0" w:line="179" w:lineRule="exact"/>
              <w:rPr>
                <w:sz w:val="20"/>
                <w:szCs w:val="20"/>
                <w:color w:val="auto"/>
              </w:rPr>
            </w:pPr>
            <w:r>
              <w:rPr>
                <w:rFonts w:ascii="Courier New" w:cs="Courier New" w:eastAsia="Courier New" w:hAnsi="Courier New"/>
                <w:sz w:val="16"/>
                <w:szCs w:val="16"/>
                <w:color w:val="auto"/>
              </w:rPr>
              <w:t>27</w:t>
            </w:r>
          </w:p>
        </w:tc>
      </w:tr>
      <w:tr>
        <w:trPr>
          <w:trHeight w:val="179"/>
        </w:trPr>
        <w:tc>
          <w:tcPr>
            <w:tcW w:w="700" w:type="dxa"/>
            <w:vAlign w:val="bottom"/>
          </w:tcPr>
          <w:p>
            <w:pPr>
              <w:spacing w:after="0"/>
              <w:rPr>
                <w:sz w:val="15"/>
                <w:szCs w:val="15"/>
                <w:color w:val="auto"/>
              </w:rPr>
            </w:pPr>
          </w:p>
        </w:tc>
        <w:tc>
          <w:tcPr>
            <w:tcW w:w="2240" w:type="dxa"/>
            <w:vAlign w:val="bottom"/>
          </w:tcPr>
          <w:p>
            <w:pPr>
              <w:jc w:val="right"/>
              <w:ind w:right="542"/>
              <w:spacing w:after="0" w:line="179" w:lineRule="exact"/>
              <w:rPr>
                <w:sz w:val="20"/>
                <w:szCs w:val="20"/>
                <w:color w:val="auto"/>
              </w:rPr>
            </w:pPr>
            <w:r>
              <w:rPr>
                <w:rFonts w:ascii="Courier New" w:cs="Courier New" w:eastAsia="Courier New" w:hAnsi="Courier New"/>
                <w:sz w:val="16"/>
                <w:szCs w:val="16"/>
                <w:color w:val="auto"/>
              </w:rPr>
              <w:t>2,680</w:t>
            </w:r>
          </w:p>
        </w:tc>
        <w:tc>
          <w:tcPr>
            <w:tcW w:w="208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3,937</w:t>
            </w:r>
          </w:p>
        </w:tc>
      </w:tr>
      <w:tr>
        <w:trPr>
          <w:trHeight w:val="179"/>
        </w:trPr>
        <w:tc>
          <w:tcPr>
            <w:tcW w:w="7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4,704</w:t>
            </w:r>
          </w:p>
        </w:tc>
        <w:tc>
          <w:tcPr>
            <w:tcW w:w="2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6,965</w:t>
            </w:r>
          </w:p>
        </w:tc>
        <w:tc>
          <w:tcPr>
            <w:tcW w:w="2080" w:type="dxa"/>
            <w:vAlign w:val="bottom"/>
          </w:tcPr>
          <w:p>
            <w:pPr>
              <w:spacing w:after="0"/>
              <w:rPr>
                <w:sz w:val="15"/>
                <w:szCs w:val="15"/>
                <w:color w:val="auto"/>
              </w:rPr>
            </w:pPr>
          </w:p>
        </w:tc>
      </w:tr>
      <w:tr>
        <w:trPr>
          <w:trHeight w:val="179"/>
        </w:trPr>
        <w:tc>
          <w:tcPr>
            <w:tcW w:w="700" w:type="dxa"/>
            <w:vAlign w:val="bottom"/>
          </w:tcPr>
          <w:p>
            <w:pPr>
              <w:spacing w:after="0"/>
              <w:rPr>
                <w:sz w:val="15"/>
                <w:szCs w:val="15"/>
                <w:color w:val="auto"/>
              </w:rPr>
            </w:pPr>
          </w:p>
        </w:tc>
        <w:tc>
          <w:tcPr>
            <w:tcW w:w="224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3,025</w:t>
            </w:r>
          </w:p>
        </w:tc>
        <w:tc>
          <w:tcPr>
            <w:tcW w:w="20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3,764</w:t>
            </w:r>
          </w:p>
        </w:tc>
      </w:tr>
      <w:tr>
        <w:trPr>
          <w:trHeight w:val="179"/>
        </w:trPr>
        <w:tc>
          <w:tcPr>
            <w:tcW w:w="700" w:type="dxa"/>
            <w:vAlign w:val="bottom"/>
          </w:tcPr>
          <w:p>
            <w:pPr>
              <w:spacing w:after="0"/>
              <w:rPr>
                <w:sz w:val="15"/>
                <w:szCs w:val="15"/>
                <w:color w:val="auto"/>
              </w:rPr>
            </w:pPr>
          </w:p>
        </w:tc>
        <w:tc>
          <w:tcPr>
            <w:tcW w:w="2240" w:type="dxa"/>
            <w:vAlign w:val="bottom"/>
          </w:tcPr>
          <w:p>
            <w:pPr>
              <w:jc w:val="right"/>
              <w:ind w:right="1082"/>
              <w:spacing w:after="0" w:line="179" w:lineRule="exact"/>
              <w:rPr>
                <w:sz w:val="20"/>
                <w:szCs w:val="20"/>
                <w:color w:val="auto"/>
              </w:rPr>
            </w:pPr>
            <w:r>
              <w:rPr>
                <w:rFonts w:ascii="Courier New" w:cs="Courier New" w:eastAsia="Courier New" w:hAnsi="Courier New"/>
                <w:sz w:val="16"/>
                <w:szCs w:val="16"/>
                <w:color w:val="auto"/>
              </w:rPr>
              <w:t>3,025</w:t>
            </w:r>
          </w:p>
        </w:tc>
        <w:tc>
          <w:tcPr>
            <w:tcW w:w="2080" w:type="dxa"/>
            <w:vAlign w:val="bottom"/>
          </w:tcPr>
          <w:p>
            <w:pPr>
              <w:jc w:val="right"/>
              <w:ind w:right="942"/>
              <w:spacing w:after="0" w:line="179" w:lineRule="exact"/>
              <w:rPr>
                <w:sz w:val="20"/>
                <w:szCs w:val="20"/>
                <w:color w:val="auto"/>
              </w:rPr>
            </w:pPr>
            <w:r>
              <w:rPr>
                <w:rFonts w:ascii="Courier New" w:cs="Courier New" w:eastAsia="Courier New" w:hAnsi="Courier New"/>
                <w:sz w:val="16"/>
                <w:szCs w:val="16"/>
                <w:color w:val="auto"/>
              </w:rPr>
              <w:t>3,764</w:t>
            </w:r>
          </w:p>
        </w:tc>
      </w:tr>
      <w:tr>
        <w:trPr>
          <w:trHeight w:val="179"/>
        </w:trPr>
        <w:tc>
          <w:tcPr>
            <w:tcW w:w="700" w:type="dxa"/>
            <w:vAlign w:val="bottom"/>
          </w:tcPr>
          <w:p>
            <w:pPr>
              <w:spacing w:after="0"/>
              <w:rPr>
                <w:sz w:val="15"/>
                <w:szCs w:val="15"/>
                <w:color w:val="auto"/>
              </w:rPr>
            </w:pPr>
          </w:p>
        </w:tc>
        <w:tc>
          <w:tcPr>
            <w:tcW w:w="2240" w:type="dxa"/>
            <w:vAlign w:val="bottom"/>
          </w:tcPr>
          <w:p>
            <w:pPr>
              <w:ind w:left="1620"/>
              <w:spacing w:after="0" w:line="179" w:lineRule="exact"/>
              <w:rPr>
                <w:sz w:val="20"/>
                <w:szCs w:val="20"/>
                <w:color w:val="auto"/>
              </w:rPr>
            </w:pPr>
            <w:r>
              <w:rPr>
                <w:rFonts w:ascii="Courier New" w:cs="Courier New" w:eastAsia="Courier New" w:hAnsi="Courier New"/>
                <w:sz w:val="16"/>
                <w:szCs w:val="16"/>
                <w:color w:val="auto"/>
              </w:rPr>
              <w:t>2,745</w:t>
            </w:r>
          </w:p>
        </w:tc>
        <w:tc>
          <w:tcPr>
            <w:tcW w:w="2080" w:type="dxa"/>
            <w:vAlign w:val="bottom"/>
          </w:tcPr>
          <w:p>
            <w:pPr>
              <w:ind w:left="1620"/>
              <w:spacing w:after="0" w:line="179" w:lineRule="exact"/>
              <w:rPr>
                <w:sz w:val="20"/>
                <w:szCs w:val="20"/>
                <w:color w:val="auto"/>
              </w:rPr>
            </w:pPr>
            <w:r>
              <w:rPr>
                <w:rFonts w:ascii="Courier New" w:cs="Courier New" w:eastAsia="Courier New" w:hAnsi="Courier New"/>
                <w:sz w:val="16"/>
                <w:szCs w:val="16"/>
                <w:color w:val="auto"/>
                <w:w w:val="91"/>
              </w:rPr>
              <w:t>2,950</w:t>
            </w:r>
          </w:p>
        </w:tc>
      </w:tr>
      <w:tr>
        <w:trPr>
          <w:trHeight w:val="179"/>
        </w:trPr>
        <w:tc>
          <w:tcPr>
            <w:tcW w:w="700" w:type="dxa"/>
            <w:vAlign w:val="bottom"/>
          </w:tcPr>
          <w:p>
            <w:pPr>
              <w:spacing w:after="0"/>
              <w:rPr>
                <w:sz w:val="15"/>
                <w:szCs w:val="15"/>
                <w:color w:val="auto"/>
              </w:rPr>
            </w:pPr>
          </w:p>
        </w:tc>
        <w:tc>
          <w:tcPr>
            <w:tcW w:w="2240" w:type="dxa"/>
            <w:vAlign w:val="bottom"/>
          </w:tcPr>
          <w:p>
            <w:pPr>
              <w:jc w:val="right"/>
              <w:ind w:right="822"/>
              <w:spacing w:after="0" w:line="179" w:lineRule="exact"/>
              <w:rPr>
                <w:sz w:val="20"/>
                <w:szCs w:val="20"/>
                <w:color w:val="auto"/>
              </w:rPr>
            </w:pPr>
            <w:r>
              <w:rPr>
                <w:rFonts w:ascii="Courier New" w:cs="Courier New" w:eastAsia="Courier New" w:hAnsi="Courier New"/>
                <w:sz w:val="16"/>
                <w:szCs w:val="16"/>
                <w:color w:val="auto"/>
              </w:rPr>
              <w:t>3,542</w:t>
            </w:r>
          </w:p>
        </w:tc>
        <w:tc>
          <w:tcPr>
            <w:tcW w:w="208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rPr>
              <w:t>3,811</w:t>
            </w:r>
          </w:p>
        </w:tc>
      </w:tr>
      <w:tr>
        <w:trPr>
          <w:trHeight w:val="179"/>
        </w:trPr>
        <w:tc>
          <w:tcPr>
            <w:tcW w:w="700" w:type="dxa"/>
            <w:vAlign w:val="bottom"/>
          </w:tcPr>
          <w:p>
            <w:pPr>
              <w:spacing w:after="0"/>
              <w:rPr>
                <w:sz w:val="15"/>
                <w:szCs w:val="15"/>
                <w:color w:val="auto"/>
              </w:rPr>
            </w:pPr>
          </w:p>
        </w:tc>
        <w:tc>
          <w:tcPr>
            <w:tcW w:w="2240" w:type="dxa"/>
            <w:vAlign w:val="bottom"/>
          </w:tcPr>
          <w:p>
            <w:pPr>
              <w:jc w:val="right"/>
              <w:ind w:right="1082"/>
              <w:spacing w:after="0" w:line="179" w:lineRule="exact"/>
              <w:rPr>
                <w:sz w:val="20"/>
                <w:szCs w:val="20"/>
                <w:color w:val="auto"/>
              </w:rPr>
            </w:pPr>
            <w:r>
              <w:rPr>
                <w:rFonts w:ascii="Courier New" w:cs="Courier New" w:eastAsia="Courier New" w:hAnsi="Courier New"/>
                <w:sz w:val="16"/>
                <w:szCs w:val="16"/>
                <w:color w:val="auto"/>
              </w:rPr>
              <w:t>0</w:t>
            </w:r>
          </w:p>
        </w:tc>
        <w:tc>
          <w:tcPr>
            <w:tcW w:w="2080" w:type="dxa"/>
            <w:vAlign w:val="bottom"/>
          </w:tcPr>
          <w:p>
            <w:pPr>
              <w:jc w:val="right"/>
              <w:ind w:right="942"/>
              <w:spacing w:after="0" w:line="179" w:lineRule="exact"/>
              <w:rPr>
                <w:sz w:val="20"/>
                <w:szCs w:val="20"/>
                <w:color w:val="auto"/>
              </w:rPr>
            </w:pPr>
            <w:r>
              <w:rPr>
                <w:rFonts w:ascii="Courier New" w:cs="Courier New" w:eastAsia="Courier New" w:hAnsi="Courier New"/>
                <w:sz w:val="16"/>
                <w:szCs w:val="16"/>
                <w:color w:val="auto"/>
              </w:rPr>
              <w:t>0</w:t>
            </w:r>
          </w:p>
        </w:tc>
      </w:tr>
      <w:tr>
        <w:trPr>
          <w:trHeight w:val="179"/>
        </w:trPr>
        <w:tc>
          <w:tcPr>
            <w:tcW w:w="700" w:type="dxa"/>
            <w:vAlign w:val="bottom"/>
          </w:tcPr>
          <w:p>
            <w:pPr>
              <w:spacing w:after="0"/>
              <w:rPr>
                <w:sz w:val="15"/>
                <w:szCs w:val="15"/>
                <w:color w:val="auto"/>
              </w:rPr>
            </w:pPr>
          </w:p>
        </w:tc>
        <w:tc>
          <w:tcPr>
            <w:tcW w:w="2240" w:type="dxa"/>
            <w:vAlign w:val="bottom"/>
          </w:tcPr>
          <w:p>
            <w:pPr>
              <w:jc w:val="right"/>
              <w:ind w:right="1082"/>
              <w:spacing w:after="0" w:line="179" w:lineRule="exact"/>
              <w:rPr>
                <w:sz w:val="20"/>
                <w:szCs w:val="20"/>
                <w:color w:val="auto"/>
              </w:rPr>
            </w:pPr>
            <w:r>
              <w:rPr>
                <w:rFonts w:ascii="Courier New" w:cs="Courier New" w:eastAsia="Courier New" w:hAnsi="Courier New"/>
                <w:sz w:val="16"/>
                <w:szCs w:val="16"/>
                <w:color w:val="auto"/>
              </w:rPr>
              <w:t>0</w:t>
            </w:r>
          </w:p>
        </w:tc>
        <w:tc>
          <w:tcPr>
            <w:tcW w:w="2080" w:type="dxa"/>
            <w:vAlign w:val="bottom"/>
          </w:tcPr>
          <w:p>
            <w:pPr>
              <w:jc w:val="right"/>
              <w:ind w:right="942"/>
              <w:spacing w:after="0" w:line="179" w:lineRule="exact"/>
              <w:rPr>
                <w:sz w:val="20"/>
                <w:szCs w:val="20"/>
                <w:color w:val="auto"/>
              </w:rPr>
            </w:pPr>
            <w:r>
              <w:rPr>
                <w:rFonts w:ascii="Courier New" w:cs="Courier New" w:eastAsia="Courier New" w:hAnsi="Courier New"/>
                <w:sz w:val="16"/>
                <w:szCs w:val="16"/>
                <w:color w:val="auto"/>
              </w:rPr>
              <w:t>0</w:t>
            </w:r>
          </w:p>
        </w:tc>
      </w:tr>
      <w:tr>
        <w:trPr>
          <w:trHeight w:val="179"/>
        </w:trPr>
        <w:tc>
          <w:tcPr>
            <w:tcW w:w="700" w:type="dxa"/>
            <w:vAlign w:val="bottom"/>
          </w:tcPr>
          <w:p>
            <w:pPr>
              <w:spacing w:after="0"/>
              <w:rPr>
                <w:sz w:val="15"/>
                <w:szCs w:val="15"/>
                <w:color w:val="auto"/>
              </w:rPr>
            </w:pPr>
          </w:p>
        </w:tc>
        <w:tc>
          <w:tcPr>
            <w:tcW w:w="2240" w:type="dxa"/>
            <w:vAlign w:val="bottom"/>
          </w:tcPr>
          <w:p>
            <w:pPr>
              <w:jc w:val="right"/>
              <w:ind w:right="1282"/>
              <w:spacing w:after="0" w:line="179" w:lineRule="exact"/>
              <w:rPr>
                <w:sz w:val="20"/>
                <w:szCs w:val="20"/>
                <w:color w:val="auto"/>
              </w:rPr>
            </w:pPr>
            <w:r>
              <w:rPr>
                <w:rFonts w:ascii="Courier New" w:cs="Courier New" w:eastAsia="Courier New" w:hAnsi="Courier New"/>
                <w:sz w:val="16"/>
                <w:szCs w:val="16"/>
                <w:color w:val="auto"/>
              </w:rPr>
              <w:t>1</w:t>
            </w:r>
          </w:p>
        </w:tc>
        <w:tc>
          <w:tcPr>
            <w:tcW w:w="2080" w:type="dxa"/>
            <w:vAlign w:val="bottom"/>
          </w:tcPr>
          <w:p>
            <w:pPr>
              <w:ind w:left="700"/>
              <w:spacing w:after="0" w:line="179" w:lineRule="exact"/>
              <w:rPr>
                <w:sz w:val="20"/>
                <w:szCs w:val="20"/>
                <w:color w:val="auto"/>
              </w:rPr>
            </w:pPr>
            <w:r>
              <w:rPr>
                <w:rFonts w:ascii="Courier New" w:cs="Courier New" w:eastAsia="Courier New" w:hAnsi="Courier New"/>
                <w:sz w:val="16"/>
                <w:szCs w:val="16"/>
                <w:color w:val="auto"/>
              </w:rPr>
              <w:t>47</w:t>
            </w:r>
          </w:p>
        </w:tc>
      </w:tr>
      <w:tr>
        <w:trPr>
          <w:trHeight w:val="179"/>
        </w:trPr>
        <w:tc>
          <w:tcPr>
            <w:tcW w:w="700" w:type="dxa"/>
            <w:vAlign w:val="bottom"/>
          </w:tcPr>
          <w:p>
            <w:pPr>
              <w:spacing w:after="0"/>
              <w:rPr>
                <w:sz w:val="15"/>
                <w:szCs w:val="15"/>
                <w:color w:val="auto"/>
              </w:rPr>
            </w:pPr>
          </w:p>
        </w:tc>
        <w:tc>
          <w:tcPr>
            <w:tcW w:w="2240" w:type="dxa"/>
            <w:vAlign w:val="bottom"/>
          </w:tcPr>
          <w:p>
            <w:pPr>
              <w:jc w:val="right"/>
              <w:ind w:right="1002"/>
              <w:spacing w:after="0" w:line="179" w:lineRule="exact"/>
              <w:rPr>
                <w:sz w:val="20"/>
                <w:szCs w:val="20"/>
                <w:color w:val="auto"/>
              </w:rPr>
            </w:pPr>
            <w:r>
              <w:rPr>
                <w:rFonts w:ascii="Courier New" w:cs="Courier New" w:eastAsia="Courier New" w:hAnsi="Courier New"/>
                <w:sz w:val="16"/>
                <w:szCs w:val="16"/>
                <w:color w:val="auto"/>
              </w:rPr>
              <w:t>(359)</w:t>
            </w:r>
          </w:p>
        </w:tc>
        <w:tc>
          <w:tcPr>
            <w:tcW w:w="2080" w:type="dxa"/>
            <w:vAlign w:val="bottom"/>
          </w:tcPr>
          <w:p>
            <w:pPr>
              <w:jc w:val="right"/>
              <w:ind w:right="842"/>
              <w:spacing w:after="0" w:line="179" w:lineRule="exact"/>
              <w:rPr>
                <w:sz w:val="20"/>
                <w:szCs w:val="20"/>
                <w:color w:val="auto"/>
              </w:rPr>
            </w:pPr>
            <w:r>
              <w:rPr>
                <w:rFonts w:ascii="Courier New" w:cs="Courier New" w:eastAsia="Courier New" w:hAnsi="Courier New"/>
                <w:sz w:val="16"/>
                <w:szCs w:val="16"/>
                <w:color w:val="auto"/>
              </w:rPr>
              <w:t>(92)</w:t>
            </w:r>
          </w:p>
        </w:tc>
      </w:tr>
      <w:tr>
        <w:trPr>
          <w:trHeight w:val="179"/>
        </w:trPr>
        <w:tc>
          <w:tcPr>
            <w:tcW w:w="700" w:type="dxa"/>
            <w:vAlign w:val="bottom"/>
          </w:tcPr>
          <w:p>
            <w:pPr>
              <w:spacing w:after="0"/>
              <w:rPr>
                <w:sz w:val="15"/>
                <w:szCs w:val="15"/>
                <w:color w:val="auto"/>
              </w:rPr>
            </w:pPr>
          </w:p>
        </w:tc>
        <w:tc>
          <w:tcPr>
            <w:tcW w:w="2240" w:type="dxa"/>
            <w:vAlign w:val="bottom"/>
          </w:tcPr>
          <w:p>
            <w:pPr>
              <w:jc w:val="right"/>
              <w:ind w:right="722"/>
              <w:spacing w:after="0" w:line="179" w:lineRule="exact"/>
              <w:rPr>
                <w:sz w:val="20"/>
                <w:szCs w:val="20"/>
                <w:color w:val="auto"/>
              </w:rPr>
            </w:pPr>
            <w:r>
              <w:rPr>
                <w:rFonts w:ascii="Courier New" w:cs="Courier New" w:eastAsia="Courier New" w:hAnsi="Courier New"/>
                <w:sz w:val="16"/>
                <w:szCs w:val="16"/>
                <w:color w:val="auto"/>
              </w:rPr>
              <w:t>(129)</w:t>
            </w:r>
          </w:p>
        </w:tc>
        <w:tc>
          <w:tcPr>
            <w:tcW w:w="208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rPr>
              <w:t>(36)</w:t>
            </w:r>
          </w:p>
        </w:tc>
      </w:tr>
      <w:tr>
        <w:trPr>
          <w:trHeight w:val="179"/>
        </w:trPr>
        <w:tc>
          <w:tcPr>
            <w:tcW w:w="700" w:type="dxa"/>
            <w:vAlign w:val="bottom"/>
          </w:tcPr>
          <w:p>
            <w:pPr>
              <w:spacing w:after="0"/>
              <w:rPr>
                <w:sz w:val="15"/>
                <w:szCs w:val="15"/>
                <w:color w:val="auto"/>
              </w:rPr>
            </w:pPr>
          </w:p>
        </w:tc>
        <w:tc>
          <w:tcPr>
            <w:tcW w:w="2240" w:type="dxa"/>
            <w:vAlign w:val="bottom"/>
          </w:tcPr>
          <w:p>
            <w:pPr>
              <w:jc w:val="right"/>
              <w:ind w:right="1362"/>
              <w:spacing w:after="0" w:line="179" w:lineRule="exact"/>
              <w:rPr>
                <w:sz w:val="20"/>
                <w:szCs w:val="20"/>
                <w:color w:val="auto"/>
              </w:rPr>
            </w:pPr>
            <w:r>
              <w:rPr>
                <w:rFonts w:ascii="Courier New" w:cs="Courier New" w:eastAsia="Courier New" w:hAnsi="Courier New"/>
                <w:sz w:val="16"/>
                <w:szCs w:val="16"/>
                <w:color w:val="auto"/>
              </w:rPr>
              <w:t>0</w:t>
            </w:r>
          </w:p>
        </w:tc>
        <w:tc>
          <w:tcPr>
            <w:tcW w:w="2080" w:type="dxa"/>
            <w:vAlign w:val="bottom"/>
          </w:tcPr>
          <w:p>
            <w:pPr>
              <w:ind w:left="700"/>
              <w:spacing w:after="0" w:line="179" w:lineRule="exact"/>
              <w:rPr>
                <w:sz w:val="20"/>
                <w:szCs w:val="20"/>
                <w:color w:val="auto"/>
              </w:rPr>
            </w:pPr>
            <w:r>
              <w:rPr>
                <w:rFonts w:ascii="Courier New" w:cs="Courier New" w:eastAsia="Courier New" w:hAnsi="Courier New"/>
                <w:sz w:val="16"/>
                <w:szCs w:val="16"/>
                <w:color w:val="auto"/>
              </w:rPr>
              <w:t>0</w:t>
            </w:r>
          </w:p>
        </w:tc>
      </w:tr>
      <w:tr>
        <w:trPr>
          <w:trHeight w:val="179"/>
        </w:trPr>
        <w:tc>
          <w:tcPr>
            <w:tcW w:w="700" w:type="dxa"/>
            <w:vAlign w:val="bottom"/>
          </w:tcPr>
          <w:p>
            <w:pPr>
              <w:spacing w:after="0"/>
              <w:rPr>
                <w:sz w:val="15"/>
                <w:szCs w:val="15"/>
                <w:color w:val="auto"/>
              </w:rPr>
            </w:pPr>
          </w:p>
        </w:tc>
        <w:tc>
          <w:tcPr>
            <w:tcW w:w="2240" w:type="dxa"/>
            <w:vAlign w:val="bottom"/>
          </w:tcPr>
          <w:p>
            <w:pPr>
              <w:jc w:val="right"/>
              <w:ind w:right="902"/>
              <w:spacing w:after="0" w:line="179" w:lineRule="exact"/>
              <w:rPr>
                <w:sz w:val="20"/>
                <w:szCs w:val="20"/>
                <w:color w:val="auto"/>
              </w:rPr>
            </w:pPr>
            <w:r>
              <w:rPr>
                <w:rFonts w:ascii="Courier New" w:cs="Courier New" w:eastAsia="Courier New" w:hAnsi="Courier New"/>
                <w:sz w:val="16"/>
                <w:szCs w:val="16"/>
                <w:color w:val="auto"/>
              </w:rPr>
              <w:t>0</w:t>
            </w:r>
          </w:p>
        </w:tc>
        <w:tc>
          <w:tcPr>
            <w:tcW w:w="2080" w:type="dxa"/>
            <w:vAlign w:val="bottom"/>
          </w:tcPr>
          <w:p>
            <w:pPr>
              <w:jc w:val="right"/>
              <w:ind w:right="762"/>
              <w:spacing w:after="0" w:line="179" w:lineRule="exact"/>
              <w:rPr>
                <w:sz w:val="20"/>
                <w:szCs w:val="20"/>
                <w:color w:val="auto"/>
              </w:rPr>
            </w:pPr>
            <w:r>
              <w:rPr>
                <w:rFonts w:ascii="Courier New" w:cs="Courier New" w:eastAsia="Courier New" w:hAnsi="Courier New"/>
                <w:sz w:val="16"/>
                <w:szCs w:val="16"/>
                <w:color w:val="auto"/>
              </w:rPr>
              <w:t>0</w:t>
            </w:r>
          </w:p>
        </w:tc>
      </w:tr>
      <w:tr>
        <w:trPr>
          <w:trHeight w:val="179"/>
        </w:trPr>
        <w:tc>
          <w:tcPr>
            <w:tcW w:w="700" w:type="dxa"/>
            <w:vAlign w:val="bottom"/>
          </w:tcPr>
          <w:p>
            <w:pPr>
              <w:spacing w:after="0"/>
              <w:rPr>
                <w:sz w:val="15"/>
                <w:szCs w:val="15"/>
                <w:color w:val="auto"/>
              </w:rPr>
            </w:pPr>
          </w:p>
        </w:tc>
        <w:tc>
          <w:tcPr>
            <w:tcW w:w="2240" w:type="dxa"/>
            <w:vAlign w:val="bottom"/>
          </w:tcPr>
          <w:p>
            <w:pPr>
              <w:jc w:val="right"/>
              <w:ind w:right="1002"/>
              <w:spacing w:after="0" w:line="179" w:lineRule="exact"/>
              <w:rPr>
                <w:sz w:val="20"/>
                <w:szCs w:val="20"/>
                <w:color w:val="auto"/>
              </w:rPr>
            </w:pPr>
            <w:r>
              <w:rPr>
                <w:rFonts w:ascii="Courier New" w:cs="Courier New" w:eastAsia="Courier New" w:hAnsi="Courier New"/>
                <w:sz w:val="16"/>
                <w:szCs w:val="16"/>
                <w:color w:val="auto"/>
              </w:rPr>
              <w:t>0</w:t>
            </w:r>
          </w:p>
        </w:tc>
        <w:tc>
          <w:tcPr>
            <w:tcW w:w="2080" w:type="dxa"/>
            <w:vAlign w:val="bottom"/>
          </w:tcPr>
          <w:p>
            <w:pPr>
              <w:jc w:val="right"/>
              <w:ind w:right="842"/>
              <w:spacing w:after="0" w:line="179" w:lineRule="exact"/>
              <w:rPr>
                <w:sz w:val="20"/>
                <w:szCs w:val="20"/>
                <w:color w:val="auto"/>
              </w:rPr>
            </w:pPr>
            <w:r>
              <w:rPr>
                <w:rFonts w:ascii="Courier New" w:cs="Courier New" w:eastAsia="Courier New" w:hAnsi="Courier New"/>
                <w:sz w:val="16"/>
                <w:szCs w:val="16"/>
                <w:color w:val="auto"/>
              </w:rPr>
              <w:t>0</w:t>
            </w:r>
          </w:p>
        </w:tc>
      </w:tr>
      <w:tr>
        <w:trPr>
          <w:trHeight w:val="179"/>
        </w:trPr>
        <w:tc>
          <w:tcPr>
            <w:tcW w:w="700" w:type="dxa"/>
            <w:vAlign w:val="bottom"/>
          </w:tcPr>
          <w:p>
            <w:pPr>
              <w:spacing w:after="0"/>
              <w:rPr>
                <w:sz w:val="15"/>
                <w:szCs w:val="15"/>
                <w:color w:val="auto"/>
              </w:rPr>
            </w:pPr>
          </w:p>
        </w:tc>
        <w:tc>
          <w:tcPr>
            <w:tcW w:w="2240" w:type="dxa"/>
            <w:vAlign w:val="bottom"/>
          </w:tcPr>
          <w:p>
            <w:pPr>
              <w:ind w:left="1620"/>
              <w:spacing w:after="0" w:line="179" w:lineRule="exact"/>
              <w:rPr>
                <w:sz w:val="20"/>
                <w:szCs w:val="20"/>
                <w:color w:val="auto"/>
              </w:rPr>
            </w:pPr>
            <w:r>
              <w:rPr>
                <w:rFonts w:ascii="Courier New" w:cs="Courier New" w:eastAsia="Courier New" w:hAnsi="Courier New"/>
                <w:sz w:val="16"/>
                <w:szCs w:val="16"/>
                <w:color w:val="auto"/>
              </w:rPr>
              <w:t>0</w:t>
            </w:r>
          </w:p>
        </w:tc>
        <w:tc>
          <w:tcPr>
            <w:tcW w:w="2080" w:type="dxa"/>
            <w:vAlign w:val="bottom"/>
          </w:tcPr>
          <w:p>
            <w:pPr>
              <w:ind w:left="1620"/>
              <w:spacing w:after="0" w:line="179" w:lineRule="exact"/>
              <w:rPr>
                <w:sz w:val="20"/>
                <w:szCs w:val="20"/>
                <w:color w:val="auto"/>
              </w:rPr>
            </w:pPr>
            <w:r>
              <w:rPr>
                <w:rFonts w:ascii="Courier New" w:cs="Courier New" w:eastAsia="Courier New" w:hAnsi="Courier New"/>
                <w:sz w:val="16"/>
                <w:szCs w:val="16"/>
                <w:color w:val="auto"/>
              </w:rPr>
              <w:t>0</w:t>
            </w:r>
          </w:p>
        </w:tc>
      </w:tr>
      <w:tr>
        <w:trPr>
          <w:trHeight w:val="179"/>
        </w:trPr>
        <w:tc>
          <w:tcPr>
            <w:tcW w:w="700" w:type="dxa"/>
            <w:vAlign w:val="bottom"/>
          </w:tcPr>
          <w:p>
            <w:pPr>
              <w:spacing w:after="0"/>
              <w:rPr>
                <w:sz w:val="15"/>
                <w:szCs w:val="15"/>
                <w:color w:val="auto"/>
              </w:rPr>
            </w:pPr>
          </w:p>
        </w:tc>
        <w:tc>
          <w:tcPr>
            <w:tcW w:w="2240" w:type="dxa"/>
            <w:vAlign w:val="bottom"/>
          </w:tcPr>
          <w:p>
            <w:pPr>
              <w:jc w:val="right"/>
              <w:ind w:right="722"/>
              <w:spacing w:after="0" w:line="179" w:lineRule="exact"/>
              <w:rPr>
                <w:sz w:val="20"/>
                <w:szCs w:val="20"/>
                <w:color w:val="auto"/>
              </w:rPr>
            </w:pPr>
            <w:r>
              <w:rPr>
                <w:rFonts w:ascii="Courier New" w:cs="Courier New" w:eastAsia="Courier New" w:hAnsi="Courier New"/>
                <w:sz w:val="16"/>
                <w:szCs w:val="16"/>
                <w:color w:val="auto"/>
              </w:rPr>
              <w:t>(247)</w:t>
            </w:r>
          </w:p>
        </w:tc>
        <w:tc>
          <w:tcPr>
            <w:tcW w:w="208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rPr>
              <w:t>(69)</w:t>
            </w:r>
          </w:p>
        </w:tc>
      </w:tr>
      <w:tr>
        <w:trPr>
          <w:trHeight w:val="179"/>
        </w:trPr>
        <w:tc>
          <w:tcPr>
            <w:tcW w:w="700" w:type="dxa"/>
            <w:vAlign w:val="bottom"/>
          </w:tcPr>
          <w:p>
            <w:pPr>
              <w:spacing w:after="0"/>
              <w:rPr>
                <w:sz w:val="15"/>
                <w:szCs w:val="15"/>
                <w:color w:val="auto"/>
              </w:rPr>
            </w:pPr>
          </w:p>
        </w:tc>
        <w:tc>
          <w:tcPr>
            <w:tcW w:w="2240" w:type="dxa"/>
            <w:vAlign w:val="bottom"/>
          </w:tcPr>
          <w:p>
            <w:pPr>
              <w:jc w:val="right"/>
              <w:ind w:right="622"/>
              <w:spacing w:after="0" w:line="179" w:lineRule="exact"/>
              <w:rPr>
                <w:sz w:val="20"/>
                <w:szCs w:val="20"/>
                <w:color w:val="auto"/>
              </w:rPr>
            </w:pPr>
            <w:r>
              <w:rPr>
                <w:rFonts w:ascii="Courier New" w:cs="Courier New" w:eastAsia="Courier New" w:hAnsi="Courier New"/>
                <w:sz w:val="16"/>
                <w:szCs w:val="16"/>
                <w:color w:val="auto"/>
              </w:rPr>
              <w:t>(1.15)</w:t>
            </w:r>
          </w:p>
        </w:tc>
        <w:tc>
          <w:tcPr>
            <w:tcW w:w="20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(0.26)</w:t>
            </w:r>
          </w:p>
        </w:tc>
      </w:tr>
      <w:tr>
        <w:trPr>
          <w:trHeight w:val="179"/>
        </w:trPr>
        <w:tc>
          <w:tcPr>
            <w:tcW w:w="700" w:type="dxa"/>
            <w:vAlign w:val="bottom"/>
          </w:tcPr>
          <w:p>
            <w:pPr>
              <w:spacing w:after="0"/>
              <w:rPr>
                <w:sz w:val="15"/>
                <w:szCs w:val="15"/>
                <w:color w:val="auto"/>
              </w:rPr>
            </w:pPr>
          </w:p>
        </w:tc>
        <w:tc>
          <w:tcPr>
            <w:tcW w:w="2240" w:type="dxa"/>
            <w:vAlign w:val="bottom"/>
          </w:tcPr>
          <w:p>
            <w:pPr>
              <w:jc w:val="right"/>
              <w:ind w:right="822"/>
              <w:spacing w:after="0" w:line="179" w:lineRule="exact"/>
              <w:rPr>
                <w:sz w:val="20"/>
                <w:szCs w:val="20"/>
                <w:color w:val="auto"/>
              </w:rPr>
            </w:pPr>
            <w:r>
              <w:rPr>
                <w:rFonts w:ascii="Courier New" w:cs="Courier New" w:eastAsia="Courier New" w:hAnsi="Courier New"/>
                <w:sz w:val="16"/>
                <w:szCs w:val="16"/>
                <w:color w:val="auto"/>
              </w:rPr>
              <w:t>(1.15)</w:t>
            </w:r>
          </w:p>
        </w:tc>
        <w:tc>
          <w:tcPr>
            <w:tcW w:w="208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rPr>
              <w:t>(0.26)</w:t>
            </w:r>
          </w:p>
        </w:tc>
      </w:tr>
    </w:tbl>
    <w:p>
      <w:pPr>
        <w:spacing w:after="0" w:line="1" w:lineRule="exact"/>
        <w:rPr>
          <w:sz w:val="20"/>
          <w:szCs w:val="20"/>
          <w:color w:val="auto"/>
        </w:rPr>
      </w:pPr>
    </w:p>
    <w:sectPr>
      <w:pgSz w:w="11900" w:h="16838" w:orient="portrait"/>
      <w:cols w:equalWidth="0" w:num="1">
        <w:col w:w="10199"/>
      </w:cols>
      <w:pgMar w:left="260" w:top="13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89A769B"/>
    <w:multiLevelType w:val="hybridMultilevel"/>
    <w:lvl w:ilvl="0">
      <w:lvlJc w:val="left"/>
      <w:lvlText w:val="[%1]"/>
      <w:numFmt w:val="upperLetter"/>
      <w:start w:val="24"/>
    </w:lvl>
  </w:abstractNum>
  <w:abstractNum w:abstractNumId="1">
    <w:nsid w:val="54E49EB4"/>
    <w:multiLevelType w:val="hybridMultilevel"/>
    <w:lvl w:ilvl="0">
      <w:lvlJc w:val="left"/>
      <w:lvlText w:val="(%1)"/>
      <w:numFmt w:val="lowerLetter"/>
      <w:start w:val="21"/>
    </w:lvl>
  </w:abstractNum>
  <w:abstractNum w:abstractNumId="2">
    <w:nsid w:val="71F32454"/>
    <w:multiLevelType w:val="hybridMultilevel"/>
    <w:lvl w:ilvl="0">
      <w:lvlJc w:val="left"/>
      <w:lvlText w:val="(%1)"/>
      <w:numFmt w:val="lowerLetter"/>
      <w:start w:val="21"/>
    </w:lvl>
  </w:abstractNum>
  <w:abstractNum w:abstractNumId="3">
    <w:nsid w:val="2CA88611"/>
    <w:multiLevelType w:val="hybridMultilevel"/>
    <w:lvl w:ilvl="0">
      <w:lvlJc w:val="left"/>
      <w:lvlText w:val="(%1)"/>
      <w:numFmt w:val="lowerRoman"/>
      <w:start w:val="3"/>
    </w:lvl>
  </w:abstractNum>
  <w:abstractNum w:abstractNumId="4">
    <w:nsid w:val="836C40E"/>
    <w:multiLevelType w:val="hybridMultilevel"/>
    <w:lvl w:ilvl="0">
      <w:lvlJc w:val="left"/>
      <w:lvlText w:val="-"/>
      <w:numFmt w:val="bullet"/>
      <w:start w:val="1"/>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
      <w:numFmt w:val="bullet"/>
      <w:start w:val="1"/>
    </w:lvl>
  </w:abstractNum>
  <w:abstractNum w:abstractNumId="7">
    <w:nsid w:val="8138641"/>
    <w:multiLevelType w:val="hybridMultilevel"/>
    <w:lvl w:ilvl="0">
      <w:lvlJc w:val="left"/>
      <w:lvlText w:val="-"/>
      <w:numFmt w:val="bullet"/>
      <w:start w:val="1"/>
    </w:lvl>
  </w:abstractNum>
  <w:abstractNum w:abstractNumId="8">
    <w:nsid w:val="1E7FF521"/>
    <w:multiLevelType w:val="hybridMultilevel"/>
    <w:lvl w:ilvl="0">
      <w:lvlJc w:val="left"/>
      <w:lvlText w:val="-"/>
      <w:numFmt w:val="bullet"/>
      <w:start w:val="1"/>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
      <w:numFmt w:val="bullet"/>
      <w:start w:val="1"/>
    </w:lvl>
    <w:lvl w:ilvl="1">
      <w:lvlJc w:val="left"/>
      <w:lvlText w:val="(%2)"/>
      <w:numFmt w:val="decimal"/>
      <w:start w:val="1"/>
    </w:lvl>
  </w:abstractNum>
  <w:abstractNum w:abstractNumId="14">
    <w:nsid w:val="3006C83E"/>
    <w:multiLevelType w:val="hybridMultilevel"/>
    <w:lvl w:ilvl="0">
      <w:lvlJc w:val="left"/>
      <w:lvlText w:val="%1"/>
      <w:numFmt w:val="lowerLetter"/>
      <w:start w:val="1"/>
    </w:lvl>
    <w:lvl w:ilvl="1">
      <w:lvlJc w:val="left"/>
      <w:lvlText w:val="(%2)"/>
      <w:numFmt w:val="decimal"/>
      <w:start w:val="4"/>
    </w:lvl>
  </w:abstractNum>
  <w:abstractNum w:abstractNumId="15">
    <w:nsid w:val="614FD4A1"/>
    <w:multiLevelType w:val="hybridMultilevel"/>
    <w:lvl w:ilvl="0">
      <w:lvlJc w:val="left"/>
      <w:lvlText w:val="(%1)"/>
      <w:numFmt w:val="lowerLetter"/>
      <w:start w:val="2"/>
    </w:lvl>
    <w:lvl w:ilvl="1">
      <w:lvlJc w:val="left"/>
      <w:lvlText w:val="%2"/>
      <w:numFmt w:val="decimal"/>
      <w:start w:val="1"/>
    </w:lvl>
  </w:abstractNum>
  <w:abstractNum w:abstractNumId="16">
    <w:nsid w:val="419AC241"/>
    <w:multiLevelType w:val="hybridMultilevel"/>
    <w:lvl w:ilvl="0">
      <w:lvlJc w:val="left"/>
      <w:lvlText w:val="-"/>
      <w:numFmt w:val="bullet"/>
      <w:start w:val="1"/>
    </w:lvl>
  </w:abstractNum>
  <w:abstractNum w:abstractNumId="17">
    <w:nsid w:val="5577F8E1"/>
    <w:multiLevelType w:val="hybridMultilevel"/>
    <w:lvl w:ilvl="0">
      <w:lvlJc w:val="left"/>
      <w:lvlText w:val="-"/>
      <w:numFmt w:val="bullet"/>
      <w:start w:val="1"/>
    </w:lvl>
  </w:abstractNum>
  <w:abstractNum w:abstractNumId="18">
    <w:nsid w:val="440BADFC"/>
    <w:multiLevelType w:val="hybridMultilevel"/>
    <w:lvl w:ilvl="0">
      <w:lvlJc w:val="left"/>
      <w:lvlText w:val="-"/>
      <w:numFmt w:val="bullet"/>
      <w:start w:val="1"/>
    </w:lvl>
  </w:abstractNum>
  <w:abstractNum w:abstractNumId="19">
    <w:nsid w:val="5072367"/>
    <w:multiLevelType w:val="hybridMultilevel"/>
    <w:lvl w:ilvl="0">
      <w:lvlJc w:val="left"/>
      <w:lvlText w:val="-"/>
      <w:numFmt w:val="bullet"/>
      <w:start w:val="1"/>
    </w:lvl>
  </w:abstractNum>
  <w:abstractNum w:abstractNumId="20">
    <w:nsid w:val="3804823E"/>
    <w:multiLevelType w:val="hybridMultilevel"/>
    <w:lvl w:ilvl="0">
      <w:lvlJc w:val="left"/>
      <w:lvlText w:val="-"/>
      <w:numFmt w:val="bullet"/>
      <w:start w:val="1"/>
    </w:lvl>
  </w:abstractNum>
  <w:abstractNum w:abstractNumId="21">
    <w:nsid w:val="77465F01"/>
    <w:multiLevelType w:val="hybridMultilevel"/>
    <w:lvl w:ilvl="0">
      <w:lvlJc w:val="left"/>
      <w:lvlText w:val="%1."/>
      <w:numFmt w:val="decimal"/>
      <w:start w:val="1"/>
    </w:lvl>
  </w:abstractNum>
  <w:abstractNum w:abstractNumId="22">
    <w:nsid w:val="7724C67E"/>
    <w:multiLevelType w:val="hybridMultilevel"/>
    <w:lvl w:ilvl="0">
      <w:lvlJc w:val="left"/>
      <w:lvlText w:val="%1."/>
      <w:numFmt w:val="decimal"/>
      <w:start w:val="5"/>
    </w:lvl>
  </w:abstractNum>
  <w:abstractNum w:abstractNumId="23">
    <w:nsid w:val="5C482A97"/>
    <w:multiLevelType w:val="hybridMultilevel"/>
    <w:lvl w:ilvl="0">
      <w:lvlJc w:val="left"/>
      <w:lvlText w:val="%1."/>
      <w:numFmt w:val="decimal"/>
      <w:start w:val="6"/>
    </w:lvl>
  </w:abstractNum>
  <w:abstractNum w:abstractNumId="24">
    <w:nsid w:val="2463B9EA"/>
    <w:multiLevelType w:val="hybridMultilevel"/>
    <w:lvl w:ilvl="0">
      <w:lvlJc w:val="left"/>
      <w:lvlText w:val="%1."/>
      <w:numFmt w:val="decimal"/>
      <w:start w:val="8"/>
    </w:lvl>
  </w:abstractNum>
  <w:abstractNum w:abstractNumId="25">
    <w:nsid w:val="5E884ADC"/>
    <w:multiLevelType w:val="hybridMultilevel"/>
    <w:lvl w:ilvl="0">
      <w:lvlJc w:val="left"/>
      <w:lvlText w:val="%1."/>
      <w:numFmt w:val="decimal"/>
      <w:start w:val="9"/>
    </w:lvl>
  </w:abstractNum>
  <w:abstractNum w:abstractNumId="26">
    <w:nsid w:val="51EAD36B"/>
    <w:multiLevelType w:val="hybridMultilevel"/>
    <w:lvl w:ilvl="0">
      <w:lvlJc w:val="left"/>
      <w:lvlText w:val="%1"/>
      <w:numFmt w:val="lowerRoman"/>
      <w:start w:val="1"/>
    </w:lvl>
    <w:lvl w:ilvl="1">
      <w:lvlJc w:val="left"/>
      <w:lvlText w:val="%2."/>
      <w:numFmt w:val="decimal"/>
      <w:start w:val="10"/>
    </w:lvl>
  </w:abstractNum>
  <w:abstractNum w:abstractNumId="27">
    <w:nsid w:val="2D517796"/>
    <w:multiLevelType w:val="hybridMultilevel"/>
    <w:lvl w:ilvl="0">
      <w:lvlJc w:val="left"/>
      <w:lvlText w:val="(%1)"/>
      <w:numFmt w:val="lowerRoman"/>
      <w:start w:val="2"/>
    </w:lvl>
    <w:lvl w:ilvl="1">
      <w:lvlJc w:val="left"/>
      <w:lvlText w:val="%2."/>
      <w:numFmt w:val="decimal"/>
      <w:start w:val="11"/>
    </w:lvl>
  </w:abstractNum>
  <w:abstractNum w:abstractNumId="28">
    <w:nsid w:val="580BD78F"/>
    <w:multiLevelType w:val="hybridMultilevel"/>
    <w:lvl w:ilvl="0">
      <w:lvlJc w:val="left"/>
      <w:lvlText w:val="%1."/>
      <w:numFmt w:val="decimal"/>
      <w:start w:val="4"/>
    </w:lvl>
  </w:abstractNum>
  <w:abstractNum w:abstractNumId="29">
    <w:nsid w:val="153EA438"/>
    <w:multiLevelType w:val="hybridMultilevel"/>
    <w:lvl w:ilvl="0">
      <w:lvlJc w:val="left"/>
      <w:lvlText w:val="%1."/>
      <w:numFmt w:val="decimal"/>
      <w:start w:val="4"/>
    </w:lvl>
  </w:abstractNum>
  <w:abstractNum w:abstractNumId="30">
    <w:nsid w:val="3855585C"/>
    <w:multiLevelType w:val="hybridMultilevel"/>
    <w:lvl w:ilvl="0">
      <w:lvlJc w:val="left"/>
      <w:lvlText w:val="%1."/>
      <w:numFmt w:val="decimal"/>
      <w:start w:val="4"/>
    </w:lvl>
  </w:abstractNum>
  <w:abstractNum w:abstractNumId="31">
    <w:nsid w:val="70A64E2A"/>
    <w:multiLevelType w:val="hybridMultilevel"/>
    <w:lvl w:ilvl="0">
      <w:lvlJc w:val="left"/>
      <w:lvlText w:val="%1."/>
      <w:numFmt w:val="decimal"/>
      <w:start w:val="4"/>
    </w:lvl>
  </w:abstractNum>
  <w:abstractNum w:abstractNumId="32">
    <w:nsid w:val="6A2342EC"/>
    <w:multiLevelType w:val="hybridMultilevel"/>
    <w:lvl w:ilvl="0">
      <w:lvlJc w:val="left"/>
      <w:lvlText w:val="-"/>
      <w:numFmt w:val="bullet"/>
      <w:start w:val="1"/>
    </w:lvl>
  </w:abstractNum>
  <w:abstractNum w:abstractNumId="33">
    <w:nsid w:val="2A487CB0"/>
    <w:multiLevelType w:val="hybridMultilevel"/>
    <w:lvl w:ilvl="0">
      <w:lvlJc w:val="left"/>
      <w:lvlText w:val="%1."/>
      <w:numFmt w:val="decimal"/>
      <w:start w:val="4"/>
    </w:lvl>
  </w:abstractNum>
  <w:abstractNum w:abstractNumId="34">
    <w:nsid w:val="1D4ED43B"/>
    <w:multiLevelType w:val="hybridMultilevel"/>
    <w:lvl w:ilvl="0">
      <w:lvlJc w:val="left"/>
      <w:lvlText w:val="(%1)"/>
      <w:numFmt w:val="lowerLetter"/>
      <w:start w:val="2"/>
    </w:lvl>
  </w:abstractNum>
  <w:abstractNum w:abstractNumId="35">
    <w:nsid w:val="725A06FB"/>
    <w:multiLevelType w:val="hybridMultilevel"/>
    <w:lvl w:ilvl="0">
      <w:lvlJc w:val="left"/>
      <w:lvlText w:val="%1."/>
      <w:numFmt w:val="lowerLetter"/>
      <w:start w:val="1"/>
    </w:lvl>
  </w:abstractNum>
  <w:abstractNum w:abstractNumId="36">
    <w:nsid w:val="2CD89A32"/>
    <w:multiLevelType w:val="hybridMultilevel"/>
    <w:lvl w:ilvl="0">
      <w:lvlJc w:val="left"/>
      <w:lvlText w:val="%1."/>
      <w:numFmt w:val="lowerLetter"/>
      <w:start w:val="2"/>
    </w:lvl>
  </w:abstractNum>
  <w:abstractNum w:abstractNumId="37">
    <w:nsid w:val="57E4CCAF"/>
    <w:multiLevelType w:val="hybridMultilevel"/>
    <w:lvl w:ilvl="0">
      <w:lvlJc w:val="left"/>
      <w:lvlText w:val="%1."/>
      <w:numFmt w:val="lowerLetter"/>
      <w:start w:val="3"/>
    </w:lvl>
  </w:abstractNum>
  <w:abstractNum w:abstractNumId="38">
    <w:nsid w:val="7A6D8D3C"/>
    <w:multiLevelType w:val="hybridMultilevel"/>
    <w:lvl w:ilvl="0">
      <w:lvlJc w:val="left"/>
      <w:lvlText w:val="%1."/>
      <w:numFmt w:val="lowerLetter"/>
      <w:start w:val="4"/>
    </w:lvl>
  </w:abstractNum>
  <w:abstractNum w:abstractNumId="39">
    <w:nsid w:val="4B588F54"/>
    <w:multiLevelType w:val="hybridMultilevel"/>
    <w:lvl w:ilvl="0">
      <w:lvlJc w:val="left"/>
      <w:lvlText w:val="%1."/>
      <w:numFmt w:val="lowerLetter"/>
      <w:start w:val="5"/>
    </w:lvl>
  </w:abstractNum>
  <w:abstractNum w:abstractNumId="40">
    <w:nsid w:val="542289EC"/>
    <w:multiLevelType w:val="hybridMultilevel"/>
    <w:lvl w:ilvl="0">
      <w:lvlJc w:val="left"/>
      <w:lvlText w:val="%1."/>
      <w:numFmt w:val="lowerLetter"/>
      <w:start w:val="6"/>
    </w:lvl>
  </w:abstractNum>
  <w:abstractNum w:abstractNumId="41">
    <w:nsid w:val="6DE91B18"/>
    <w:multiLevelType w:val="hybridMultilevel"/>
    <w:lvl w:ilvl="0">
      <w:lvlJc w:val="left"/>
      <w:lvlText w:val="(%1)"/>
      <w:numFmt w:val="lowerRoman"/>
      <w:start w:val="2"/>
    </w:lvl>
  </w:abstractNum>
  <w:abstractNum w:abstractNumId="42">
    <w:nsid w:val="38437FDB"/>
    <w:multiLevelType w:val="hybridMultilevel"/>
    <w:lvl w:ilvl="0">
      <w:lvlJc w:val="left"/>
      <w:lvlText w:val="%1."/>
      <w:numFmt w:val="lowerLetter"/>
      <w:start w:val="7"/>
    </w:lvl>
  </w:abstractNum>
  <w:abstractNum w:abstractNumId="43">
    <w:nsid w:val="7644A45C"/>
    <w:multiLevelType w:val="hybridMultilevel"/>
    <w:lvl w:ilvl="0">
      <w:lvlJc w:val="left"/>
      <w:lvlText w:val="(%1)"/>
      <w:numFmt w:val="lowerRoman"/>
      <w:start w:val="1"/>
    </w:lvl>
  </w:abstractNum>
  <w:abstractNum w:abstractNumId="44">
    <w:nsid w:val="32FFF902"/>
    <w:multiLevelType w:val="hybridMultilevel"/>
    <w:lvl w:ilvl="0">
      <w:lvlJc w:val="left"/>
      <w:lvlText w:val="%1."/>
      <w:numFmt w:val="lowerLetter"/>
      <w:start w:val="8"/>
    </w:lvl>
  </w:abstractNum>
  <w:abstractNum w:abstractNumId="45">
    <w:nsid w:val="684A481A"/>
    <w:multiLevelType w:val="hybridMultilevel"/>
    <w:lvl w:ilvl="0">
      <w:lvlJc w:val="left"/>
      <w:lvlText w:val="%1."/>
      <w:numFmt w:val="lowerRoman"/>
      <w:start w:val="1"/>
    </w:lvl>
  </w:abstractNum>
  <w:abstractNum w:abstractNumId="46">
    <w:nsid w:val="579478FE"/>
    <w:multiLevelType w:val="hybridMultilevel"/>
    <w:lvl w:ilvl="0">
      <w:lvlJc w:val="left"/>
      <w:lvlText w:val="%1."/>
      <w:numFmt w:val="lowerLetter"/>
      <w:start w:val="10"/>
    </w:lvl>
  </w:abstractNum>
  <w:abstractNum w:abstractNumId="47">
    <w:nsid w:val="749ABB43"/>
    <w:multiLevelType w:val="hybridMultilevel"/>
    <w:lvl w:ilvl="0">
      <w:lvlJc w:val="left"/>
      <w:lvlText w:val="%1."/>
      <w:numFmt w:val="lowerLetter"/>
      <w:start w:val="11"/>
    </w:lvl>
  </w:abstractNum>
  <w:abstractNum w:abstractNumId="48">
    <w:nsid w:val="3DC240FB"/>
    <w:multiLevelType w:val="hybridMultilevel"/>
    <w:lvl w:ilvl="0">
      <w:lvlJc w:val="left"/>
      <w:lvlText w:val="%1."/>
      <w:numFmt w:val="lowerLetter"/>
      <w:start w:val="12"/>
    </w:lvl>
  </w:abstractNum>
  <w:abstractNum w:abstractNumId="49">
    <w:nsid w:val="1BA026FA"/>
    <w:multiLevelType w:val="hybridMultilevel"/>
    <w:lvl w:ilvl="0">
      <w:lvlJc w:val="left"/>
      <w:lvlText w:val="%1."/>
      <w:numFmt w:val="lowerLetter"/>
      <w:start w:val="13"/>
    </w:lvl>
  </w:abstractNum>
  <w:abstractNum w:abstractNumId="50">
    <w:nsid w:val="79A1DEAA"/>
    <w:multiLevelType w:val="hybridMultilevel"/>
    <w:lvl w:ilvl="0">
      <w:lvlJc w:val="left"/>
      <w:lvlText w:val="%1."/>
      <w:numFmt w:val="lowerLetter"/>
      <w:start w:val="14"/>
    </w:lvl>
  </w:abstractNum>
  <w:abstractNum w:abstractNumId="51">
    <w:nsid w:val="75C6C33A"/>
    <w:multiLevelType w:val="hybridMultilevel"/>
    <w:lvl w:ilvl="0">
      <w:lvlJc w:val="left"/>
      <w:lvlText w:val="%1."/>
      <w:numFmt w:val="lowerLetter"/>
      <w:start w:val="1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2020-02-22T15:48:50Z</dcterms:created>
  <dcterms:modified xsi:type="dcterms:W3CDTF">2020-02-22T15:48:50Z</dcterms:modified>
</cp:coreProperties>
</file>