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180"/>
        <w:spacing w:after="0"/>
        <w:rPr>
          <w:sz w:val="20"/>
          <w:szCs w:val="20"/>
          <w:color w:val="auto"/>
        </w:rPr>
      </w:pPr>
      <w:r>
        <w:rPr>
          <w:rFonts w:ascii="Courier New" w:cs="Courier New" w:eastAsia="Courier New" w:hAnsi="Courier New"/>
          <w:sz w:val="16"/>
          <w:szCs w:val="16"/>
          <w:color w:val="auto"/>
        </w:rPr>
        <w:t>Page 1 of 12</w:t>
      </w:r>
    </w:p>
    <w:p>
      <w:pPr>
        <w:spacing w:after="0" w:line="224" w:lineRule="exact"/>
        <w:rPr>
          <w:sz w:val="24"/>
          <w:szCs w:val="24"/>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7180"/>
        <w:spacing w:after="0"/>
        <w:rPr>
          <w:sz w:val="20"/>
          <w:szCs w:val="20"/>
          <w:color w:val="auto"/>
        </w:rPr>
      </w:pPr>
      <w:r>
        <w:rPr>
          <w:rFonts w:ascii="Courier New" w:cs="Courier New" w:eastAsia="Courier New" w:hAnsi="Courier New"/>
          <w:sz w:val="16"/>
          <w:szCs w:val="16"/>
          <w:color w:val="auto"/>
        </w:rPr>
        <w:t>OMB APPROVAL</w:t>
      </w:r>
    </w:p>
    <w:p>
      <w:pPr>
        <w:spacing w:after="0" w:line="21" w:lineRule="exact"/>
        <w:rPr>
          <w:sz w:val="24"/>
          <w:szCs w:val="24"/>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5280"/>
        <w:spacing w:after="0"/>
        <w:tabs>
          <w:tab w:leader="none" w:pos="746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spacing w:after="0" w:line="4" w:lineRule="exact"/>
        <w:rPr>
          <w:sz w:val="24"/>
          <w:szCs w:val="24"/>
          <w:color w:val="auto"/>
        </w:rPr>
      </w:pPr>
    </w:p>
    <w:p>
      <w:pPr>
        <w:ind w:left="5280"/>
        <w:spacing w:after="0"/>
        <w:tabs>
          <w:tab w:leader="none" w:pos="6940" w:val="left"/>
        </w:tabs>
        <w:rPr>
          <w:sz w:val="20"/>
          <w:szCs w:val="20"/>
          <w:color w:val="auto"/>
        </w:rPr>
      </w:pPr>
      <w:r>
        <w:rPr>
          <w:rFonts w:ascii="Courier New" w:cs="Courier New" w:eastAsia="Courier New" w:hAnsi="Courier New"/>
          <w:sz w:val="16"/>
          <w:szCs w:val="16"/>
          <w:color w:val="auto"/>
        </w:rPr>
        <w:t>Expires:</w:t>
      </w:r>
      <w:r>
        <w:rPr>
          <w:sz w:val="20"/>
          <w:szCs w:val="20"/>
          <w:color w:val="auto"/>
        </w:rPr>
        <w:tab/>
      </w:r>
      <w:r>
        <w:rPr>
          <w:rFonts w:ascii="Courier New" w:cs="Courier New" w:eastAsia="Courier New" w:hAnsi="Courier New"/>
          <w:sz w:val="16"/>
          <w:szCs w:val="16"/>
          <w:color w:val="auto"/>
        </w:rPr>
        <w:t>August 31,1999</w:t>
      </w:r>
    </w:p>
    <w:p>
      <w:pPr>
        <w:spacing w:after="0" w:line="16" w:lineRule="exact"/>
        <w:rPr>
          <w:sz w:val="24"/>
          <w:szCs w:val="24"/>
          <w:color w:val="auto"/>
        </w:rPr>
      </w:pPr>
    </w:p>
    <w:p>
      <w:pPr>
        <w:ind w:left="5280"/>
        <w:spacing w:after="0"/>
        <w:rPr>
          <w:sz w:val="20"/>
          <w:szCs w:val="20"/>
          <w:color w:val="auto"/>
        </w:rPr>
      </w:pPr>
      <w:r>
        <w:rPr>
          <w:rFonts w:ascii="Courier New" w:cs="Courier New" w:eastAsia="Courier New" w:hAnsi="Courier New"/>
          <w:sz w:val="18"/>
          <w:szCs w:val="18"/>
          <w:color w:val="auto"/>
        </w:rPr>
        <w:t>Estimated average burden</w:t>
      </w:r>
    </w:p>
    <w:p>
      <w:pPr>
        <w:spacing w:after="0" w:line="4" w:lineRule="exact"/>
        <w:rPr>
          <w:sz w:val="24"/>
          <w:szCs w:val="24"/>
          <w:color w:val="auto"/>
        </w:rPr>
      </w:pPr>
    </w:p>
    <w:p>
      <w:pPr>
        <w:ind w:left="5280"/>
        <w:spacing w:after="0"/>
        <w:rPr>
          <w:sz w:val="20"/>
          <w:szCs w:val="20"/>
          <w:color w:val="auto"/>
        </w:rPr>
      </w:pPr>
      <w:r>
        <w:rPr>
          <w:rFonts w:ascii="Courier New" w:cs="Courier New" w:eastAsia="Courier New" w:hAnsi="Courier New"/>
          <w:sz w:val="16"/>
          <w:szCs w:val="16"/>
          <w:color w:val="auto"/>
        </w:rPr>
        <w:t>hours per response...... 14.90</w:t>
      </w:r>
    </w:p>
    <w:p>
      <w:pPr>
        <w:spacing w:after="0" w:line="21" w:lineRule="exact"/>
        <w:rPr>
          <w:sz w:val="24"/>
          <w:szCs w:val="24"/>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(Amendment No. 2 ) *</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Micron Technology, Inc.</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595112103</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February 28, 2005</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1280" w:right="7159" w:hanging="8"/>
        <w:spacing w:after="0" w:line="536" w:lineRule="auto"/>
        <w:tabs>
          <w:tab w:leader="none" w:pos="170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1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381"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Page 2 of 12</w:t>
      </w:r>
    </w:p>
    <w:p>
      <w:pPr>
        <w:spacing w:after="0" w:line="201" w:lineRule="exact"/>
        <w:rPr>
          <w:sz w:val="24"/>
          <w:szCs w:val="24"/>
          <w:color w:val="auto"/>
        </w:rPr>
      </w:pPr>
    </w:p>
    <w:p>
      <w:pPr>
        <w:spacing w:after="0"/>
        <w:tabs>
          <w:tab w:leader="none" w:pos="220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480" w:right="1999" w:hanging="313"/>
        <w:spacing w:after="0" w:line="235" w:lineRule="auto"/>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Brandes Investment Partners, L.P. I.R.S. Identification Nos. of above persons (entities only).</w:t>
      </w:r>
    </w:p>
    <w:p>
      <w:pPr>
        <w:spacing w:after="0" w:line="1" w:lineRule="exact"/>
        <w:rPr>
          <w:rFonts w:ascii="Courier New" w:cs="Courier New" w:eastAsia="Courier New" w:hAnsi="Courier New"/>
          <w:sz w:val="18"/>
          <w:szCs w:val="18"/>
          <w:color w:val="auto"/>
        </w:rPr>
      </w:pP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33-0704072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ind w:left="1480" w:right="3159" w:hanging="313"/>
        <w:spacing w:after="0" w:line="235" w:lineRule="auto"/>
        <w:tabs>
          <w:tab w:leader="none" w:pos="14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2"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(a)[_]</w:t>
      </w:r>
    </w:p>
    <w:p>
      <w:pPr>
        <w:spacing w:after="0" w:line="201"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(b)[_]</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1480" w:hanging="313"/>
        <w:spacing w:after="0"/>
        <w:tabs>
          <w:tab w:leader="none" w:pos="14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50" w:right="1440" w:bottom="0" w:gutter="0" w:footer="0" w:header="0"/>
        </w:sectPr>
      </w:pPr>
    </w:p>
    <w:bookmarkStart w:id="1" w:name="page2"/>
    <w:bookmarkEnd w:id="1"/>
    <w:p>
      <w:pPr>
        <w:ind w:left="1160"/>
        <w:spacing w:after="0"/>
        <w:tabs>
          <w:tab w:leader="none" w:pos="600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780" w:type="dxa"/>
            <w:vAlign w:val="bottom"/>
          </w:tcPr>
          <w:p>
            <w:pPr>
              <w:ind w:left="480"/>
              <w:spacing w:after="0"/>
              <w:rPr>
                <w:sz w:val="20"/>
                <w:szCs w:val="20"/>
                <w:color w:val="auto"/>
              </w:rPr>
            </w:pPr>
            <w:r>
              <w:rPr>
                <w:rFonts w:ascii="Courier New" w:cs="Courier New" w:eastAsia="Courier New" w:hAnsi="Courier New"/>
                <w:sz w:val="18"/>
                <w:szCs w:val="18"/>
                <w:color w:val="auto"/>
              </w:rPr>
              <w:t>5.</w:t>
            </w:r>
          </w:p>
        </w:tc>
        <w:tc>
          <w:tcPr>
            <w:tcW w:w="290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c>
          <w:tcPr>
            <w:tcW w:w="2800" w:type="dxa"/>
            <w:vAlign w:val="bottom"/>
          </w:tcPr>
          <w:p>
            <w:pPr>
              <w:spacing w:after="0"/>
              <w:rPr>
                <w:sz w:val="17"/>
                <w:szCs w:val="17"/>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48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7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w:t>
            </w:r>
          </w:p>
        </w:tc>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80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50,925,672</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3680" w:type="dxa"/>
            <w:vAlign w:val="bottom"/>
            <w:gridSpan w:val="2"/>
          </w:tcPr>
          <w:p>
            <w:pPr>
              <w:ind w:left="480"/>
              <w:spacing w:after="0"/>
              <w:rPr>
                <w:sz w:val="20"/>
                <w:szCs w:val="20"/>
                <w:color w:val="auto"/>
              </w:rPr>
            </w:pPr>
            <w:r>
              <w:rPr>
                <w:rFonts w:ascii="Courier New" w:cs="Courier New" w:eastAsia="Courier New" w:hAnsi="Courier New"/>
                <w:sz w:val="13"/>
                <w:szCs w:val="13"/>
                <w:color w:val="auto"/>
                <w:w w:val="71"/>
              </w:rPr>
              <w:t>---------------------------------------------------------</w:t>
            </w:r>
          </w:p>
        </w:tc>
        <w:tc>
          <w:tcPr>
            <w:tcW w:w="2800" w:type="dxa"/>
            <w:vAlign w:val="bottom"/>
          </w:tcPr>
          <w:p>
            <w:pPr>
              <w:spacing w:after="0"/>
              <w:rPr>
                <w:sz w:val="17"/>
                <w:szCs w:val="17"/>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7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w:t>
            </w:r>
          </w:p>
        </w:tc>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800" w:type="dxa"/>
            <w:vAlign w:val="bottom"/>
          </w:tcPr>
          <w:p>
            <w:pPr>
              <w:spacing w:after="0"/>
              <w:rPr>
                <w:sz w:val="17"/>
                <w:szCs w:val="17"/>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680" w:type="dxa"/>
            <w:vAlign w:val="bottom"/>
            <w:gridSpan w:val="2"/>
          </w:tcPr>
          <w:p>
            <w:pPr>
              <w:ind w:left="480"/>
              <w:spacing w:after="0"/>
              <w:rPr>
                <w:sz w:val="20"/>
                <w:szCs w:val="20"/>
                <w:color w:val="auto"/>
              </w:rPr>
            </w:pPr>
            <w:r>
              <w:rPr>
                <w:rFonts w:ascii="Courier New" w:cs="Courier New" w:eastAsia="Courier New" w:hAnsi="Courier New"/>
                <w:sz w:val="13"/>
                <w:szCs w:val="13"/>
                <w:color w:val="auto"/>
                <w:w w:val="71"/>
              </w:rPr>
              <w:t>---------------------------------------------------------</w:t>
            </w:r>
          </w:p>
        </w:tc>
        <w:tc>
          <w:tcPr>
            <w:tcW w:w="280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7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80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63,886,621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1480" w:right="2419" w:hanging="313"/>
        <w:spacing w:after="0" w:line="235" w:lineRule="auto"/>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63,886,621</w:t>
      </w:r>
    </w:p>
    <w:p>
      <w:pPr>
        <w:spacing w:after="0" w:line="208" w:lineRule="exact"/>
        <w:rPr>
          <w:rFonts w:ascii="Courier New" w:cs="Courier New" w:eastAsia="Courier New" w:hAnsi="Courier New"/>
          <w:sz w:val="18"/>
          <w:szCs w:val="18"/>
          <w:color w:val="auto"/>
        </w:rPr>
      </w:pPr>
    </w:p>
    <w:p>
      <w:pPr>
        <w:ind w:left="1480" w:right="1999" w:hanging="419"/>
        <w:spacing w:after="0" w:line="235" w:lineRule="auto"/>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 [_]</w:t>
      </w:r>
    </w:p>
    <w:p>
      <w:pPr>
        <w:spacing w:after="0" w:line="203"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11. Percent of Class Represented by Amount in Row (9)</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10.4%</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480" w:hanging="419"/>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 PN</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sectPr>
      </w:pPr>
    </w:p>
    <w:bookmarkStart w:id="2" w:name="page3"/>
    <w:bookmarkEnd w:id="2"/>
    <w:p>
      <w:pPr>
        <w:ind w:left="7180"/>
        <w:spacing w:after="0"/>
        <w:rPr>
          <w:sz w:val="20"/>
          <w:szCs w:val="20"/>
          <w:color w:val="auto"/>
        </w:rPr>
      </w:pPr>
      <w:r>
        <w:rPr>
          <w:rFonts w:ascii="Courier New" w:cs="Courier New" w:eastAsia="Courier New" w:hAnsi="Courier New"/>
          <w:sz w:val="16"/>
          <w:szCs w:val="16"/>
          <w:color w:val="auto"/>
        </w:rPr>
        <w:t>Page 3 of 12</w:t>
      </w:r>
    </w:p>
    <w:p>
      <w:pPr>
        <w:spacing w:after="0" w:line="200" w:lineRule="exact"/>
        <w:rPr>
          <w:sz w:val="20"/>
          <w:szCs w:val="20"/>
          <w:color w:val="auto"/>
        </w:rPr>
      </w:pPr>
    </w:p>
    <w:p>
      <w:pPr>
        <w:spacing w:after="0" w:line="221" w:lineRule="exact"/>
        <w:rPr>
          <w:sz w:val="20"/>
          <w:szCs w:val="20"/>
          <w:color w:val="auto"/>
        </w:rPr>
      </w:pPr>
    </w:p>
    <w:p>
      <w:pPr>
        <w:spacing w:after="0"/>
        <w:tabs>
          <w:tab w:leader="none" w:pos="220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8"/>
          <w:szCs w:val="18"/>
          <w:color w:val="auto"/>
        </w:rPr>
        <w:t>1. Names of Reporting Persons. Brandes Investment Partners, Inc.</w:t>
      </w:r>
    </w:p>
    <w:p>
      <w:pPr>
        <w:jc w:val="right"/>
        <w:ind w:right="2319"/>
        <w:spacing w:after="0"/>
        <w:tabs>
          <w:tab w:leader="none" w:pos="1140" w:val="left"/>
        </w:tabs>
        <w:rPr>
          <w:sz w:val="20"/>
          <w:szCs w:val="20"/>
          <w:color w:val="auto"/>
        </w:rPr>
      </w:pPr>
      <w:r>
        <w:rPr>
          <w:rFonts w:ascii="Courier New" w:cs="Courier New" w:eastAsia="Courier New" w:hAnsi="Courier New"/>
          <w:sz w:val="18"/>
          <w:szCs w:val="18"/>
          <w:color w:val="auto"/>
        </w:rPr>
        <w:t>I.R.S. Identification Nos. of above persons (entities</w:t>
      </w:r>
      <w:r>
        <w:rPr>
          <w:sz w:val="20"/>
          <w:szCs w:val="20"/>
          <w:color w:val="auto"/>
        </w:rPr>
        <w:tab/>
      </w:r>
      <w:r>
        <w:rPr>
          <w:rFonts w:ascii="Courier New" w:cs="Courier New" w:eastAsia="Courier New" w:hAnsi="Courier New"/>
          <w:sz w:val="16"/>
          <w:szCs w:val="16"/>
          <w:color w:val="auto"/>
        </w:rPr>
        <w:t>only).</w:t>
      </w:r>
    </w:p>
    <w:p>
      <w:pPr>
        <w:ind w:left="1480"/>
        <w:spacing w:after="0"/>
        <w:rPr>
          <w:sz w:val="20"/>
          <w:szCs w:val="20"/>
          <w:color w:val="auto"/>
        </w:rPr>
      </w:pPr>
      <w:r>
        <w:rPr>
          <w:rFonts w:ascii="Courier New" w:cs="Courier New" w:eastAsia="Courier New" w:hAnsi="Courier New"/>
          <w:sz w:val="18"/>
          <w:szCs w:val="18"/>
          <w:color w:val="auto"/>
        </w:rPr>
        <w:t>33-0090873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1480" w:right="3159" w:hanging="319"/>
        <w:spacing w:after="0" w:line="235" w:lineRule="auto"/>
        <w:tabs>
          <w:tab w:leader="none" w:pos="1460" w:val="left"/>
        </w:tabs>
        <w:rPr>
          <w:sz w:val="20"/>
          <w:szCs w:val="20"/>
          <w:color w:val="auto"/>
        </w:rPr>
      </w:pPr>
      <w:r>
        <w:rPr>
          <w:rFonts w:ascii="Courier New" w:cs="Courier New" w:eastAsia="Courier New" w:hAnsi="Courier New"/>
          <w:sz w:val="18"/>
          <w:szCs w:val="18"/>
          <w:color w:val="auto"/>
        </w:rPr>
        <w:t>2.</w:t>
        <w:tab/>
        <w:t>Check the Appropriate Box if a Member of a Group (See Instructions)</w:t>
      </w: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(a)[_]</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480" w:hanging="313"/>
        <w:spacing w:after="0"/>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tabs>
          <w:tab w:leader="none" w:pos="558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California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780" w:type="dxa"/>
            <w:vAlign w:val="bottom"/>
          </w:tcPr>
          <w:p>
            <w:pPr>
              <w:ind w:left="480"/>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c>
          <w:tcPr>
            <w:tcW w:w="2740" w:type="dxa"/>
            <w:vAlign w:val="bottom"/>
          </w:tcPr>
          <w:p>
            <w:pPr>
              <w:spacing w:after="0"/>
              <w:rPr>
                <w:sz w:val="17"/>
                <w:szCs w:val="17"/>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48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7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7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50,925,672</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3740" w:type="dxa"/>
            <w:vAlign w:val="bottom"/>
            <w:gridSpan w:val="2"/>
          </w:tcPr>
          <w:p>
            <w:pPr>
              <w:ind w:left="480"/>
              <w:spacing w:after="0"/>
              <w:rPr>
                <w:sz w:val="20"/>
                <w:szCs w:val="20"/>
                <w:color w:val="auto"/>
              </w:rPr>
            </w:pPr>
            <w:r>
              <w:rPr>
                <w:rFonts w:ascii="Courier New" w:cs="Courier New" w:eastAsia="Courier New" w:hAnsi="Courier New"/>
                <w:sz w:val="13"/>
                <w:szCs w:val="13"/>
                <w:color w:val="auto"/>
                <w:w w:val="72"/>
              </w:rPr>
              <w:t>---------------------------------------------------------</w:t>
            </w:r>
          </w:p>
        </w:tc>
        <w:tc>
          <w:tcPr>
            <w:tcW w:w="2740" w:type="dxa"/>
            <w:vAlign w:val="bottom"/>
          </w:tcPr>
          <w:p>
            <w:pPr>
              <w:spacing w:after="0"/>
              <w:rPr>
                <w:sz w:val="17"/>
                <w:szCs w:val="17"/>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7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740" w:type="dxa"/>
            <w:vAlign w:val="bottom"/>
          </w:tcPr>
          <w:p>
            <w:pPr>
              <w:spacing w:after="0"/>
              <w:rPr>
                <w:sz w:val="17"/>
                <w:szCs w:val="17"/>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740" w:type="dxa"/>
            <w:vAlign w:val="bottom"/>
            <w:gridSpan w:val="2"/>
          </w:tcPr>
          <w:p>
            <w:pPr>
              <w:ind w:left="480"/>
              <w:spacing w:after="0"/>
              <w:rPr>
                <w:sz w:val="20"/>
                <w:szCs w:val="20"/>
                <w:color w:val="auto"/>
              </w:rPr>
            </w:pPr>
            <w:r>
              <w:rPr>
                <w:rFonts w:ascii="Courier New" w:cs="Courier New" w:eastAsia="Courier New" w:hAnsi="Courier New"/>
                <w:sz w:val="13"/>
                <w:szCs w:val="13"/>
                <w:color w:val="auto"/>
                <w:w w:val="72"/>
              </w:rPr>
              <w:t>---------------------------------------------------------</w:t>
            </w:r>
          </w:p>
        </w:tc>
        <w:tc>
          <w:tcPr>
            <w:tcW w:w="274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7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7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63,886,621</w:t>
            </w:r>
          </w:p>
        </w:tc>
      </w:tr>
    </w:tbl>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9. Aggregate Amount Beneficially Owned by Each Reporting Person</w:t>
      </w:r>
    </w:p>
    <w:p>
      <w:pPr>
        <w:spacing w:after="0" w:line="207" w:lineRule="exact"/>
        <w:rPr>
          <w:sz w:val="20"/>
          <w:szCs w:val="20"/>
          <w:color w:val="auto"/>
        </w:rPr>
      </w:pPr>
    </w:p>
    <w:p>
      <w:pPr>
        <w:ind w:left="2540" w:right="1779"/>
        <w:spacing w:after="0" w:line="237" w:lineRule="auto"/>
        <w:rPr>
          <w:sz w:val="20"/>
          <w:szCs w:val="20"/>
          <w:color w:val="auto"/>
        </w:rPr>
      </w:pPr>
      <w:r>
        <w:rPr>
          <w:rFonts w:ascii="Courier New" w:cs="Courier New" w:eastAsia="Courier New" w:hAnsi="Courier New"/>
          <w:sz w:val="18"/>
          <w:szCs w:val="18"/>
          <w:color w:val="auto"/>
        </w:rPr>
        <w:t>63,886,621 shares are deemed to be beneficially owned by Brandes Investment Partners, Inc., as a control person of the investment adviser. Brandes Investment Partners, Inc. disclaims any direct ownership of the shares reported in this Schedule 13G, except for an amount that is substantially less than one per cent of the number of shares reported herein.</w:t>
      </w:r>
    </w:p>
    <w:p>
      <w:pPr>
        <w:spacing w:after="0" w:line="200" w:lineRule="exact"/>
        <w:rPr>
          <w:sz w:val="20"/>
          <w:szCs w:val="20"/>
          <w:color w:val="auto"/>
        </w:rPr>
      </w:pPr>
    </w:p>
    <w:p>
      <w:pPr>
        <w:spacing w:after="0" w:line="214" w:lineRule="exact"/>
        <w:rPr>
          <w:sz w:val="20"/>
          <w:szCs w:val="20"/>
          <w:color w:val="auto"/>
        </w:rPr>
      </w:pPr>
    </w:p>
    <w:p>
      <w:pPr>
        <w:ind w:left="1480" w:right="1999" w:hanging="419"/>
        <w:spacing w:after="0" w:line="235"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 [_]</w:t>
      </w:r>
    </w:p>
    <w:p>
      <w:pPr>
        <w:spacing w:after="0" w:line="203"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6160" w:type="dxa"/>
            <w:vAlign w:val="bottom"/>
          </w:tcPr>
          <w:p>
            <w:pPr>
              <w:spacing w:after="0"/>
              <w:rPr>
                <w:sz w:val="20"/>
                <w:szCs w:val="20"/>
                <w:color w:val="auto"/>
              </w:rPr>
            </w:pPr>
            <w:r>
              <w:rPr>
                <w:rFonts w:ascii="Courier New" w:cs="Courier New" w:eastAsia="Courier New" w:hAnsi="Courier New"/>
                <w:sz w:val="18"/>
                <w:szCs w:val="18"/>
                <w:color w:val="auto"/>
              </w:rPr>
              <w:t>11. Percent of Class Represented by Amount in Row (9)</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10.4%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480" w:right="2519" w:hanging="419"/>
        <w:spacing w:after="0" w:line="235" w:lineRule="auto"/>
        <w:tabs>
          <w:tab w:leader="none" w:pos="14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CO, OO (Control Person)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23" w:right="1440" w:bottom="1440" w:gutter="0" w:footer="0" w:header="0"/>
        </w:sectPr>
      </w:pPr>
    </w:p>
    <w:bookmarkStart w:id="3" w:name="page4"/>
    <w:bookmarkEnd w:id="3"/>
    <w:p>
      <w:pPr>
        <w:ind w:left="7180"/>
        <w:spacing w:after="0"/>
        <w:rPr>
          <w:sz w:val="20"/>
          <w:szCs w:val="20"/>
          <w:color w:val="auto"/>
        </w:rPr>
      </w:pPr>
      <w:r>
        <w:rPr>
          <w:rFonts w:ascii="Courier New" w:cs="Courier New" w:eastAsia="Courier New" w:hAnsi="Courier New"/>
          <w:sz w:val="16"/>
          <w:szCs w:val="16"/>
          <w:color w:val="auto"/>
        </w:rPr>
        <w:t>Page 4 of 12</w:t>
      </w:r>
    </w:p>
    <w:p>
      <w:pPr>
        <w:spacing w:after="0" w:line="200" w:lineRule="exact"/>
        <w:rPr>
          <w:sz w:val="20"/>
          <w:szCs w:val="20"/>
          <w:color w:val="auto"/>
        </w:rPr>
      </w:pPr>
    </w:p>
    <w:p>
      <w:pPr>
        <w:spacing w:after="0" w:line="221" w:lineRule="exact"/>
        <w:rPr>
          <w:sz w:val="20"/>
          <w:szCs w:val="20"/>
          <w:color w:val="auto"/>
        </w:rPr>
      </w:pPr>
    </w:p>
    <w:p>
      <w:pPr>
        <w:spacing w:after="0"/>
        <w:tabs>
          <w:tab w:leader="none" w:pos="220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84" w:lineRule="exact"/>
        <w:rPr>
          <w:sz w:val="20"/>
          <w:szCs w:val="20"/>
          <w:color w:val="auto"/>
        </w:rPr>
      </w:pPr>
    </w:p>
    <w:p>
      <w:pPr>
        <w:ind w:left="1480" w:right="1999" w:hanging="319"/>
        <w:spacing w:after="0" w:line="236" w:lineRule="auto"/>
        <w:tabs>
          <w:tab w:leader="none" w:pos="1460" w:val="left"/>
        </w:tabs>
        <w:rPr>
          <w:sz w:val="20"/>
          <w:szCs w:val="20"/>
          <w:color w:val="auto"/>
        </w:rPr>
      </w:pPr>
      <w:r>
        <w:rPr>
          <w:rFonts w:ascii="Courier New" w:cs="Courier New" w:eastAsia="Courier New" w:hAnsi="Courier New"/>
          <w:sz w:val="18"/>
          <w:szCs w:val="18"/>
          <w:color w:val="auto"/>
        </w:rPr>
        <w:t>1.</w:t>
        <w:tab/>
        <w:t>Names of Reporting Persons. Brandes Worldwide Holdings, L.P. I.R.S. Identification Nos. of above persons (entities only). 33-0836630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480" w:right="3159" w:hanging="319"/>
        <w:spacing w:after="0" w:line="235" w:lineRule="auto"/>
        <w:tabs>
          <w:tab w:leader="none" w:pos="1460" w:val="left"/>
        </w:tabs>
        <w:rPr>
          <w:sz w:val="20"/>
          <w:szCs w:val="20"/>
          <w:color w:val="auto"/>
        </w:rPr>
      </w:pPr>
      <w:r>
        <w:rPr>
          <w:rFonts w:ascii="Courier New" w:cs="Courier New" w:eastAsia="Courier New" w:hAnsi="Courier New"/>
          <w:sz w:val="18"/>
          <w:szCs w:val="18"/>
          <w:color w:val="auto"/>
        </w:rPr>
        <w:t>2.</w:t>
        <w:tab/>
        <w:t>Check the Appropriate Box if a Member of a Group (See Instructions)</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(a)[_]</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(b)[_]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480" w:hanging="313"/>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tabs>
          <w:tab w:leader="none" w:pos="558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780" w:type="dxa"/>
            <w:vAlign w:val="bottom"/>
          </w:tcPr>
          <w:p>
            <w:pPr>
              <w:ind w:left="480"/>
              <w:spacing w:after="0"/>
              <w:rPr>
                <w:sz w:val="20"/>
                <w:szCs w:val="20"/>
                <w:color w:val="auto"/>
              </w:rPr>
            </w:pPr>
            <w:r>
              <w:rPr>
                <w:rFonts w:ascii="Courier New" w:cs="Courier New" w:eastAsia="Courier New" w:hAnsi="Courier New"/>
                <w:sz w:val="18"/>
                <w:szCs w:val="18"/>
                <w:color w:val="auto"/>
              </w:rPr>
              <w:t>5.</w:t>
            </w:r>
          </w:p>
        </w:tc>
        <w:tc>
          <w:tcPr>
            <w:tcW w:w="290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c>
          <w:tcPr>
            <w:tcW w:w="2800" w:type="dxa"/>
            <w:vAlign w:val="bottom"/>
          </w:tcPr>
          <w:p>
            <w:pPr>
              <w:spacing w:after="0"/>
              <w:rPr>
                <w:sz w:val="17"/>
                <w:szCs w:val="17"/>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48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7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w:t>
            </w:r>
          </w:p>
        </w:tc>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80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50,925,672</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3680" w:type="dxa"/>
            <w:vAlign w:val="bottom"/>
            <w:gridSpan w:val="2"/>
          </w:tcPr>
          <w:p>
            <w:pPr>
              <w:ind w:left="480"/>
              <w:spacing w:after="0"/>
              <w:rPr>
                <w:sz w:val="20"/>
                <w:szCs w:val="20"/>
                <w:color w:val="auto"/>
              </w:rPr>
            </w:pPr>
            <w:r>
              <w:rPr>
                <w:rFonts w:ascii="Courier New" w:cs="Courier New" w:eastAsia="Courier New" w:hAnsi="Courier New"/>
                <w:sz w:val="13"/>
                <w:szCs w:val="13"/>
                <w:color w:val="auto"/>
                <w:w w:val="71"/>
              </w:rPr>
              <w:t>---------------------------------------------------------</w:t>
            </w:r>
          </w:p>
        </w:tc>
        <w:tc>
          <w:tcPr>
            <w:tcW w:w="2800" w:type="dxa"/>
            <w:vAlign w:val="bottom"/>
          </w:tcPr>
          <w:p>
            <w:pPr>
              <w:spacing w:after="0"/>
              <w:rPr>
                <w:sz w:val="17"/>
                <w:szCs w:val="17"/>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7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w:t>
            </w:r>
          </w:p>
        </w:tc>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800" w:type="dxa"/>
            <w:vAlign w:val="bottom"/>
          </w:tcPr>
          <w:p>
            <w:pPr>
              <w:spacing w:after="0"/>
              <w:rPr>
                <w:sz w:val="17"/>
                <w:szCs w:val="17"/>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680" w:type="dxa"/>
            <w:vAlign w:val="bottom"/>
            <w:gridSpan w:val="2"/>
          </w:tcPr>
          <w:p>
            <w:pPr>
              <w:ind w:left="480"/>
              <w:spacing w:after="0"/>
              <w:rPr>
                <w:sz w:val="20"/>
                <w:szCs w:val="20"/>
                <w:color w:val="auto"/>
              </w:rPr>
            </w:pPr>
            <w:r>
              <w:rPr>
                <w:rFonts w:ascii="Courier New" w:cs="Courier New" w:eastAsia="Courier New" w:hAnsi="Courier New"/>
                <w:sz w:val="13"/>
                <w:szCs w:val="13"/>
                <w:color w:val="auto"/>
                <w:w w:val="71"/>
              </w:rPr>
              <w:t>---------------------------------------------------------</w:t>
            </w:r>
          </w:p>
        </w:tc>
        <w:tc>
          <w:tcPr>
            <w:tcW w:w="280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7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80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63,886,621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9. Aggregate Amount Beneficially Owned by Each Reporting Person</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63,886,621 shares are deemed to be</w:t>
      </w:r>
    </w:p>
    <w:p>
      <w:pPr>
        <w:ind w:left="3700"/>
        <w:spacing w:after="0" w:line="238" w:lineRule="auto"/>
        <w:rPr>
          <w:sz w:val="20"/>
          <w:szCs w:val="20"/>
          <w:color w:val="auto"/>
        </w:rPr>
      </w:pPr>
      <w:r>
        <w:rPr>
          <w:rFonts w:ascii="Courier New" w:cs="Courier New" w:eastAsia="Courier New" w:hAnsi="Courier New"/>
          <w:sz w:val="18"/>
          <w:szCs w:val="18"/>
          <w:color w:val="auto"/>
        </w:rPr>
        <w:t>beneficially owned by Brandes Worldwide</w:t>
      </w:r>
    </w:p>
    <w:p>
      <w:pPr>
        <w:ind w:left="3700"/>
        <w:spacing w:after="0"/>
        <w:rPr>
          <w:sz w:val="20"/>
          <w:szCs w:val="20"/>
          <w:color w:val="auto"/>
        </w:rPr>
      </w:pPr>
      <w:r>
        <w:rPr>
          <w:rFonts w:ascii="Courier New" w:cs="Courier New" w:eastAsia="Courier New" w:hAnsi="Courier New"/>
          <w:sz w:val="18"/>
          <w:szCs w:val="18"/>
          <w:color w:val="auto"/>
        </w:rPr>
        <w:t>Holdings, L.P., as a control person of the</w:t>
      </w:r>
    </w:p>
    <w:p>
      <w:pPr>
        <w:ind w:left="3700"/>
        <w:spacing w:after="0"/>
        <w:tabs>
          <w:tab w:leader="none" w:pos="5880" w:val="left"/>
        </w:tabs>
        <w:rPr>
          <w:sz w:val="20"/>
          <w:szCs w:val="20"/>
          <w:color w:val="auto"/>
        </w:rPr>
      </w:pPr>
      <w:r>
        <w:rPr>
          <w:rFonts w:ascii="Courier New" w:cs="Courier New" w:eastAsia="Courier New" w:hAnsi="Courier New"/>
          <w:sz w:val="18"/>
          <w:szCs w:val="18"/>
          <w:color w:val="auto"/>
        </w:rPr>
        <w:t>investment adviser.</w:t>
      </w:r>
      <w:r>
        <w:rPr>
          <w:sz w:val="20"/>
          <w:szCs w:val="20"/>
          <w:color w:val="auto"/>
        </w:rPr>
        <w:tab/>
      </w:r>
      <w:r>
        <w:rPr>
          <w:rFonts w:ascii="Courier New" w:cs="Courier New" w:eastAsia="Courier New" w:hAnsi="Courier New"/>
          <w:sz w:val="16"/>
          <w:szCs w:val="16"/>
          <w:color w:val="auto"/>
        </w:rPr>
        <w:t>Brandes Worldwide</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Holdings, L.P. disclaims any direct ownership</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of the shares reported in this Schedule 13G.</w:t>
      </w:r>
    </w:p>
    <w:p>
      <w:pPr>
        <w:spacing w:after="0" w:line="224" w:lineRule="exact"/>
        <w:rPr>
          <w:sz w:val="20"/>
          <w:szCs w:val="20"/>
          <w:color w:val="auto"/>
        </w:rPr>
      </w:pPr>
    </w:p>
    <w:p>
      <w:pPr>
        <w:ind w:left="1480" w:right="1999" w:hanging="419"/>
        <w:spacing w:after="0" w:line="235"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 [_]</w:t>
      </w:r>
    </w:p>
    <w:p>
      <w:pPr>
        <w:spacing w:after="0" w:line="203"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11. Percent of Class Represented by Amount in Row (9)</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480" w:right="2519" w:hanging="419"/>
        <w:spacing w:after="0" w:line="235" w:lineRule="auto"/>
        <w:tabs>
          <w:tab w:leader="none" w:pos="1460" w:val="left"/>
        </w:tabs>
        <w:rPr>
          <w:sz w:val="20"/>
          <w:szCs w:val="20"/>
          <w:color w:val="auto"/>
        </w:rPr>
      </w:pPr>
      <w:r>
        <w:rPr>
          <w:rFonts w:ascii="Courier New" w:cs="Courier New" w:eastAsia="Courier New" w:hAnsi="Courier New"/>
          <w:sz w:val="18"/>
          <w:szCs w:val="18"/>
          <w:color w:val="auto"/>
        </w:rPr>
        <w:t>12.</w:t>
        <w:tab/>
        <w:t>Type of Reporting Person (See Instructions) PN, OO (Control Person)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23" w:right="1440" w:bottom="1440" w:gutter="0" w:footer="0" w:header="0"/>
        </w:sectPr>
      </w:pPr>
    </w:p>
    <w:bookmarkStart w:id="4" w:name="page5"/>
    <w:bookmarkEnd w:id="4"/>
    <w:p>
      <w:pPr>
        <w:ind w:left="7180"/>
        <w:spacing w:after="0"/>
        <w:rPr>
          <w:sz w:val="20"/>
          <w:szCs w:val="20"/>
          <w:color w:val="auto"/>
        </w:rPr>
      </w:pPr>
      <w:r>
        <w:rPr>
          <w:rFonts w:ascii="Courier New" w:cs="Courier New" w:eastAsia="Courier New" w:hAnsi="Courier New"/>
          <w:sz w:val="16"/>
          <w:szCs w:val="16"/>
          <w:color w:val="auto"/>
        </w:rPr>
        <w:t>Page 5 of 12</w:t>
      </w:r>
    </w:p>
    <w:p>
      <w:pPr>
        <w:spacing w:after="0" w:line="218" w:lineRule="exact"/>
        <w:rPr>
          <w:sz w:val="20"/>
          <w:szCs w:val="20"/>
          <w:color w:val="auto"/>
        </w:rPr>
      </w:pPr>
    </w:p>
    <w:p>
      <w:pPr>
        <w:spacing w:after="0"/>
        <w:tabs>
          <w:tab w:leader="none" w:pos="220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1480" w:right="1999" w:hanging="319"/>
        <w:spacing w:after="0" w:line="235" w:lineRule="auto"/>
        <w:tabs>
          <w:tab w:leader="none" w:pos="1460" w:val="left"/>
        </w:tabs>
        <w:rPr>
          <w:sz w:val="20"/>
          <w:szCs w:val="20"/>
          <w:color w:val="auto"/>
        </w:rPr>
      </w:pPr>
      <w:r>
        <w:rPr>
          <w:rFonts w:ascii="Courier New" w:cs="Courier New" w:eastAsia="Courier New" w:hAnsi="Courier New"/>
          <w:sz w:val="18"/>
          <w:szCs w:val="18"/>
          <w:color w:val="auto"/>
        </w:rPr>
        <w:t>1.</w:t>
        <w:tab/>
        <w:t>Names of Reporting Persons. Charles H. Brandes I.R.S. Identification Nos. of above persons (entities only).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480" w:right="3159" w:hanging="319"/>
        <w:spacing w:after="0" w:line="235" w:lineRule="auto"/>
        <w:tabs>
          <w:tab w:leader="none" w:pos="1460" w:val="left"/>
        </w:tabs>
        <w:rPr>
          <w:sz w:val="20"/>
          <w:szCs w:val="20"/>
          <w:color w:val="auto"/>
        </w:rPr>
      </w:pPr>
      <w:r>
        <w:rPr>
          <w:rFonts w:ascii="Courier New" w:cs="Courier New" w:eastAsia="Courier New" w:hAnsi="Courier New"/>
          <w:sz w:val="18"/>
          <w:szCs w:val="18"/>
          <w:color w:val="auto"/>
        </w:rPr>
        <w:t>2.</w:t>
        <w:tab/>
        <w:t>Check the Appropriate Box if a Member of a Group (See Instructions)</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(a)[_]</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(b)[_]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480" w:hanging="313"/>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480" w:hanging="313"/>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00" w:type="dxa"/>
            <w:vAlign w:val="bottom"/>
          </w:tcPr>
          <w:p>
            <w:pPr>
              <w:ind w:left="480"/>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740" w:type="dxa"/>
            <w:vAlign w:val="bottom"/>
          </w:tcPr>
          <w:p>
            <w:pPr>
              <w:spacing w:after="0"/>
              <w:rPr>
                <w:sz w:val="17"/>
                <w:szCs w:val="17"/>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48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50,925,672</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3740" w:type="dxa"/>
            <w:vAlign w:val="bottom"/>
            <w:gridSpan w:val="2"/>
          </w:tcPr>
          <w:p>
            <w:pPr>
              <w:ind w:left="480"/>
              <w:spacing w:after="0"/>
              <w:rPr>
                <w:sz w:val="20"/>
                <w:szCs w:val="20"/>
                <w:color w:val="auto"/>
              </w:rPr>
            </w:pPr>
            <w:r>
              <w:rPr>
                <w:rFonts w:ascii="Courier New" w:cs="Courier New" w:eastAsia="Courier New" w:hAnsi="Courier New"/>
                <w:sz w:val="13"/>
                <w:szCs w:val="13"/>
                <w:color w:val="auto"/>
                <w:w w:val="72"/>
              </w:rPr>
              <w:t>---------------------------------------------------------</w:t>
            </w:r>
          </w:p>
        </w:tc>
        <w:tc>
          <w:tcPr>
            <w:tcW w:w="2740" w:type="dxa"/>
            <w:vAlign w:val="bottom"/>
          </w:tcPr>
          <w:p>
            <w:pPr>
              <w:spacing w:after="0"/>
              <w:rPr>
                <w:sz w:val="17"/>
                <w:szCs w:val="17"/>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740" w:type="dxa"/>
            <w:vAlign w:val="bottom"/>
          </w:tcPr>
          <w:p>
            <w:pPr>
              <w:spacing w:after="0"/>
              <w:rPr>
                <w:sz w:val="17"/>
                <w:szCs w:val="17"/>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740" w:type="dxa"/>
            <w:vAlign w:val="bottom"/>
            <w:gridSpan w:val="2"/>
          </w:tcPr>
          <w:p>
            <w:pPr>
              <w:ind w:left="480"/>
              <w:spacing w:after="0"/>
              <w:rPr>
                <w:sz w:val="20"/>
                <w:szCs w:val="20"/>
                <w:color w:val="auto"/>
              </w:rPr>
            </w:pPr>
            <w:r>
              <w:rPr>
                <w:rFonts w:ascii="Courier New" w:cs="Courier New" w:eastAsia="Courier New" w:hAnsi="Courier New"/>
                <w:sz w:val="13"/>
                <w:szCs w:val="13"/>
                <w:color w:val="auto"/>
                <w:w w:val="72"/>
              </w:rPr>
              <w:t>---------------------------------------------------------</w:t>
            </w:r>
          </w:p>
        </w:tc>
        <w:tc>
          <w:tcPr>
            <w:tcW w:w="274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63,886,621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9. Aggregate Amount Beneficially Owned by Each Reporting Person</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63,886,621 shares are deemed to be</w:t>
      </w:r>
    </w:p>
    <w:p>
      <w:pPr>
        <w:ind w:left="3580"/>
        <w:spacing w:after="0" w:line="238" w:lineRule="auto"/>
        <w:rPr>
          <w:sz w:val="20"/>
          <w:szCs w:val="20"/>
          <w:color w:val="auto"/>
        </w:rPr>
      </w:pPr>
      <w:r>
        <w:rPr>
          <w:rFonts w:ascii="Courier New" w:cs="Courier New" w:eastAsia="Courier New" w:hAnsi="Courier New"/>
          <w:sz w:val="18"/>
          <w:szCs w:val="18"/>
          <w:color w:val="auto"/>
        </w:rPr>
        <w:t>beneficially owned by Charles H. Brandes, a</w:t>
      </w:r>
    </w:p>
    <w:p>
      <w:pPr>
        <w:ind w:left="3580"/>
        <w:spacing w:after="0"/>
        <w:tabs>
          <w:tab w:leader="none" w:pos="8100" w:val="left"/>
        </w:tabs>
        <w:rPr>
          <w:sz w:val="20"/>
          <w:szCs w:val="20"/>
          <w:color w:val="auto"/>
        </w:rPr>
      </w:pPr>
      <w:r>
        <w:rPr>
          <w:rFonts w:ascii="Courier New" w:cs="Courier New" w:eastAsia="Courier New" w:hAnsi="Courier New"/>
          <w:sz w:val="18"/>
          <w:szCs w:val="18"/>
          <w:color w:val="auto"/>
        </w:rPr>
        <w:t>control person of the investment adviser.</w:t>
      </w:r>
      <w:r>
        <w:rPr>
          <w:sz w:val="20"/>
          <w:szCs w:val="20"/>
          <w:color w:val="auto"/>
        </w:rPr>
        <w:tab/>
      </w:r>
      <w:r>
        <w:rPr>
          <w:rFonts w:ascii="Courier New" w:cs="Courier New" w:eastAsia="Courier New" w:hAnsi="Courier New"/>
          <w:sz w:val="16"/>
          <w:szCs w:val="16"/>
          <w:color w:val="auto"/>
        </w:rPr>
        <w:t>Mr.</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Brandes disclaims any direct ownership of the</w:t>
      </w:r>
    </w:p>
    <w:p>
      <w:pPr>
        <w:spacing w:after="0" w:line="1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shares reported in this Schedule 13G, except</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for an amount that is substantially less than</w:t>
      </w:r>
    </w:p>
    <w:p>
      <w:pPr>
        <w:spacing w:after="0" w:line="2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one per cent of the number of shares reported</w:t>
      </w:r>
    </w:p>
    <w:p>
      <w:pPr>
        <w:spacing w:after="0" w:line="1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herein.</w:t>
      </w:r>
    </w:p>
    <w:p>
      <w:pPr>
        <w:spacing w:after="0" w:line="207" w:lineRule="exact"/>
        <w:rPr>
          <w:sz w:val="20"/>
          <w:szCs w:val="20"/>
          <w:color w:val="auto"/>
        </w:rPr>
      </w:pPr>
    </w:p>
    <w:p>
      <w:pPr>
        <w:ind w:left="1480" w:right="1999" w:hanging="419"/>
        <w:spacing w:after="0" w:line="235" w:lineRule="auto"/>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 [_]</w:t>
      </w:r>
    </w:p>
    <w:p>
      <w:pPr>
        <w:spacing w:after="0" w:line="203"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11. Percent of Class Represented by Amount in Row (9)</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480" w:right="2519" w:hanging="419"/>
        <w:spacing w:after="0" w:line="235" w:lineRule="auto"/>
        <w:tabs>
          <w:tab w:leader="none" w:pos="1460" w:val="left"/>
        </w:tabs>
        <w:rPr>
          <w:sz w:val="20"/>
          <w:szCs w:val="20"/>
          <w:color w:val="auto"/>
        </w:rPr>
      </w:pPr>
      <w:r>
        <w:rPr>
          <w:rFonts w:ascii="Courier New" w:cs="Courier New" w:eastAsia="Courier New" w:hAnsi="Courier New"/>
          <w:sz w:val="18"/>
          <w:szCs w:val="18"/>
          <w:color w:val="auto"/>
        </w:rPr>
        <w:t>12.</w:t>
        <w:tab/>
        <w:t>Type of Reporting Person (See Instructions) IN, OO (Control Person)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20" w:right="1440" w:bottom="1440" w:gutter="0" w:footer="0" w:header="0"/>
        </w:sectPr>
      </w:pPr>
    </w:p>
    <w:bookmarkStart w:id="5" w:name="page6"/>
    <w:bookmarkEnd w:id="5"/>
    <w:p>
      <w:pPr>
        <w:ind w:left="7180"/>
        <w:spacing w:after="0"/>
        <w:rPr>
          <w:sz w:val="20"/>
          <w:szCs w:val="20"/>
          <w:color w:val="auto"/>
        </w:rPr>
      </w:pPr>
      <w:r>
        <w:rPr>
          <w:rFonts w:ascii="Courier New" w:cs="Courier New" w:eastAsia="Courier New" w:hAnsi="Courier New"/>
          <w:sz w:val="16"/>
          <w:szCs w:val="16"/>
          <w:color w:val="auto"/>
        </w:rPr>
        <w:t>Page 6 of 12</w:t>
      </w:r>
    </w:p>
    <w:p>
      <w:pPr>
        <w:spacing w:after="0" w:line="200" w:lineRule="exact"/>
        <w:rPr>
          <w:sz w:val="20"/>
          <w:szCs w:val="20"/>
          <w:color w:val="auto"/>
        </w:rPr>
      </w:pPr>
    </w:p>
    <w:p>
      <w:pPr>
        <w:spacing w:after="0" w:line="221" w:lineRule="exact"/>
        <w:rPr>
          <w:sz w:val="20"/>
          <w:szCs w:val="20"/>
          <w:color w:val="auto"/>
        </w:rPr>
      </w:pPr>
    </w:p>
    <w:p>
      <w:pPr>
        <w:spacing w:after="0"/>
        <w:tabs>
          <w:tab w:leader="none" w:pos="220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480" w:right="2419" w:hanging="319"/>
        <w:spacing w:after="0" w:line="235" w:lineRule="auto"/>
        <w:tabs>
          <w:tab w:leader="none" w:pos="1460" w:val="left"/>
        </w:tabs>
        <w:rPr>
          <w:sz w:val="20"/>
          <w:szCs w:val="20"/>
          <w:color w:val="auto"/>
        </w:rPr>
      </w:pPr>
      <w:r>
        <w:rPr>
          <w:rFonts w:ascii="Courier New" w:cs="Courier New" w:eastAsia="Courier New" w:hAnsi="Courier New"/>
          <w:sz w:val="18"/>
          <w:szCs w:val="18"/>
          <w:color w:val="auto"/>
        </w:rPr>
        <w:t>1.</w:t>
        <w:tab/>
        <w:t>Names of Reporting Persons. Glenn R. Carlson I.R.S. Identification Nos. of above persons (entities only).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480" w:right="3159" w:hanging="313"/>
        <w:spacing w:after="0" w:line="235" w:lineRule="auto"/>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(a)[_]</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(b)[_]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480" w:hanging="313"/>
        <w:spacing w:after="0"/>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480" w:hanging="313"/>
        <w:spacing w:after="0" w:line="238"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780" w:type="dxa"/>
            <w:vAlign w:val="bottom"/>
          </w:tcPr>
          <w:p>
            <w:pPr>
              <w:ind w:left="480"/>
              <w:spacing w:after="0"/>
              <w:rPr>
                <w:sz w:val="20"/>
                <w:szCs w:val="20"/>
                <w:color w:val="auto"/>
              </w:rPr>
            </w:pPr>
            <w:r>
              <w:rPr>
                <w:rFonts w:ascii="Courier New" w:cs="Courier New" w:eastAsia="Courier New" w:hAnsi="Courier New"/>
                <w:sz w:val="18"/>
                <w:szCs w:val="18"/>
                <w:color w:val="auto"/>
              </w:rPr>
              <w:t>5.</w:t>
            </w:r>
          </w:p>
        </w:tc>
        <w:tc>
          <w:tcPr>
            <w:tcW w:w="290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c>
          <w:tcPr>
            <w:tcW w:w="2800" w:type="dxa"/>
            <w:vAlign w:val="bottom"/>
          </w:tcPr>
          <w:p>
            <w:pPr>
              <w:spacing w:after="0"/>
              <w:rPr>
                <w:sz w:val="17"/>
                <w:szCs w:val="17"/>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48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7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w:t>
            </w:r>
          </w:p>
        </w:tc>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80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50,925,672</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3680" w:type="dxa"/>
            <w:vAlign w:val="bottom"/>
            <w:gridSpan w:val="2"/>
          </w:tcPr>
          <w:p>
            <w:pPr>
              <w:ind w:left="480"/>
              <w:spacing w:after="0"/>
              <w:rPr>
                <w:sz w:val="20"/>
                <w:szCs w:val="20"/>
                <w:color w:val="auto"/>
              </w:rPr>
            </w:pPr>
            <w:r>
              <w:rPr>
                <w:rFonts w:ascii="Courier New" w:cs="Courier New" w:eastAsia="Courier New" w:hAnsi="Courier New"/>
                <w:sz w:val="13"/>
                <w:szCs w:val="13"/>
                <w:color w:val="auto"/>
                <w:w w:val="71"/>
              </w:rPr>
              <w:t>---------------------------------------------------------</w:t>
            </w:r>
          </w:p>
        </w:tc>
        <w:tc>
          <w:tcPr>
            <w:tcW w:w="2800" w:type="dxa"/>
            <w:vAlign w:val="bottom"/>
          </w:tcPr>
          <w:p>
            <w:pPr>
              <w:spacing w:after="0"/>
              <w:rPr>
                <w:sz w:val="17"/>
                <w:szCs w:val="17"/>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7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w:t>
            </w:r>
          </w:p>
        </w:tc>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800" w:type="dxa"/>
            <w:vAlign w:val="bottom"/>
          </w:tcPr>
          <w:p>
            <w:pPr>
              <w:spacing w:after="0"/>
              <w:rPr>
                <w:sz w:val="17"/>
                <w:szCs w:val="17"/>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680" w:type="dxa"/>
            <w:vAlign w:val="bottom"/>
            <w:gridSpan w:val="2"/>
          </w:tcPr>
          <w:p>
            <w:pPr>
              <w:ind w:left="480"/>
              <w:spacing w:after="0"/>
              <w:rPr>
                <w:sz w:val="20"/>
                <w:szCs w:val="20"/>
                <w:color w:val="auto"/>
              </w:rPr>
            </w:pPr>
            <w:r>
              <w:rPr>
                <w:rFonts w:ascii="Courier New" w:cs="Courier New" w:eastAsia="Courier New" w:hAnsi="Courier New"/>
                <w:sz w:val="13"/>
                <w:szCs w:val="13"/>
                <w:color w:val="auto"/>
                <w:w w:val="71"/>
              </w:rPr>
              <w:t>---------------------------------------------------------</w:t>
            </w:r>
          </w:p>
        </w:tc>
        <w:tc>
          <w:tcPr>
            <w:tcW w:w="280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7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80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63,886,621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9. Aggregate Amount Beneficially Owned by Each Reporting Person</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63,886,621 shares are deemed to be</w:t>
      </w:r>
    </w:p>
    <w:p>
      <w:pPr>
        <w:ind w:left="3480"/>
        <w:spacing w:after="0" w:line="238" w:lineRule="auto"/>
        <w:rPr>
          <w:sz w:val="20"/>
          <w:szCs w:val="20"/>
          <w:color w:val="auto"/>
        </w:rPr>
      </w:pPr>
      <w:r>
        <w:rPr>
          <w:rFonts w:ascii="Courier New" w:cs="Courier New" w:eastAsia="Courier New" w:hAnsi="Courier New"/>
          <w:sz w:val="18"/>
          <w:szCs w:val="18"/>
          <w:color w:val="auto"/>
        </w:rPr>
        <w:t>beneficially owned by Glenn R. Carlson, a</w:t>
      </w:r>
    </w:p>
    <w:p>
      <w:pPr>
        <w:ind w:left="3480"/>
        <w:spacing w:after="0"/>
        <w:tabs>
          <w:tab w:leader="none" w:pos="8000" w:val="left"/>
        </w:tabs>
        <w:rPr>
          <w:sz w:val="20"/>
          <w:szCs w:val="20"/>
          <w:color w:val="auto"/>
        </w:rPr>
      </w:pPr>
      <w:r>
        <w:rPr>
          <w:rFonts w:ascii="Courier New" w:cs="Courier New" w:eastAsia="Courier New" w:hAnsi="Courier New"/>
          <w:sz w:val="18"/>
          <w:szCs w:val="18"/>
          <w:color w:val="auto"/>
        </w:rPr>
        <w:t>control person of the investment adviser.</w:t>
      </w:r>
      <w:r>
        <w:rPr>
          <w:sz w:val="20"/>
          <w:szCs w:val="20"/>
          <w:color w:val="auto"/>
        </w:rPr>
        <w:tab/>
      </w:r>
      <w:r>
        <w:rPr>
          <w:rFonts w:ascii="Courier New" w:cs="Courier New" w:eastAsia="Courier New" w:hAnsi="Courier New"/>
          <w:sz w:val="16"/>
          <w:szCs w:val="16"/>
          <w:color w:val="auto"/>
        </w:rPr>
        <w:t>Mr.</w:t>
      </w:r>
    </w:p>
    <w:p>
      <w:pPr>
        <w:ind w:left="3480"/>
        <w:spacing w:after="0" w:line="237" w:lineRule="auto"/>
        <w:rPr>
          <w:sz w:val="20"/>
          <w:szCs w:val="20"/>
          <w:color w:val="auto"/>
        </w:rPr>
      </w:pPr>
      <w:r>
        <w:rPr>
          <w:rFonts w:ascii="Courier New" w:cs="Courier New" w:eastAsia="Courier New" w:hAnsi="Courier New"/>
          <w:sz w:val="18"/>
          <w:szCs w:val="18"/>
          <w:color w:val="auto"/>
        </w:rPr>
        <w:t>Carlson disclaims any direct ownership of the</w:t>
      </w:r>
    </w:p>
    <w:p>
      <w:pPr>
        <w:ind w:left="3480"/>
        <w:spacing w:after="0" w:line="238" w:lineRule="auto"/>
        <w:rPr>
          <w:sz w:val="20"/>
          <w:szCs w:val="20"/>
          <w:color w:val="auto"/>
        </w:rPr>
      </w:pPr>
      <w:r>
        <w:rPr>
          <w:rFonts w:ascii="Courier New" w:cs="Courier New" w:eastAsia="Courier New" w:hAnsi="Courier New"/>
          <w:sz w:val="18"/>
          <w:szCs w:val="18"/>
          <w:color w:val="auto"/>
        </w:rPr>
        <w:t>shares reported in this Schedule 13G, except</w:t>
      </w:r>
    </w:p>
    <w:p>
      <w:pPr>
        <w:ind w:left="3480"/>
        <w:spacing w:after="0"/>
        <w:rPr>
          <w:sz w:val="20"/>
          <w:szCs w:val="20"/>
          <w:color w:val="auto"/>
        </w:rPr>
      </w:pPr>
      <w:r>
        <w:rPr>
          <w:rFonts w:ascii="Courier New" w:cs="Courier New" w:eastAsia="Courier New" w:hAnsi="Courier New"/>
          <w:sz w:val="18"/>
          <w:szCs w:val="18"/>
          <w:color w:val="auto"/>
        </w:rPr>
        <w:t>for an amount that is substantially less than</w:t>
      </w:r>
    </w:p>
    <w:p>
      <w:pPr>
        <w:ind w:left="3480"/>
        <w:spacing w:after="0" w:line="237" w:lineRule="auto"/>
        <w:rPr>
          <w:sz w:val="20"/>
          <w:szCs w:val="20"/>
          <w:color w:val="auto"/>
        </w:rPr>
      </w:pPr>
      <w:r>
        <w:rPr>
          <w:rFonts w:ascii="Courier New" w:cs="Courier New" w:eastAsia="Courier New" w:hAnsi="Courier New"/>
          <w:sz w:val="18"/>
          <w:szCs w:val="18"/>
          <w:color w:val="auto"/>
        </w:rPr>
        <w:t>one per cent of the number of shares reported</w:t>
      </w:r>
    </w:p>
    <w:p>
      <w:pPr>
        <w:ind w:left="3480"/>
        <w:spacing w:after="0"/>
        <w:rPr>
          <w:sz w:val="20"/>
          <w:szCs w:val="20"/>
          <w:color w:val="auto"/>
        </w:rPr>
      </w:pPr>
      <w:r>
        <w:rPr>
          <w:rFonts w:ascii="Courier New" w:cs="Courier New" w:eastAsia="Courier New" w:hAnsi="Courier New"/>
          <w:sz w:val="18"/>
          <w:szCs w:val="18"/>
          <w:color w:val="auto"/>
        </w:rPr>
        <w:t>herein.</w:t>
      </w:r>
    </w:p>
    <w:p>
      <w:pPr>
        <w:spacing w:after="0" w:line="206" w:lineRule="exact"/>
        <w:rPr>
          <w:sz w:val="20"/>
          <w:szCs w:val="20"/>
          <w:color w:val="auto"/>
        </w:rPr>
      </w:pPr>
    </w:p>
    <w:p>
      <w:pPr>
        <w:ind w:left="1480" w:right="1999" w:hanging="419"/>
        <w:spacing w:after="0" w:line="235" w:lineRule="auto"/>
        <w:tabs>
          <w:tab w:leader="none" w:pos="14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 [_]</w:t>
      </w:r>
    </w:p>
    <w:p>
      <w:pPr>
        <w:spacing w:after="0" w:line="203"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11. Percent of Class Represented by Amount in Row (9)</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480" w:right="2519" w:hanging="419"/>
        <w:spacing w:after="0" w:line="235" w:lineRule="auto"/>
        <w:tabs>
          <w:tab w:leader="none" w:pos="1460" w:val="left"/>
        </w:tabs>
        <w:rPr>
          <w:sz w:val="20"/>
          <w:szCs w:val="20"/>
          <w:color w:val="auto"/>
        </w:rPr>
      </w:pPr>
      <w:r>
        <w:rPr>
          <w:rFonts w:ascii="Courier New" w:cs="Courier New" w:eastAsia="Courier New" w:hAnsi="Courier New"/>
          <w:sz w:val="18"/>
          <w:szCs w:val="18"/>
          <w:color w:val="auto"/>
        </w:rPr>
        <w:t>12.</w:t>
        <w:tab/>
        <w:t>Type of Reporting Person (See Instructions) IN, OO (Control Person)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20" w:right="1440" w:bottom="1440" w:gutter="0" w:footer="0" w:header="0"/>
        </w:sectPr>
      </w:pPr>
    </w:p>
    <w:bookmarkStart w:id="6" w:name="page7"/>
    <w:bookmarkEnd w:id="6"/>
    <w:p>
      <w:pPr>
        <w:ind w:left="7180"/>
        <w:spacing w:after="0"/>
        <w:rPr>
          <w:sz w:val="20"/>
          <w:szCs w:val="20"/>
          <w:color w:val="auto"/>
        </w:rPr>
      </w:pPr>
      <w:r>
        <w:rPr>
          <w:rFonts w:ascii="Courier New" w:cs="Courier New" w:eastAsia="Courier New" w:hAnsi="Courier New"/>
          <w:sz w:val="16"/>
          <w:szCs w:val="16"/>
          <w:color w:val="auto"/>
        </w:rPr>
        <w:t>Page 7 of 12</w:t>
      </w:r>
    </w:p>
    <w:p>
      <w:pPr>
        <w:spacing w:after="0" w:line="200" w:lineRule="exact"/>
        <w:rPr>
          <w:sz w:val="20"/>
          <w:szCs w:val="20"/>
          <w:color w:val="auto"/>
        </w:rPr>
      </w:pPr>
    </w:p>
    <w:p>
      <w:pPr>
        <w:spacing w:after="0" w:line="221" w:lineRule="exact"/>
        <w:rPr>
          <w:sz w:val="20"/>
          <w:szCs w:val="20"/>
          <w:color w:val="auto"/>
        </w:rPr>
      </w:pPr>
    </w:p>
    <w:p>
      <w:pPr>
        <w:spacing w:after="0"/>
        <w:tabs>
          <w:tab w:leader="none" w:pos="220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84" w:lineRule="exact"/>
        <w:rPr>
          <w:sz w:val="20"/>
          <w:szCs w:val="20"/>
          <w:color w:val="auto"/>
        </w:rPr>
      </w:pPr>
    </w:p>
    <w:p>
      <w:pPr>
        <w:ind w:left="1480" w:right="2419" w:hanging="319"/>
        <w:spacing w:after="0" w:line="235" w:lineRule="auto"/>
        <w:tabs>
          <w:tab w:leader="none" w:pos="1460" w:val="left"/>
        </w:tabs>
        <w:rPr>
          <w:sz w:val="20"/>
          <w:szCs w:val="20"/>
          <w:color w:val="auto"/>
        </w:rPr>
      </w:pPr>
      <w:r>
        <w:rPr>
          <w:rFonts w:ascii="Courier New" w:cs="Courier New" w:eastAsia="Courier New" w:hAnsi="Courier New"/>
          <w:sz w:val="18"/>
          <w:szCs w:val="18"/>
          <w:color w:val="auto"/>
        </w:rPr>
        <w:t>1.</w:t>
        <w:tab/>
        <w:t>Names of Reporting Persons. Jeffrey A. Busby I.R.S. Identification Nos. of above persons (entities only).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480" w:right="3159" w:hanging="319"/>
        <w:spacing w:after="0" w:line="235" w:lineRule="auto"/>
        <w:tabs>
          <w:tab w:leader="none" w:pos="1460" w:val="left"/>
        </w:tabs>
        <w:rPr>
          <w:sz w:val="20"/>
          <w:szCs w:val="20"/>
          <w:color w:val="auto"/>
        </w:rPr>
      </w:pPr>
      <w:r>
        <w:rPr>
          <w:rFonts w:ascii="Courier New" w:cs="Courier New" w:eastAsia="Courier New" w:hAnsi="Courier New"/>
          <w:sz w:val="18"/>
          <w:szCs w:val="18"/>
          <w:color w:val="auto"/>
        </w:rPr>
        <w:t>2.</w:t>
        <w:tab/>
        <w:t>Check the Appropriate Box if a Member of a Group (See Instructions)</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(a)[_]</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(b)[_]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480" w:hanging="313"/>
        <w:spacing w:after="0"/>
        <w:tabs>
          <w:tab w:leader="none" w:pos="14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480" w:hanging="313"/>
        <w:spacing w:after="0" w:line="238" w:lineRule="auto"/>
        <w:tabs>
          <w:tab w:leader="none" w:pos="14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780" w:type="dxa"/>
            <w:vAlign w:val="bottom"/>
          </w:tcPr>
          <w:p>
            <w:pPr>
              <w:ind w:left="480"/>
              <w:spacing w:after="0"/>
              <w:rPr>
                <w:sz w:val="20"/>
                <w:szCs w:val="20"/>
                <w:color w:val="auto"/>
              </w:rPr>
            </w:pPr>
            <w:r>
              <w:rPr>
                <w:rFonts w:ascii="Courier New" w:cs="Courier New" w:eastAsia="Courier New" w:hAnsi="Courier New"/>
                <w:sz w:val="18"/>
                <w:szCs w:val="18"/>
                <w:color w:val="auto"/>
              </w:rPr>
              <w:t>5.</w:t>
            </w:r>
          </w:p>
        </w:tc>
        <w:tc>
          <w:tcPr>
            <w:tcW w:w="290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c>
          <w:tcPr>
            <w:tcW w:w="2800" w:type="dxa"/>
            <w:vAlign w:val="bottom"/>
          </w:tcPr>
          <w:p>
            <w:pPr>
              <w:spacing w:after="0"/>
              <w:rPr>
                <w:sz w:val="17"/>
                <w:szCs w:val="17"/>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48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7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w:t>
            </w:r>
          </w:p>
        </w:tc>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80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50,925,672</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3680" w:type="dxa"/>
            <w:vAlign w:val="bottom"/>
            <w:gridSpan w:val="2"/>
          </w:tcPr>
          <w:p>
            <w:pPr>
              <w:ind w:left="480"/>
              <w:spacing w:after="0"/>
              <w:rPr>
                <w:sz w:val="20"/>
                <w:szCs w:val="20"/>
                <w:color w:val="auto"/>
              </w:rPr>
            </w:pPr>
            <w:r>
              <w:rPr>
                <w:rFonts w:ascii="Courier New" w:cs="Courier New" w:eastAsia="Courier New" w:hAnsi="Courier New"/>
                <w:sz w:val="13"/>
                <w:szCs w:val="13"/>
                <w:color w:val="auto"/>
                <w:w w:val="71"/>
              </w:rPr>
              <w:t>---------------------------------------------------------</w:t>
            </w:r>
          </w:p>
        </w:tc>
        <w:tc>
          <w:tcPr>
            <w:tcW w:w="2800" w:type="dxa"/>
            <w:vAlign w:val="bottom"/>
          </w:tcPr>
          <w:p>
            <w:pPr>
              <w:spacing w:after="0"/>
              <w:rPr>
                <w:sz w:val="17"/>
                <w:szCs w:val="17"/>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7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w:t>
            </w:r>
          </w:p>
        </w:tc>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800" w:type="dxa"/>
            <w:vAlign w:val="bottom"/>
          </w:tcPr>
          <w:p>
            <w:pPr>
              <w:spacing w:after="0"/>
              <w:rPr>
                <w:sz w:val="17"/>
                <w:szCs w:val="17"/>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680" w:type="dxa"/>
            <w:vAlign w:val="bottom"/>
            <w:gridSpan w:val="2"/>
          </w:tcPr>
          <w:p>
            <w:pPr>
              <w:ind w:left="480"/>
              <w:spacing w:after="0"/>
              <w:rPr>
                <w:sz w:val="20"/>
                <w:szCs w:val="20"/>
                <w:color w:val="auto"/>
              </w:rPr>
            </w:pPr>
            <w:r>
              <w:rPr>
                <w:rFonts w:ascii="Courier New" w:cs="Courier New" w:eastAsia="Courier New" w:hAnsi="Courier New"/>
                <w:sz w:val="13"/>
                <w:szCs w:val="13"/>
                <w:color w:val="auto"/>
                <w:w w:val="71"/>
              </w:rPr>
              <w:t>---------------------------------------------------------</w:t>
            </w:r>
          </w:p>
        </w:tc>
        <w:tc>
          <w:tcPr>
            <w:tcW w:w="280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7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80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63,886,621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9. Aggregate Amount Beneficially Owned by Each Reporting Person</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63,886,621 shares are deemed to be</w:t>
      </w:r>
    </w:p>
    <w:p>
      <w:pPr>
        <w:ind w:left="3700"/>
        <w:spacing w:after="0" w:line="238" w:lineRule="auto"/>
        <w:rPr>
          <w:sz w:val="20"/>
          <w:szCs w:val="20"/>
          <w:color w:val="auto"/>
        </w:rPr>
      </w:pPr>
      <w:r>
        <w:rPr>
          <w:rFonts w:ascii="Courier New" w:cs="Courier New" w:eastAsia="Courier New" w:hAnsi="Courier New"/>
          <w:sz w:val="18"/>
          <w:szCs w:val="18"/>
          <w:color w:val="auto"/>
        </w:rPr>
        <w:t>beneficially owned by Jeffrey A. Busby, a</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control person of the investment adviser. Mr.</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Busby disclaims any direct ownership of the</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shares reported in this Schedule 13G, except</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for an amount that is substantially less than</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one per cent of the number of shares reported</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herein.</w:t>
      </w:r>
    </w:p>
    <w:p>
      <w:pPr>
        <w:spacing w:after="0" w:line="207" w:lineRule="exact"/>
        <w:rPr>
          <w:sz w:val="20"/>
          <w:szCs w:val="20"/>
          <w:color w:val="auto"/>
        </w:rPr>
      </w:pPr>
    </w:p>
    <w:p>
      <w:pPr>
        <w:ind w:left="1480" w:right="1999" w:hanging="419"/>
        <w:spacing w:after="0" w:line="235" w:lineRule="auto"/>
        <w:tabs>
          <w:tab w:leader="none" w:pos="14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 [_]</w:t>
      </w:r>
    </w:p>
    <w:p>
      <w:pPr>
        <w:spacing w:after="0" w:line="203"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11. Percent of Class Represented by Amount in Row (9)</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480" w:right="2519" w:hanging="419"/>
        <w:spacing w:after="0" w:line="235" w:lineRule="auto"/>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IN, OO (Control Person)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20" w:right="1440" w:bottom="1440" w:gutter="0" w:footer="0" w:header="0"/>
        </w:sectPr>
      </w:pPr>
    </w:p>
    <w:bookmarkStart w:id="7" w:name="page8"/>
    <w:bookmarkEnd w:id="7"/>
    <w:p>
      <w:pPr>
        <w:jc w:val="right"/>
        <w:ind w:right="1779"/>
        <w:spacing w:after="0"/>
        <w:rPr>
          <w:sz w:val="20"/>
          <w:szCs w:val="20"/>
          <w:color w:val="auto"/>
        </w:rPr>
      </w:pPr>
      <w:r>
        <w:rPr>
          <w:rFonts w:ascii="Courier New" w:cs="Courier New" w:eastAsia="Courier New" w:hAnsi="Courier New"/>
          <w:sz w:val="18"/>
          <w:szCs w:val="18"/>
          <w:color w:val="auto"/>
        </w:rPr>
        <w:t>Page 8 of 12</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8000 South Federal Way, P.O. Box 6, Boise, ID 83707-0006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900" w:hanging="417"/>
        <w:spacing w:after="0"/>
        <w:tabs>
          <w:tab w:leader="none" w:pos="19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Brandes Investment Partners, L.P.</w:t>
      </w:r>
    </w:p>
    <w:p>
      <w:pPr>
        <w:spacing w:after="0" w:line="201" w:lineRule="exact"/>
        <w:rPr>
          <w:rFonts w:ascii="Courier New" w:cs="Courier New" w:eastAsia="Courier New" w:hAnsi="Courier New"/>
          <w:sz w:val="18"/>
          <w:szCs w:val="18"/>
          <w:color w:val="auto"/>
        </w:rPr>
      </w:pPr>
    </w:p>
    <w:p>
      <w:pPr>
        <w:ind w:left="1900" w:hanging="523"/>
        <w:spacing w:after="0"/>
        <w:tabs>
          <w:tab w:leader="none" w:pos="19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Brandes Investment Partners, Inc.</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Brandes Worldwide Holdings, L.P.</w:t>
      </w:r>
    </w:p>
    <w:p>
      <w:pPr>
        <w:spacing w:after="0" w:line="201" w:lineRule="exact"/>
        <w:rPr>
          <w:rFonts w:ascii="Courier New" w:cs="Courier New" w:eastAsia="Courier New" w:hAnsi="Courier New"/>
          <w:sz w:val="18"/>
          <w:szCs w:val="18"/>
          <w:color w:val="auto"/>
        </w:rPr>
      </w:pPr>
    </w:p>
    <w:p>
      <w:pPr>
        <w:ind w:left="1900" w:hanging="523"/>
        <w:spacing w:after="0"/>
        <w:tabs>
          <w:tab w:leader="none" w:pos="19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Charles H. Brandes</w:t>
      </w:r>
    </w:p>
    <w:p>
      <w:pPr>
        <w:spacing w:after="0" w:line="201" w:lineRule="exact"/>
        <w:rPr>
          <w:rFonts w:ascii="Courier New" w:cs="Courier New" w:eastAsia="Courier New" w:hAnsi="Courier New"/>
          <w:sz w:val="18"/>
          <w:szCs w:val="18"/>
          <w:color w:val="auto"/>
        </w:rPr>
      </w:pPr>
    </w:p>
    <w:p>
      <w:pPr>
        <w:ind w:left="1900" w:hanging="417"/>
        <w:spacing w:after="0"/>
        <w:tabs>
          <w:tab w:leader="none" w:pos="19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Glenn R. Carlson</w:t>
      </w:r>
    </w:p>
    <w:p>
      <w:pPr>
        <w:spacing w:after="0" w:line="201" w:lineRule="exact"/>
        <w:rPr>
          <w:rFonts w:ascii="Courier New" w:cs="Courier New" w:eastAsia="Courier New" w:hAnsi="Courier New"/>
          <w:sz w:val="18"/>
          <w:szCs w:val="18"/>
          <w:color w:val="auto"/>
        </w:rPr>
      </w:pPr>
    </w:p>
    <w:p>
      <w:pPr>
        <w:ind w:left="1900" w:hanging="523"/>
        <w:spacing w:after="0"/>
        <w:tabs>
          <w:tab w:leader="none" w:pos="19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Jeffrey A. Busby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1900" w:hanging="417"/>
        <w:spacing w:after="0"/>
        <w:tabs>
          <w:tab w:leader="none" w:pos="19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1" w:lineRule="exact"/>
        <w:rPr>
          <w:rFonts w:ascii="Courier New" w:cs="Courier New" w:eastAsia="Courier New" w:hAnsi="Courier New"/>
          <w:sz w:val="18"/>
          <w:szCs w:val="18"/>
          <w:color w:val="auto"/>
        </w:rPr>
      </w:pPr>
    </w:p>
    <w:p>
      <w:pPr>
        <w:ind w:left="1900" w:hanging="523"/>
        <w:spacing w:after="0"/>
        <w:tabs>
          <w:tab w:leader="none" w:pos="19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1" w:lineRule="exact"/>
        <w:rPr>
          <w:rFonts w:ascii="Courier New" w:cs="Courier New" w:eastAsia="Courier New" w:hAnsi="Courier New"/>
          <w:sz w:val="18"/>
          <w:szCs w:val="18"/>
          <w:color w:val="auto"/>
        </w:rPr>
      </w:pPr>
    </w:p>
    <w:p>
      <w:pPr>
        <w:ind w:left="1900" w:hanging="523"/>
        <w:spacing w:after="0"/>
        <w:tabs>
          <w:tab w:leader="none" w:pos="19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6" w:lineRule="exact"/>
        <w:rPr>
          <w:rFonts w:ascii="Courier New" w:cs="Courier New" w:eastAsia="Courier New" w:hAnsi="Courier New"/>
          <w:sz w:val="18"/>
          <w:szCs w:val="18"/>
          <w:color w:val="auto"/>
        </w:rPr>
      </w:pPr>
    </w:p>
    <w:p>
      <w:pPr>
        <w:jc w:val="both"/>
        <w:ind w:left="1480" w:right="2739" w:firstLine="3"/>
        <w:spacing w:after="0" w:line="558" w:lineRule="auto"/>
        <w:tabs>
          <w:tab w:leader="none" w:pos="190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11988 El Camino Real, Suite 500, San Diego, CA 92130 (vi)11988 El Camino Real, Suite 500, San Diego, CA 92130</w:t>
      </w:r>
    </w:p>
    <w:p>
      <w:pPr>
        <w:spacing w:after="0" w:line="367"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900" w:hanging="417"/>
        <w:spacing w:after="0"/>
        <w:tabs>
          <w:tab w:leader="none" w:pos="19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201" w:lineRule="exact"/>
        <w:rPr>
          <w:rFonts w:ascii="Courier New" w:cs="Courier New" w:eastAsia="Courier New" w:hAnsi="Courier New"/>
          <w:sz w:val="18"/>
          <w:szCs w:val="18"/>
          <w:color w:val="auto"/>
        </w:rPr>
      </w:pPr>
    </w:p>
    <w:p>
      <w:pPr>
        <w:ind w:left="1900" w:hanging="523"/>
        <w:spacing w:after="0"/>
        <w:tabs>
          <w:tab w:leader="none" w:pos="19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California</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201" w:lineRule="exact"/>
        <w:rPr>
          <w:rFonts w:ascii="Courier New" w:cs="Courier New" w:eastAsia="Courier New" w:hAnsi="Courier New"/>
          <w:sz w:val="18"/>
          <w:szCs w:val="18"/>
          <w:color w:val="auto"/>
        </w:rPr>
      </w:pPr>
    </w:p>
    <w:p>
      <w:pPr>
        <w:ind w:left="1900" w:hanging="523"/>
        <w:spacing w:after="0"/>
        <w:tabs>
          <w:tab w:leader="none" w:pos="19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w:t>
      </w:r>
    </w:p>
    <w:p>
      <w:pPr>
        <w:spacing w:after="0" w:line="201" w:lineRule="exact"/>
        <w:rPr>
          <w:rFonts w:ascii="Courier New" w:cs="Courier New" w:eastAsia="Courier New" w:hAnsi="Courier New"/>
          <w:sz w:val="18"/>
          <w:szCs w:val="18"/>
          <w:color w:val="auto"/>
        </w:rPr>
      </w:pPr>
    </w:p>
    <w:p>
      <w:pPr>
        <w:ind w:left="1900" w:hanging="417"/>
        <w:spacing w:after="0"/>
        <w:tabs>
          <w:tab w:leader="none" w:pos="19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w:t>
      </w:r>
    </w:p>
    <w:p>
      <w:pPr>
        <w:spacing w:after="0" w:line="201" w:lineRule="exact"/>
        <w:rPr>
          <w:rFonts w:ascii="Courier New" w:cs="Courier New" w:eastAsia="Courier New" w:hAnsi="Courier New"/>
          <w:sz w:val="18"/>
          <w:szCs w:val="18"/>
          <w:color w:val="auto"/>
        </w:rPr>
      </w:pPr>
    </w:p>
    <w:p>
      <w:pPr>
        <w:ind w:left="1900" w:hanging="523"/>
        <w:spacing w:after="0"/>
        <w:tabs>
          <w:tab w:leader="none" w:pos="19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w:t>
      </w:r>
    </w:p>
    <w:p>
      <w:pPr>
        <w:sectPr>
          <w:pgSz w:w="11900" w:h="16838" w:orient="portrait"/>
          <w:cols w:equalWidth="0" w:num="1">
            <w:col w:w="10219"/>
          </w:cols>
          <w:pgMar w:left="240" w:top="514" w:right="1440" w:bottom="1440" w:gutter="0" w:footer="0" w:header="0"/>
        </w:sectPr>
      </w:pPr>
    </w:p>
    <w:bookmarkStart w:id="8" w:name="page9"/>
    <w:bookmarkEnd w:id="8"/>
    <w:p>
      <w:pPr>
        <w:jc w:val="right"/>
        <w:ind w:right="1779"/>
        <w:spacing w:after="0"/>
        <w:rPr>
          <w:sz w:val="20"/>
          <w:szCs w:val="20"/>
          <w:color w:val="auto"/>
        </w:rPr>
      </w:pPr>
      <w:r>
        <w:rPr>
          <w:rFonts w:ascii="Courier New" w:cs="Courier New" w:eastAsia="Courier New" w:hAnsi="Courier New"/>
          <w:sz w:val="18"/>
          <w:szCs w:val="18"/>
          <w:color w:val="auto"/>
        </w:rPr>
        <w:t>Page 9 of 12</w:t>
      </w:r>
    </w:p>
    <w:p>
      <w:pPr>
        <w:spacing w:after="0" w:line="200" w:lineRule="exact"/>
        <w:rPr>
          <w:sz w:val="20"/>
          <w:szCs w:val="20"/>
          <w:color w:val="auto"/>
        </w:rPr>
      </w:pPr>
    </w:p>
    <w:p>
      <w:pPr>
        <w:spacing w:after="0" w:line="20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Item</w:t>
      </w:r>
      <w:r>
        <w:rPr>
          <w:sz w:val="20"/>
          <w:szCs w:val="20"/>
          <w:color w:val="auto"/>
        </w:rPr>
        <w:tab/>
      </w:r>
      <w:r>
        <w:rPr>
          <w:rFonts w:ascii="Courier New" w:cs="Courier New" w:eastAsia="Courier New" w:hAnsi="Courier New"/>
          <w:sz w:val="16"/>
          <w:szCs w:val="16"/>
          <w:color w:val="auto"/>
        </w:rPr>
        <w:t>2(d) Title of Class Securities: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Common</w:t>
      </w:r>
    </w:p>
    <w:p>
      <w:pPr>
        <w:spacing w:after="0" w:line="200" w:lineRule="exact"/>
        <w:rPr>
          <w:sz w:val="20"/>
          <w:szCs w:val="20"/>
          <w:color w:val="auto"/>
        </w:rPr>
      </w:pPr>
    </w:p>
    <w:p>
      <w:pPr>
        <w:spacing w:after="0" w:line="20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Item</w:t>
      </w:r>
      <w:r>
        <w:rPr>
          <w:sz w:val="20"/>
          <w:szCs w:val="20"/>
          <w:color w:val="auto"/>
        </w:rPr>
        <w:tab/>
      </w:r>
      <w:r>
        <w:rPr>
          <w:rFonts w:ascii="Courier New" w:cs="Courier New" w:eastAsia="Courier New" w:hAnsi="Courier New"/>
          <w:sz w:val="16"/>
          <w:szCs w:val="16"/>
          <w:color w:val="auto"/>
        </w:rPr>
        <w:t>2(e) CUSIP Number:</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595112103</w:t>
      </w:r>
    </w:p>
    <w:p>
      <w:pPr>
        <w:spacing w:after="0" w:line="200" w:lineRule="exact"/>
        <w:rPr>
          <w:sz w:val="20"/>
          <w:szCs w:val="20"/>
          <w:color w:val="auto"/>
        </w:rPr>
      </w:pPr>
    </w:p>
    <w:p>
      <w:pPr>
        <w:spacing w:after="0" w:line="20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Item</w:t>
      </w:r>
      <w:r>
        <w:rPr>
          <w:sz w:val="20"/>
          <w:szCs w:val="20"/>
          <w:color w:val="auto"/>
        </w:rPr>
        <w:tab/>
      </w:r>
      <w:r>
        <w:rPr>
          <w:rFonts w:ascii="Courier New" w:cs="Courier New" w:eastAsia="Courier New" w:hAnsi="Courier New"/>
          <w:sz w:val="16"/>
          <w:szCs w:val="16"/>
          <w:color w:val="auto"/>
        </w:rPr>
        <w:t>3. If this statement is filed pursuant to ss.ss. 240.13d-1(b), or</w:t>
      </w:r>
    </w:p>
    <w:p>
      <w:pPr>
        <w:ind w:left="96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2320" w:right="2099" w:hanging="1048"/>
        <w:spacing w:after="0" w:line="235" w:lineRule="auto"/>
        <w:tabs>
          <w:tab w:leader="none" w:pos="189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 78o).</w:t>
      </w:r>
    </w:p>
    <w:p>
      <w:pPr>
        <w:spacing w:after="0" w:line="208" w:lineRule="exact"/>
        <w:rPr>
          <w:rFonts w:ascii="Courier New" w:cs="Courier New" w:eastAsia="Courier New" w:hAnsi="Courier New"/>
          <w:sz w:val="18"/>
          <w:szCs w:val="18"/>
          <w:color w:val="auto"/>
        </w:rPr>
      </w:pPr>
    </w:p>
    <w:p>
      <w:pPr>
        <w:ind w:left="2320" w:right="1999" w:hanging="1048"/>
        <w:spacing w:after="0" w:line="235" w:lineRule="auto"/>
        <w:tabs>
          <w:tab w:leader="none" w:pos="189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 (15 U.S.C. 78c).</w:t>
      </w:r>
    </w:p>
    <w:p>
      <w:pPr>
        <w:spacing w:after="0" w:line="208" w:lineRule="exact"/>
        <w:rPr>
          <w:rFonts w:ascii="Courier New" w:cs="Courier New" w:eastAsia="Courier New" w:hAnsi="Courier New"/>
          <w:sz w:val="18"/>
          <w:szCs w:val="18"/>
          <w:color w:val="auto"/>
        </w:rPr>
      </w:pPr>
    </w:p>
    <w:p>
      <w:pPr>
        <w:ind w:left="2320" w:right="2099" w:hanging="1048"/>
        <w:spacing w:after="0" w:line="235" w:lineRule="auto"/>
        <w:tabs>
          <w:tab w:leader="none" w:pos="189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320" w:right="2419" w:hanging="1048"/>
        <w:spacing w:after="0" w:line="235" w:lineRule="auto"/>
        <w:tabs>
          <w:tab w:leader="none" w:pos="189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(15 U.S.C. 80a-8).</w:t>
      </w:r>
    </w:p>
    <w:p>
      <w:pPr>
        <w:spacing w:after="0" w:line="202"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investment adviser in accordance with ss.</w:t>
      </w:r>
    </w:p>
    <w:p>
      <w:pPr>
        <w:ind w:left="232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320" w:right="1999" w:hanging="1048"/>
        <w:spacing w:after="0" w:line="235" w:lineRule="auto"/>
        <w:tabs>
          <w:tab w:leader="none" w:pos="189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ss. 240.13d-1(b)(ii)(F).</w:t>
      </w:r>
    </w:p>
    <w:p>
      <w:pPr>
        <w:spacing w:after="0" w:line="208" w:lineRule="exact"/>
        <w:rPr>
          <w:rFonts w:ascii="Courier New" w:cs="Courier New" w:eastAsia="Courier New" w:hAnsi="Courier New"/>
          <w:sz w:val="18"/>
          <w:szCs w:val="18"/>
          <w:color w:val="auto"/>
        </w:rPr>
      </w:pPr>
    </w:p>
    <w:p>
      <w:pPr>
        <w:ind w:left="2320" w:right="1999" w:hanging="1048"/>
        <w:spacing w:after="0" w:line="235" w:lineRule="auto"/>
        <w:tabs>
          <w:tab w:leader="none" w:pos="189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ss. 240.13d-1(b)(1)(ii)(G).</w:t>
      </w:r>
    </w:p>
    <w:p>
      <w:pPr>
        <w:spacing w:after="0" w:line="208" w:lineRule="exact"/>
        <w:rPr>
          <w:rFonts w:ascii="Courier New" w:cs="Courier New" w:eastAsia="Courier New" w:hAnsi="Courier New"/>
          <w:sz w:val="18"/>
          <w:szCs w:val="18"/>
          <w:color w:val="auto"/>
        </w:rPr>
      </w:pPr>
    </w:p>
    <w:p>
      <w:pPr>
        <w:ind w:left="2320" w:right="2099" w:hanging="1048"/>
        <w:spacing w:after="0" w:line="235" w:lineRule="auto"/>
        <w:tabs>
          <w:tab w:leader="none" w:pos="189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320" w:right="1999" w:hanging="1048"/>
        <w:spacing w:after="0" w:line="236" w:lineRule="auto"/>
        <w:tabs>
          <w:tab w:leader="none" w:pos="189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Group, in accordance with ss. 240.13d-1(b)(1)(ii)(J).</w:t>
      </w:r>
    </w:p>
    <w:p>
      <w:pPr>
        <w:spacing w:after="0" w:line="207" w:lineRule="exact"/>
        <w:rPr>
          <w:sz w:val="20"/>
          <w:szCs w:val="20"/>
          <w:color w:val="auto"/>
        </w:rPr>
      </w:pPr>
    </w:p>
    <w:p>
      <w:pPr>
        <w:ind w:left="1480" w:right="1779"/>
        <w:spacing w:after="0" w:line="237" w:lineRule="auto"/>
        <w:rPr>
          <w:sz w:val="20"/>
          <w:szCs w:val="20"/>
          <w:color w:val="auto"/>
        </w:rPr>
      </w:pPr>
      <w:r>
        <w:rPr>
          <w:rFonts w:ascii="Courier New" w:cs="Courier New" w:eastAsia="Courier New" w:hAnsi="Courier New"/>
          <w:sz w:val="18"/>
          <w:szCs w:val="18"/>
          <w:color w:val="auto"/>
        </w:rPr>
        <w:t>This statement is filed by Brandes Investment Partners, L.P., an investment adviser registered under the Investment Advisers Act of 1940, its control persons and its holding company. (See, also, Exhibit A.)</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480"/>
        <w:spacing w:after="0"/>
        <w:tabs>
          <w:tab w:leader="none" w:pos="7260" w:val="left"/>
        </w:tabs>
        <w:rPr>
          <w:sz w:val="20"/>
          <w:szCs w:val="20"/>
          <w:color w:val="auto"/>
        </w:rPr>
      </w:pPr>
      <w:r>
        <w:rPr>
          <w:rFonts w:ascii="Courier New" w:cs="Courier New" w:eastAsia="Courier New" w:hAnsi="Courier New"/>
          <w:sz w:val="18"/>
          <w:szCs w:val="18"/>
          <w:color w:val="auto"/>
        </w:rPr>
        <w:t>(a) Amount Beneficially Owned:</w:t>
      </w:r>
      <w:r>
        <w:rPr>
          <w:sz w:val="20"/>
          <w:szCs w:val="20"/>
          <w:color w:val="auto"/>
        </w:rPr>
        <w:tab/>
      </w:r>
      <w:r>
        <w:rPr>
          <w:rFonts w:ascii="Courier New" w:cs="Courier New" w:eastAsia="Courier New" w:hAnsi="Courier New"/>
          <w:sz w:val="16"/>
          <w:szCs w:val="16"/>
          <w:color w:val="auto"/>
        </w:rPr>
        <w:t>63,886,621</w:t>
      </w:r>
    </w:p>
    <w:p>
      <w:pPr>
        <w:ind w:left="7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right"/>
        <w:ind w:right="1779"/>
        <w:spacing w:after="0"/>
        <w:tabs>
          <w:tab w:leader="none" w:pos="520" w:val="left"/>
        </w:tabs>
        <w:rPr>
          <w:sz w:val="20"/>
          <w:szCs w:val="20"/>
          <w:color w:val="auto"/>
        </w:rPr>
      </w:pPr>
      <w:r>
        <w:rPr>
          <w:rFonts w:ascii="Courier New" w:cs="Courier New" w:eastAsia="Courier New" w:hAnsi="Courier New"/>
          <w:sz w:val="18"/>
          <w:szCs w:val="18"/>
          <w:color w:val="auto"/>
        </w:rPr>
        <w:t>(b) Percent of Class:</w:t>
      </w:r>
      <w:r>
        <w:rPr>
          <w:sz w:val="20"/>
          <w:szCs w:val="20"/>
          <w:color w:val="auto"/>
        </w:rPr>
        <w:tab/>
      </w:r>
      <w:r>
        <w:rPr>
          <w:rFonts w:ascii="Courier New" w:cs="Courier New" w:eastAsia="Courier New" w:hAnsi="Courier New"/>
          <w:sz w:val="18"/>
          <w:szCs w:val="18"/>
          <w:color w:val="auto"/>
        </w:rPr>
        <w:t>10.4%</w:t>
      </w:r>
    </w:p>
    <w:p>
      <w:pPr>
        <w:ind w:left="7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 Number of shares as to which the joint filers have:</w:t>
      </w:r>
    </w:p>
    <w:p>
      <w:pPr>
        <w:spacing w:after="0" w:line="201" w:lineRule="exact"/>
        <w:rPr>
          <w:sz w:val="20"/>
          <w:szCs w:val="20"/>
          <w:color w:val="auto"/>
        </w:rPr>
      </w:pPr>
    </w:p>
    <w:p>
      <w:pPr>
        <w:ind w:left="1900"/>
        <w:spacing w:after="0"/>
        <w:tabs>
          <w:tab w:leader="none" w:pos="2520" w:val="left"/>
          <w:tab w:leader="none" w:pos="820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sole power to vote or to direct the vote:</w:t>
      </w:r>
      <w:r>
        <w:rPr>
          <w:sz w:val="20"/>
          <w:szCs w:val="20"/>
          <w:color w:val="auto"/>
        </w:rPr>
        <w:tab/>
      </w:r>
      <w:r>
        <w:rPr>
          <w:rFonts w:ascii="Courier New" w:cs="Courier New" w:eastAsia="Courier New" w:hAnsi="Courier New"/>
          <w:sz w:val="18"/>
          <w:szCs w:val="18"/>
          <w:color w:val="auto"/>
        </w:rPr>
        <w:t>0</w:t>
      </w:r>
    </w:p>
    <w:p>
      <w:pPr>
        <w:ind w:left="7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900"/>
        <w:spacing w:after="0"/>
        <w:tabs>
          <w:tab w:leader="none" w:pos="252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power to vote or to direct the vote:</w:t>
      </w:r>
    </w:p>
    <w:p>
      <w:pPr>
        <w:ind w:left="7280"/>
        <w:spacing w:after="0" w:line="238" w:lineRule="auto"/>
        <w:rPr>
          <w:sz w:val="20"/>
          <w:szCs w:val="20"/>
          <w:color w:val="auto"/>
        </w:rPr>
      </w:pPr>
      <w:r>
        <w:rPr>
          <w:rFonts w:ascii="Courier New" w:cs="Courier New" w:eastAsia="Courier New" w:hAnsi="Courier New"/>
          <w:sz w:val="18"/>
          <w:szCs w:val="18"/>
          <w:color w:val="auto"/>
        </w:rPr>
        <w:t>50,925,672</w:t>
      </w:r>
    </w:p>
    <w:p>
      <w:pPr>
        <w:ind w:left="7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8220"/>
        <w:spacing w:after="0"/>
        <w:rPr>
          <w:sz w:val="20"/>
          <w:szCs w:val="20"/>
          <w:color w:val="auto"/>
        </w:rPr>
      </w:pPr>
      <w:r>
        <w:rPr>
          <w:rFonts w:ascii="Courier New" w:cs="Courier New" w:eastAsia="Courier New" w:hAnsi="Courier New"/>
          <w:sz w:val="18"/>
          <w:szCs w:val="18"/>
          <w:color w:val="auto"/>
        </w:rPr>
        <w:t>0</w:t>
      </w:r>
    </w:p>
    <w:p>
      <w:pPr>
        <w:ind w:left="72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540" w:hanging="636"/>
        <w:spacing w:after="0"/>
        <w:tabs>
          <w:tab w:leader="none" w:pos="25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pacing w:after="0" w:line="218" w:lineRule="exact"/>
        <w:rPr>
          <w:sz w:val="20"/>
          <w:szCs w:val="20"/>
          <w:color w:val="auto"/>
        </w:rPr>
      </w:pPr>
    </w:p>
    <w:p>
      <w:pPr>
        <w:ind w:left="7280"/>
        <w:spacing w:after="0"/>
        <w:rPr>
          <w:sz w:val="20"/>
          <w:szCs w:val="20"/>
          <w:color w:val="auto"/>
        </w:rPr>
      </w:pPr>
      <w:r>
        <w:rPr>
          <w:rFonts w:ascii="Courier New" w:cs="Courier New" w:eastAsia="Courier New" w:hAnsi="Courier New"/>
          <w:sz w:val="18"/>
          <w:szCs w:val="18"/>
          <w:color w:val="auto"/>
        </w:rPr>
        <w:t>63,886,621</w:t>
      </w:r>
    </w:p>
    <w:p>
      <w:pPr>
        <w:ind w:left="728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514" w:right="1440" w:bottom="0" w:gutter="0" w:footer="0" w:header="0"/>
        </w:sectPr>
      </w:pPr>
    </w:p>
    <w:bookmarkStart w:id="9" w:name="page10"/>
    <w:bookmarkEnd w:id="9"/>
    <w:p>
      <w:pPr>
        <w:ind w:left="7060"/>
        <w:spacing w:after="0"/>
        <w:rPr>
          <w:sz w:val="20"/>
          <w:szCs w:val="20"/>
          <w:color w:val="auto"/>
        </w:rPr>
      </w:pPr>
      <w:r>
        <w:rPr>
          <w:rFonts w:ascii="Courier New" w:cs="Courier New" w:eastAsia="Courier New" w:hAnsi="Courier New"/>
          <w:sz w:val="16"/>
          <w:szCs w:val="16"/>
          <w:color w:val="auto"/>
        </w:rPr>
        <w:t>Page 10 of 12</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Five Percent or Less of a Class.</w:t>
      </w:r>
    </w:p>
    <w:p>
      <w:pPr>
        <w:spacing w:after="0" w:line="200" w:lineRule="exact"/>
        <w:rPr>
          <w:sz w:val="20"/>
          <w:szCs w:val="20"/>
          <w:color w:val="auto"/>
        </w:rPr>
      </w:pPr>
    </w:p>
    <w:p>
      <w:pPr>
        <w:sectPr>
          <w:pgSz w:w="11900" w:h="16838" w:orient="portrait"/>
          <w:cols w:equalWidth="0" w:num="2">
            <w:col w:w="760" w:space="720"/>
            <w:col w:w="8739"/>
          </w:cols>
          <w:pgMar w:left="240" w:top="723" w:right="1440" w:bottom="1440" w:gutter="0" w:footer="0" w:header="0"/>
          <w:type w:val="continuous"/>
        </w:sectPr>
      </w:pPr>
    </w:p>
    <w:p>
      <w:pPr>
        <w:spacing w:after="0" w:line="24" w:lineRule="exact"/>
        <w:rPr>
          <w:sz w:val="20"/>
          <w:szCs w:val="20"/>
          <w:color w:val="auto"/>
        </w:rPr>
      </w:pPr>
    </w:p>
    <w:p>
      <w:pPr>
        <w:ind w:left="1480" w:right="17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securities, check the following [_]. N/A</w:t>
      </w:r>
    </w:p>
    <w:p>
      <w:pPr>
        <w:sectPr>
          <w:pgSz w:w="11900" w:h="16838" w:orient="portrait"/>
          <w:cols w:equalWidth="0" w:num="1">
            <w:col w:w="10219"/>
          </w:cols>
          <w:pgMar w:left="240" w:top="72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More than Five Percent on Behalf of Another Person.</w:t>
      </w:r>
    </w:p>
    <w:p>
      <w:pPr>
        <w:spacing w:after="0" w:line="200" w:lineRule="exact"/>
        <w:rPr>
          <w:sz w:val="20"/>
          <w:szCs w:val="20"/>
          <w:color w:val="auto"/>
        </w:rPr>
      </w:pPr>
    </w:p>
    <w:p>
      <w:pPr>
        <w:sectPr>
          <w:pgSz w:w="11900" w:h="16838" w:orient="portrait"/>
          <w:cols w:equalWidth="0" w:num="2">
            <w:col w:w="760" w:space="720"/>
            <w:col w:w="8739"/>
          </w:cols>
          <w:pgMar w:left="240" w:top="723" w:right="1440" w:bottom="1440" w:gutter="0" w:footer="0" w:header="0"/>
          <w:type w:val="continuous"/>
        </w:sectPr>
      </w:pPr>
    </w:p>
    <w:p>
      <w:pPr>
        <w:spacing w:after="0" w:line="2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N/A</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70" w:lineRule="exact"/>
        <w:rPr>
          <w:sz w:val="20"/>
          <w:szCs w:val="20"/>
          <w:color w:val="auto"/>
        </w:rPr>
      </w:pPr>
    </w:p>
    <w:p>
      <w:pPr>
        <w:sectPr>
          <w:pgSz w:w="11900" w:h="16838" w:orient="portrait"/>
          <w:cols w:equalWidth="0" w:num="2">
            <w:col w:w="760" w:space="720"/>
            <w:col w:w="8739"/>
          </w:cols>
          <w:pgMar w:left="240" w:top="723" w:right="1440" w:bottom="1440" w:gutter="0" w:footer="0" w:header="0"/>
          <w:type w:val="continuous"/>
        </w:sectPr>
      </w:pPr>
    </w:p>
    <w:p>
      <w:pPr>
        <w:ind w:left="4120"/>
        <w:spacing w:after="0"/>
        <w:rPr>
          <w:sz w:val="20"/>
          <w:szCs w:val="20"/>
          <w:color w:val="auto"/>
        </w:rPr>
      </w:pPr>
      <w:r>
        <w:rPr>
          <w:rFonts w:ascii="Courier New" w:cs="Courier New" w:eastAsia="Courier New" w:hAnsi="Courier New"/>
          <w:sz w:val="16"/>
          <w:szCs w:val="16"/>
          <w:color w:val="auto"/>
        </w:rPr>
        <w:t>N/A</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760" w:space="720"/>
            <w:col w:w="8739"/>
          </w:cols>
          <w:pgMar w:left="240" w:top="723" w:right="1440" w:bottom="1440" w:gutter="0" w:footer="0" w:header="0"/>
          <w:type w:val="continuous"/>
        </w:sectPr>
      </w:pPr>
    </w:p>
    <w:p>
      <w:pPr>
        <w:spacing w:after="0" w:line="2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See Exhibit A</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760" w:space="720"/>
            <w:col w:w="8739"/>
          </w:cols>
          <w:pgMar w:left="240" w:top="723" w:right="1440" w:bottom="1440" w:gutter="0" w:footer="0" w:header="0"/>
          <w:type w:val="continuous"/>
        </w:sectPr>
      </w:pPr>
    </w:p>
    <w:p>
      <w:pPr>
        <w:spacing w:after="0" w:line="2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N/A</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200" w:lineRule="exact"/>
        <w:rPr>
          <w:sz w:val="20"/>
          <w:szCs w:val="20"/>
          <w:color w:val="auto"/>
        </w:rPr>
      </w:pPr>
    </w:p>
    <w:p>
      <w:pPr>
        <w:sectPr>
          <w:pgSz w:w="11900" w:h="16838" w:orient="portrait"/>
          <w:cols w:equalWidth="0" w:num="2">
            <w:col w:w="860" w:space="620"/>
            <w:col w:w="8739"/>
          </w:cols>
          <w:pgMar w:left="240" w:top="723" w:right="1440" w:bottom="1440" w:gutter="0" w:footer="0" w:header="0"/>
          <w:type w:val="continuous"/>
        </w:sectPr>
      </w:pPr>
    </w:p>
    <w:p>
      <w:pPr>
        <w:spacing w:after="0" w:line="24" w:lineRule="exact"/>
        <w:rPr>
          <w:sz w:val="20"/>
          <w:szCs w:val="20"/>
          <w:color w:val="auto"/>
        </w:rPr>
      </w:pPr>
    </w:p>
    <w:p>
      <w:pPr>
        <w:ind w:left="1900" w:right="1779" w:hanging="419"/>
        <w:spacing w:after="0" w:line="235" w:lineRule="auto"/>
        <w:tabs>
          <w:tab w:leader="none" w:pos="1880" w:val="left"/>
        </w:tabs>
        <w:rPr>
          <w:sz w:val="20"/>
          <w:szCs w:val="20"/>
          <w:color w:val="auto"/>
        </w:rPr>
      </w:pPr>
      <w:r>
        <w:rPr>
          <w:rFonts w:ascii="Courier New" w:cs="Courier New" w:eastAsia="Courier New" w:hAnsi="Courier New"/>
          <w:sz w:val="18"/>
          <w:szCs w:val="18"/>
          <w:color w:val="auto"/>
        </w:rPr>
        <w:t>(a)</w:t>
        <w:tab/>
        <w:t>The following certification shall be included if the statement is filed pursuant to ss. 240.13d-1(b):</w:t>
      </w:r>
    </w:p>
    <w:p>
      <w:pPr>
        <w:spacing w:after="0" w:line="208" w:lineRule="exact"/>
        <w:rPr>
          <w:sz w:val="20"/>
          <w:szCs w:val="20"/>
          <w:color w:val="auto"/>
        </w:rPr>
      </w:pPr>
    </w:p>
    <w:p>
      <w:pPr>
        <w:ind w:left="1900" w:right="20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723" w:right="1440" w:bottom="1440" w:gutter="0" w:footer="0" w:header="0"/>
          <w:type w:val="continuous"/>
        </w:sectPr>
      </w:pPr>
    </w:p>
    <w:bookmarkStart w:id="10" w:name="page11"/>
    <w:bookmarkEnd w:id="10"/>
    <w:p>
      <w:pPr>
        <w:jc w:val="right"/>
        <w:ind w:right="1779"/>
        <w:spacing w:after="0"/>
        <w:rPr>
          <w:sz w:val="20"/>
          <w:szCs w:val="20"/>
          <w:color w:val="auto"/>
        </w:rPr>
      </w:pPr>
      <w:r>
        <w:rPr>
          <w:rFonts w:ascii="Courier New" w:cs="Courier New" w:eastAsia="Courier New" w:hAnsi="Courier New"/>
          <w:sz w:val="18"/>
          <w:szCs w:val="18"/>
          <w:color w:val="auto"/>
        </w:rPr>
        <w:t>Page 11 of 12</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10, 2005</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BRANDES INVESTMENT PARTNERS, L.P.</w:t>
      </w:r>
    </w:p>
    <w:p>
      <w:pPr>
        <w:spacing w:after="0" w:line="216" w:lineRule="exact"/>
        <w:rPr>
          <w:sz w:val="20"/>
          <w:szCs w:val="20"/>
          <w:color w:val="auto"/>
        </w:rPr>
      </w:pPr>
    </w:p>
    <w:p>
      <w:pPr>
        <w:sectPr>
          <w:pgSz w:w="11900" w:h="16838" w:orient="portrait"/>
          <w:cols w:equalWidth="0" w:num="3">
            <w:col w:w="540" w:space="200"/>
            <w:col w:w="2340" w:space="720"/>
            <w:col w:w="6419"/>
          </w:cols>
          <w:pgMar w:left="240" w:top="717" w:right="1440" w:bottom="1440" w:gutter="0" w:footer="0" w:header="0"/>
          <w:type w:val="continuous"/>
        </w:sect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/s/ Adelaide Pund</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Adelaide Pund as Attorney-In-Fact for</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Charles H. Brandes, President of</w:t>
      </w:r>
    </w:p>
    <w:p>
      <w:pPr>
        <w:ind w:left="4220"/>
        <w:spacing w:after="0" w:line="238" w:lineRule="auto"/>
        <w:rPr>
          <w:sz w:val="20"/>
          <w:szCs w:val="20"/>
          <w:color w:val="auto"/>
        </w:rPr>
      </w:pPr>
      <w:r>
        <w:rPr>
          <w:rFonts w:ascii="Courier New" w:cs="Courier New" w:eastAsia="Courier New" w:hAnsi="Courier New"/>
          <w:sz w:val="18"/>
          <w:szCs w:val="18"/>
          <w:color w:val="auto"/>
        </w:rPr>
        <w:t>Brandes Investment Partners, Inc.,</w:t>
      </w:r>
    </w:p>
    <w:p>
      <w:pPr>
        <w:ind w:left="4220"/>
        <w:spacing w:after="0"/>
        <w:rPr>
          <w:sz w:val="20"/>
          <w:szCs w:val="20"/>
          <w:color w:val="auto"/>
        </w:rPr>
      </w:pPr>
      <w:r>
        <w:rPr>
          <w:rFonts w:ascii="Courier New" w:cs="Courier New" w:eastAsia="Courier New" w:hAnsi="Courier New"/>
          <w:sz w:val="18"/>
          <w:szCs w:val="18"/>
          <w:color w:val="auto"/>
        </w:rPr>
        <w:t>its General Partner</w:t>
      </w:r>
    </w:p>
    <w:p>
      <w:pPr>
        <w:spacing w:after="0" w:line="200" w:lineRule="exact"/>
        <w:rPr>
          <w:sz w:val="20"/>
          <w:szCs w:val="20"/>
          <w:color w:val="auto"/>
        </w:rPr>
      </w:pP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BRANDES INVESTMENT PARTNERS, INC.</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/s/ Adelaide Pund</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Adelaide Pund as Attorney-In-Fact for</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Charles H. Brandes, President</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BRANDES WORLDWIDE HOLDINGS, L.P.</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/s/ Adelaide Pund</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Adelaide Pund as Attorney-In-Fact for</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Charles H. Brandes, President of</w:t>
      </w:r>
    </w:p>
    <w:p>
      <w:pPr>
        <w:ind w:left="4220"/>
        <w:spacing w:after="0" w:line="238" w:lineRule="auto"/>
        <w:rPr>
          <w:sz w:val="20"/>
          <w:szCs w:val="20"/>
          <w:color w:val="auto"/>
        </w:rPr>
      </w:pPr>
      <w:r>
        <w:rPr>
          <w:rFonts w:ascii="Courier New" w:cs="Courier New" w:eastAsia="Courier New" w:hAnsi="Courier New"/>
          <w:sz w:val="18"/>
          <w:szCs w:val="18"/>
          <w:color w:val="auto"/>
        </w:rPr>
        <w:t>Brandes Investment Partners, Inc.,</w:t>
      </w:r>
    </w:p>
    <w:p>
      <w:pPr>
        <w:ind w:left="4220"/>
        <w:spacing w:after="0"/>
        <w:rPr>
          <w:sz w:val="20"/>
          <w:szCs w:val="20"/>
          <w:color w:val="auto"/>
        </w:rPr>
      </w:pPr>
      <w:r>
        <w:rPr>
          <w:rFonts w:ascii="Courier New" w:cs="Courier New" w:eastAsia="Courier New" w:hAnsi="Courier New"/>
          <w:sz w:val="18"/>
          <w:szCs w:val="18"/>
          <w:color w:val="auto"/>
        </w:rPr>
        <w:t>its General Partner</w:t>
      </w:r>
    </w:p>
    <w:p>
      <w:pPr>
        <w:spacing w:after="0" w:line="200" w:lineRule="exact"/>
        <w:rPr>
          <w:sz w:val="20"/>
          <w:szCs w:val="20"/>
          <w:color w:val="auto"/>
        </w:rPr>
      </w:pP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/s/ Adelaide Pund</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Adelaide Pund as Attorney-In-Fact for</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Charles H. Brandes, Control Person</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/s/ Adelaide Pund</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Adelaide Pund as Attorney-In-Fact for</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Glenn R. Carlson, Control Person</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/s/ Adelaide Pund</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Adelaide Pund as Attorney-In-Fact for</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Jeffrey A. Busby, Control Person</w:t>
      </w:r>
    </w:p>
    <w:p>
      <w:pPr>
        <w:sectPr>
          <w:pgSz w:w="11900" w:h="16838" w:orient="portrait"/>
          <w:cols w:equalWidth="0" w:num="1">
            <w:col w:w="10219"/>
          </w:cols>
          <w:pgMar w:left="240" w:top="717" w:right="1440" w:bottom="1440" w:gutter="0" w:footer="0" w:header="0"/>
          <w:type w:val="continuous"/>
        </w:sectPr>
      </w:pPr>
    </w:p>
    <w:bookmarkStart w:id="11" w:name="page12"/>
    <w:bookmarkEnd w:id="11"/>
    <w:p>
      <w:pPr>
        <w:jc w:val="right"/>
        <w:ind w:right="1779"/>
        <w:spacing w:after="0"/>
        <w:rPr>
          <w:sz w:val="20"/>
          <w:szCs w:val="20"/>
          <w:color w:val="auto"/>
        </w:rPr>
      </w:pPr>
      <w:r>
        <w:rPr>
          <w:rFonts w:ascii="Courier New" w:cs="Courier New" w:eastAsia="Courier New" w:hAnsi="Courier New"/>
          <w:sz w:val="18"/>
          <w:szCs w:val="18"/>
          <w:color w:val="auto"/>
        </w:rPr>
        <w:t>Page 12 of 12</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Exhibit A is incorporated by reference to Exhibit A of Schedule 13G for 3Com Corporation filed February 14, 2005.</w:t>
      </w:r>
    </w:p>
    <w:p>
      <w:pPr>
        <w:spacing w:after="0" w:line="208"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Exhibit B is incorporated by reference to Exhibit B of Schedule 13G for 3Com Corporation filed February 14, 2005.</w:t>
      </w:r>
    </w:p>
    <w:p>
      <w:pPr>
        <w:spacing w:after="0" w:line="208"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Exhibit C is incorporated by reference to Exhibit C of Schedule 13G for 3Com Corporation filed February 14, 2005.</w:t>
      </w:r>
    </w:p>
    <w:p>
      <w:pPr>
        <w:spacing w:after="0" w:line="208"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Exhibit D is incorporated by reference to Exhibit D of Schedule 13G for 3Com Corporation filed February 14, 2005.</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lvl w:ilvl="1">
      <w:lvlJc w:val="left"/>
      <w:lvlText w:val="[%2]"/>
      <w:numFmt w:val="upperLetter"/>
      <w:start w:val="24"/>
    </w:lvl>
  </w:abstractNum>
  <w:abstractNum w:abstractNumId="1">
    <w:nsid w:val="109CF92E"/>
    <w:multiLevelType w:val="hybridMultilevel"/>
    <w:lvl w:ilvl="0">
      <w:lvlJc w:val="left"/>
      <w:lvlText w:val="%1."/>
      <w:numFmt w:val="decimal"/>
      <w:start w:val="1"/>
    </w:lvl>
  </w:abstractNum>
  <w:abstractNum w:abstractNumId="2">
    <w:nsid w:val="DED7263"/>
    <w:multiLevelType w:val="hybridMultilevel"/>
    <w:lvl w:ilvl="0">
      <w:lvlJc w:val="left"/>
      <w:lvlText w:val="%1."/>
      <w:numFmt w:val="decimal"/>
      <w:start w:val="2"/>
    </w:lvl>
  </w:abstractNum>
  <w:abstractNum w:abstractNumId="3">
    <w:nsid w:val="7FDCC233"/>
    <w:multiLevelType w:val="hybridMultilevel"/>
    <w:lvl w:ilvl="0">
      <w:lvlJc w:val="left"/>
      <w:lvlText w:val="%1."/>
      <w:numFmt w:val="decimal"/>
      <w:start w:val="3"/>
    </w:lvl>
  </w:abstractNum>
  <w:abstractNum w:abstractNumId="4">
    <w:nsid w:val="1BEFD79F"/>
    <w:multiLevelType w:val="hybridMultilevel"/>
    <w:lvl w:ilvl="0">
      <w:lvlJc w:val="left"/>
      <w:lvlText w:val="%1."/>
      <w:numFmt w:val="decimal"/>
      <w:start w:val="9"/>
    </w:lvl>
  </w:abstractNum>
  <w:abstractNum w:abstractNumId="5">
    <w:nsid w:val="41A7C4C9"/>
    <w:multiLevelType w:val="hybridMultilevel"/>
    <w:lvl w:ilvl="0">
      <w:lvlJc w:val="left"/>
      <w:lvlText w:val="%1."/>
      <w:numFmt w:val="decimal"/>
      <w:start w:val="12"/>
    </w:lvl>
  </w:abstractNum>
  <w:abstractNum w:abstractNumId="6">
    <w:nsid w:val="6B68079A"/>
    <w:multiLevelType w:val="hybridMultilevel"/>
    <w:lvl w:ilvl="0">
      <w:lvlJc w:val="left"/>
      <w:lvlText w:val="%1."/>
      <w:numFmt w:val="decimal"/>
      <w:start w:val="3"/>
    </w:lvl>
  </w:abstractNum>
  <w:abstractNum w:abstractNumId="7">
    <w:nsid w:val="4E6AFB66"/>
    <w:multiLevelType w:val="hybridMultilevel"/>
    <w:lvl w:ilvl="0">
      <w:lvlJc w:val="left"/>
      <w:lvlText w:val="%1."/>
      <w:numFmt w:val="decimal"/>
      <w:start w:val="10"/>
    </w:lvl>
  </w:abstractNum>
  <w:abstractNum w:abstractNumId="8">
    <w:nsid w:val="25E45D32"/>
    <w:multiLevelType w:val="hybridMultilevel"/>
    <w:lvl w:ilvl="0">
      <w:lvlJc w:val="left"/>
      <w:lvlText w:val="%1."/>
      <w:numFmt w:val="decimal"/>
      <w:start w:val="12"/>
    </w:lvl>
  </w:abstractNum>
  <w:abstractNum w:abstractNumId="9">
    <w:nsid w:val="519B500D"/>
    <w:multiLevelType w:val="hybridMultilevel"/>
    <w:lvl w:ilvl="0">
      <w:lvlJc w:val="left"/>
      <w:lvlText w:val="%1."/>
      <w:numFmt w:val="decimal"/>
      <w:start w:val="3"/>
    </w:lvl>
  </w:abstractNum>
  <w:abstractNum w:abstractNumId="10">
    <w:nsid w:val="431BD7B7"/>
    <w:multiLevelType w:val="hybridMultilevel"/>
    <w:lvl w:ilvl="0">
      <w:lvlJc w:val="left"/>
      <w:lvlText w:val="%1."/>
      <w:numFmt w:val="decimal"/>
      <w:start w:val="10"/>
    </w:lvl>
  </w:abstractNum>
  <w:abstractNum w:abstractNumId="11">
    <w:nsid w:val="3F2DBA31"/>
    <w:multiLevelType w:val="hybridMultilevel"/>
    <w:lvl w:ilvl="0">
      <w:lvlJc w:val="left"/>
      <w:lvlText w:val="%1."/>
      <w:numFmt w:val="decimal"/>
      <w:start w:val="3"/>
    </w:lvl>
  </w:abstractNum>
  <w:abstractNum w:abstractNumId="12">
    <w:nsid w:val="7C83E458"/>
    <w:multiLevelType w:val="hybridMultilevel"/>
    <w:lvl w:ilvl="0">
      <w:lvlJc w:val="left"/>
      <w:lvlText w:val="%1."/>
      <w:numFmt w:val="decimal"/>
      <w:start w:val="10"/>
    </w:lvl>
  </w:abstractNum>
  <w:abstractNum w:abstractNumId="13">
    <w:nsid w:val="257130A3"/>
    <w:multiLevelType w:val="hybridMultilevel"/>
    <w:lvl w:ilvl="0">
      <w:lvlJc w:val="left"/>
      <w:lvlText w:val="%1."/>
      <w:numFmt w:val="decimal"/>
      <w:start w:val="2"/>
    </w:lvl>
  </w:abstractNum>
  <w:abstractNum w:abstractNumId="14">
    <w:nsid w:val="62BBD95A"/>
    <w:multiLevelType w:val="hybridMultilevel"/>
    <w:lvl w:ilvl="0">
      <w:lvlJc w:val="left"/>
      <w:lvlText w:val="%1."/>
      <w:numFmt w:val="decimal"/>
      <w:start w:val="3"/>
    </w:lvl>
  </w:abstractNum>
  <w:abstractNum w:abstractNumId="15">
    <w:nsid w:val="436C6125"/>
    <w:multiLevelType w:val="hybridMultilevel"/>
    <w:lvl w:ilvl="0">
      <w:lvlJc w:val="left"/>
      <w:lvlText w:val="%1."/>
      <w:numFmt w:val="decimal"/>
      <w:start w:val="10"/>
    </w:lvl>
  </w:abstractNum>
  <w:abstractNum w:abstractNumId="16">
    <w:nsid w:val="628C895D"/>
    <w:multiLevelType w:val="hybridMultilevel"/>
    <w:lvl w:ilvl="0">
      <w:lvlJc w:val="left"/>
      <w:lvlText w:val="%1."/>
      <w:numFmt w:val="decimal"/>
      <w:start w:val="3"/>
    </w:lvl>
  </w:abstractNum>
  <w:abstractNum w:abstractNumId="17">
    <w:nsid w:val="333AB105"/>
    <w:multiLevelType w:val="hybridMultilevel"/>
    <w:lvl w:ilvl="0">
      <w:lvlJc w:val="left"/>
      <w:lvlText w:val="%1."/>
      <w:numFmt w:val="decimal"/>
      <w:start w:val="10"/>
    </w:lvl>
  </w:abstractNum>
  <w:abstractNum w:abstractNumId="18">
    <w:nsid w:val="721DA317"/>
    <w:multiLevelType w:val="hybridMultilevel"/>
    <w:lvl w:ilvl="0">
      <w:lvlJc w:val="left"/>
      <w:lvlText w:val="%1."/>
      <w:numFmt w:val="decimal"/>
      <w:start w:val="12"/>
    </w:lvl>
  </w:abstractNum>
  <w:abstractNum w:abstractNumId="19">
    <w:nsid w:val="2443A858"/>
    <w:multiLevelType w:val="hybridMultilevel"/>
    <w:lvl w:ilvl="0">
      <w:lvlJc w:val="left"/>
      <w:lvlText w:val="(%1)"/>
      <w:numFmt w:val="lowerRoman"/>
      <w:start w:val="1"/>
    </w:lvl>
  </w:abstractNum>
  <w:abstractNum w:abstractNumId="20">
    <w:nsid w:val="2D1D5AE9"/>
    <w:multiLevelType w:val="hybridMultilevel"/>
    <w:lvl w:ilvl="0">
      <w:lvlJc w:val="left"/>
      <w:lvlText w:val="(%1)"/>
      <w:numFmt w:val="lowerRoman"/>
      <w:start w:val="1"/>
    </w:lvl>
  </w:abstractNum>
  <w:abstractNum w:abstractNumId="21">
    <w:nsid w:val="6763845E"/>
    <w:multiLevelType w:val="hybridMultilevel"/>
    <w:lvl w:ilvl="0">
      <w:lvlJc w:val="left"/>
      <w:lvlText w:val="(%1)"/>
      <w:numFmt w:val="lowerRoman"/>
      <w:start w:val="1"/>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lowerLetter"/>
      <w:start w:val="6"/>
    </w:lvl>
  </w:abstractNum>
  <w:abstractNum w:abstractNumId="24">
    <w:nsid w:val="79838CB2"/>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2019-12-13T13:18:02Z</dcterms:created>
  <dcterms:modified xsi:type="dcterms:W3CDTF">2019-12-13T13:18:02Z</dcterms:modified>
</cp:coreProperties>
</file>