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MEHROTRA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930,409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338,694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Grantor retained annuity trusts are for the benefit of the Reporting Person and his family.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2654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2025-01-17T16:50:09Z</dcterms:created>
  <dcterms:modified xsi:type="dcterms:W3CDTF">2025-01-17T16:50:09Z</dcterms:modified>
</cp:coreProperties>
</file>