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 SECURITIES AND EXCHANGE COMMISSION</w:t>
      </w:r>
    </w:p>
    <w:p>
      <w:pPr>
        <w:spacing w:after="0" w:line="4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209"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306"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CURRENT REPORT</w:t>
      </w:r>
    </w:p>
    <w:p>
      <w:pPr>
        <w:spacing w:after="0" w:line="200" w:lineRule="exact"/>
        <w:rPr>
          <w:sz w:val="24"/>
          <w:szCs w:val="24"/>
          <w:color w:val="auto"/>
        </w:rPr>
      </w:pPr>
    </w:p>
    <w:p>
      <w:pPr>
        <w:spacing w:after="0" w:line="29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October 23, 2014</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Date of Report (date of earliest event reported)</w:t>
      </w:r>
    </w:p>
    <w:p>
      <w:pPr>
        <w:spacing w:after="0" w:line="21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MICRON TECHNOLOGY, INC.</w:t>
      </w:r>
    </w:p>
    <w:p>
      <w:pPr>
        <w:spacing w:after="0" w:line="40"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00"/>
          </w:cols>
          <w:pgMar w:left="240" w:top="1017" w:right="359" w:bottom="1440" w:gutter="0" w:footer="0" w:header="0"/>
        </w:sectPr>
      </w:pPr>
    </w:p>
    <w:p>
      <w:pPr>
        <w:spacing w:after="0" w:line="232"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1-10658</w:t>
      </w:r>
    </w:p>
    <w:p>
      <w:pPr>
        <w:spacing w:after="0" w:line="27" w:lineRule="exact"/>
        <w:rPr>
          <w:sz w:val="24"/>
          <w:szCs w:val="24"/>
          <w:color w:val="auto"/>
        </w:rPr>
      </w:pPr>
    </w:p>
    <w:p>
      <w:pPr>
        <w:jc w:val="center"/>
        <w:ind w:right="8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400"/>
        <w:spacing w:after="0"/>
        <w:rPr>
          <w:sz w:val="20"/>
          <w:szCs w:val="20"/>
          <w:color w:val="auto"/>
        </w:rPr>
      </w:pPr>
      <w:r>
        <w:rPr>
          <w:rFonts w:ascii="Arial" w:cs="Arial" w:eastAsia="Arial" w:hAnsi="Arial"/>
          <w:sz w:val="18"/>
          <w:szCs w:val="18"/>
          <w:b w:val="1"/>
          <w:bCs w:val="1"/>
          <w:color w:val="auto"/>
        </w:rPr>
        <w:t>75-1618004</w:t>
      </w:r>
    </w:p>
    <w:p>
      <w:pPr>
        <w:spacing w:after="0" w:line="27" w:lineRule="exact"/>
        <w:rPr>
          <w:sz w:val="24"/>
          <w:szCs w:val="24"/>
          <w:color w:val="auto"/>
        </w:rPr>
      </w:pPr>
    </w:p>
    <w:p>
      <w:pPr>
        <w:jc w:val="center"/>
        <w:ind w:right="40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3980" w:space="720"/>
            <w:col w:w="2860" w:space="720"/>
            <w:col w:w="3020"/>
          </w:cols>
          <w:pgMar w:left="240" w:top="1017" w:right="359" w:bottom="1440" w:gutter="0" w:footer="0" w:header="0"/>
          <w:type w:val="continuous"/>
        </w:sectPr>
      </w:pPr>
    </w:p>
    <w:p>
      <w:pPr>
        <w:ind w:left="1300"/>
        <w:spacing w:after="0"/>
        <w:rPr>
          <w:sz w:val="20"/>
          <w:szCs w:val="20"/>
          <w:color w:val="auto"/>
        </w:rPr>
      </w:pPr>
      <w:r>
        <w:rPr>
          <w:rFonts w:ascii="Arial" w:cs="Arial" w:eastAsia="Arial" w:hAnsi="Arial"/>
          <w:sz w:val="17"/>
          <w:szCs w:val="17"/>
          <w:color w:val="auto"/>
        </w:rPr>
        <w:t>incorporation)</w:t>
      </w:r>
    </w:p>
    <w:p>
      <w:pPr>
        <w:sectPr>
          <w:pgSz w:w="11900" w:h="16838" w:orient="portrait"/>
          <w:cols w:equalWidth="0" w:num="1">
            <w:col w:w="11300"/>
          </w:cols>
          <w:pgMar w:left="240" w:top="1017" w:right="359" w:bottom="1440" w:gutter="0" w:footer="0" w:header="0"/>
          <w:type w:val="continuous"/>
        </w:sectPr>
      </w:pPr>
    </w:p>
    <w:p>
      <w:pPr>
        <w:spacing w:after="0" w:line="200" w:lineRule="exact"/>
        <w:rPr>
          <w:sz w:val="24"/>
          <w:szCs w:val="24"/>
          <w:color w:val="auto"/>
        </w:rPr>
      </w:pPr>
    </w:p>
    <w:p>
      <w:pPr>
        <w:spacing w:after="0" w:line="26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8000 South Federal Way</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Boise, Idaho 83716-9632</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(Address of principal executive offices)</w:t>
      </w:r>
    </w:p>
    <w:p>
      <w:pPr>
        <w:spacing w:after="0" w:line="23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(208) 368-4000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3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870585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017" w:right="35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00" w:lineRule="exact"/>
        <w:rPr>
          <w:sz w:val="20"/>
          <w:szCs w:val="20"/>
          <w:color w:val="auto"/>
        </w:rPr>
      </w:pPr>
    </w:p>
    <w:p>
      <w:pPr>
        <w:spacing w:after="0" w:line="299"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On October 23, 2014, the Company issued a press release announcing that it has been notified of an unsolicited “mini-tender” offer by TRC Capital Corporation (“TRC Capital”) to purchase up to four million shares of the Company’s outstanding common stock. The Company does not endorse TRC Capital’s mini-tender offer and recommends that shareholders do not tender their shares.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0420" w:type="dxa"/>
            <w:vAlign w:val="bottom"/>
            <w:gridSpan w:val="2"/>
          </w:tcPr>
          <w:p>
            <w:pPr>
              <w:ind w:left="26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20" w:type="dxa"/>
            <w:vAlign w:val="bottom"/>
            <w:gridSpan w:val="2"/>
          </w:tcPr>
          <w:p>
            <w:pPr>
              <w:ind w:left="260"/>
              <w:spacing w:after="0"/>
              <w:rPr>
                <w:sz w:val="20"/>
                <w:szCs w:val="20"/>
                <w:color w:val="auto"/>
              </w:rPr>
            </w:pPr>
            <w:r>
              <w:rPr>
                <w:rFonts w:ascii="Arial" w:cs="Arial" w:eastAsia="Arial" w:hAnsi="Arial"/>
                <w:sz w:val="18"/>
                <w:szCs w:val="18"/>
                <w:color w:val="auto"/>
              </w:rPr>
              <w:t>(d) Exhibits.</w:t>
            </w:r>
          </w:p>
        </w:tc>
      </w:tr>
      <w:tr>
        <w:trPr>
          <w:trHeight w:val="432"/>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20" w:type="dxa"/>
            <w:vAlign w:val="bottom"/>
            <w:gridSpan w:val="2"/>
          </w:tcPr>
          <w:p>
            <w:pPr>
              <w:ind w:left="260"/>
              <w:spacing w:after="0"/>
              <w:rPr>
                <w:sz w:val="20"/>
                <w:szCs w:val="20"/>
                <w:color w:val="auto"/>
              </w:rPr>
            </w:pPr>
            <w:r>
              <w:rPr>
                <w:rFonts w:ascii="Arial" w:cs="Arial" w:eastAsia="Arial" w:hAnsi="Arial"/>
                <w:sz w:val="18"/>
                <w:szCs w:val="18"/>
                <w:color w:val="auto"/>
              </w:rPr>
              <w:t>The following exhibits are filed herewith:</w:t>
            </w:r>
          </w:p>
        </w:tc>
      </w:tr>
      <w:tr>
        <w:trPr>
          <w:trHeight w:val="682"/>
        </w:trPr>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260" w:type="dxa"/>
            <w:vAlign w:val="bottom"/>
          </w:tcPr>
          <w:p>
            <w:pPr>
              <w:spacing w:after="0"/>
              <w:rPr>
                <w:sz w:val="24"/>
                <w:szCs w:val="24"/>
                <w:color w:val="auto"/>
              </w:rPr>
            </w:pPr>
          </w:p>
        </w:tc>
        <w:tc>
          <w:tcPr>
            <w:tcW w:w="10160" w:type="dxa"/>
            <w:vAlign w:val="bottom"/>
          </w:tcPr>
          <w:p>
            <w:pPr>
              <w:ind w:left="4640"/>
              <w:spacing w:after="0"/>
              <w:rPr>
                <w:sz w:val="20"/>
                <w:szCs w:val="20"/>
                <w:color w:val="auto"/>
              </w:rPr>
            </w:pPr>
            <w:r>
              <w:rPr>
                <w:rFonts w:ascii="Arial" w:cs="Arial" w:eastAsia="Arial" w:hAnsi="Arial"/>
                <w:sz w:val="18"/>
                <w:szCs w:val="18"/>
                <w:b w:val="1"/>
                <w:bCs w:val="1"/>
                <w:color w:val="auto"/>
              </w:rPr>
              <w:t>Description</w:t>
            </w:r>
          </w:p>
        </w:tc>
      </w:tr>
      <w:tr>
        <w:trPr>
          <w:trHeight w:val="230"/>
        </w:trPr>
        <w:tc>
          <w:tcPr>
            <w:tcW w:w="20" w:type="dxa"/>
            <w:vAlign w:val="bottom"/>
          </w:tcPr>
          <w:p>
            <w:pPr>
              <w:spacing w:after="0"/>
              <w:rPr>
                <w:sz w:val="20"/>
                <w:szCs w:val="20"/>
                <w:color w:val="auto"/>
              </w:rPr>
            </w:pPr>
          </w:p>
        </w:tc>
        <w:tc>
          <w:tcPr>
            <w:tcW w:w="98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99.1</w:t>
            </w:r>
          </w:p>
        </w:tc>
        <w:tc>
          <w:tcPr>
            <w:tcW w:w="260" w:type="dxa"/>
            <w:vAlign w:val="bottom"/>
          </w:tcPr>
          <w:p>
            <w:pPr>
              <w:spacing w:after="0"/>
              <w:rPr>
                <w:sz w:val="20"/>
                <w:szCs w:val="20"/>
                <w:color w:val="auto"/>
              </w:rPr>
            </w:pPr>
          </w:p>
        </w:tc>
        <w:tc>
          <w:tcPr>
            <w:tcW w:w="10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 dated October 23, 2014 regarding an unsolicited “mini-tender” offer by TRC Capital Corporation.</w:t>
            </w:r>
          </w:p>
        </w:tc>
      </w:tr>
      <w:tr>
        <w:trPr>
          <w:trHeight w:val="593"/>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20" w:type="dxa"/>
            <w:vAlign w:val="bottom"/>
            <w:gridSpan w:val="2"/>
          </w:tcPr>
          <w:p>
            <w:pPr>
              <w:jc w:val="right"/>
              <w:ind w:right="5570"/>
              <w:spacing w:after="0"/>
              <w:rPr>
                <w:sz w:val="20"/>
                <w:szCs w:val="20"/>
                <w:color w:val="auto"/>
              </w:rPr>
            </w:pPr>
            <w:r>
              <w:rPr>
                <w:rFonts w:ascii="Arial" w:cs="Arial" w:eastAsia="Arial" w:hAnsi="Arial"/>
                <w:sz w:val="18"/>
                <w:szCs w:val="18"/>
                <w:color w:val="auto"/>
              </w:rPr>
              <w:t>1</w:t>
            </w:r>
          </w:p>
        </w:tc>
      </w:tr>
      <w:tr>
        <w:trPr>
          <w:trHeight w:val="118"/>
        </w:trPr>
        <w:tc>
          <w:tcPr>
            <w:tcW w:w="20" w:type="dxa"/>
            <w:vAlign w:val="bottom"/>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1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p>
        </w:tc>
        <w:tc>
          <w:tcPr>
            <w:tcW w:w="6560" w:type="dxa"/>
            <w:vAlign w:val="bottom"/>
            <w:gridSpan w:val="2"/>
          </w:tcPr>
          <w:p>
            <w:pPr>
              <w:ind w:left="2480"/>
              <w:spacing w:after="0"/>
              <w:rPr>
                <w:sz w:val="20"/>
                <w:szCs w:val="20"/>
                <w:color w:val="auto"/>
              </w:rPr>
            </w:pPr>
            <w:r>
              <w:rPr>
                <w:rFonts w:ascii="Arial" w:cs="Arial" w:eastAsia="Arial" w:hAnsi="Arial"/>
                <w:sz w:val="18"/>
                <w:szCs w:val="18"/>
                <w:b w:val="1"/>
                <w:bCs w:val="1"/>
                <w:color w:val="auto"/>
              </w:rPr>
              <w:t>MICRON TECHNOLOGY, INC.</w:t>
            </w:r>
          </w:p>
        </w:tc>
      </w:tr>
      <w:tr>
        <w:trPr>
          <w:trHeight w:val="655"/>
        </w:trPr>
        <w:tc>
          <w:tcPr>
            <w:tcW w:w="4160" w:type="dxa"/>
            <w:vAlign w:val="bottom"/>
          </w:tcPr>
          <w:p>
            <w:pPr>
              <w:spacing w:after="0"/>
              <w:rPr>
                <w:sz w:val="20"/>
                <w:szCs w:val="20"/>
                <w:color w:val="auto"/>
              </w:rPr>
            </w:pPr>
            <w:r>
              <w:rPr>
                <w:rFonts w:ascii="Arial" w:cs="Arial" w:eastAsia="Arial" w:hAnsi="Arial"/>
                <w:sz w:val="18"/>
                <w:szCs w:val="18"/>
                <w:color w:val="auto"/>
              </w:rPr>
              <w:t>Date: October 23, 2014</w:t>
            </w:r>
          </w:p>
        </w:tc>
        <w:tc>
          <w:tcPr>
            <w:tcW w:w="3180" w:type="dxa"/>
            <w:vAlign w:val="bottom"/>
          </w:tcPr>
          <w:p>
            <w:pPr>
              <w:ind w:left="2480"/>
              <w:spacing w:after="0"/>
              <w:rPr>
                <w:sz w:val="20"/>
                <w:szCs w:val="20"/>
                <w:color w:val="auto"/>
              </w:rPr>
            </w:pPr>
            <w:r>
              <w:rPr>
                <w:rFonts w:ascii="Arial" w:cs="Arial" w:eastAsia="Arial" w:hAnsi="Arial"/>
                <w:sz w:val="18"/>
                <w:szCs w:val="18"/>
                <w:color w:val="auto"/>
              </w:rPr>
              <w:t>By:</w:t>
            </w:r>
          </w:p>
        </w:tc>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Ronald C. Foster</w:t>
            </w:r>
          </w:p>
        </w:tc>
      </w:tr>
      <w:tr>
        <w:trPr>
          <w:trHeight w:val="202"/>
        </w:trPr>
        <w:tc>
          <w:tcPr>
            <w:tcW w:w="4160" w:type="dxa"/>
            <w:vAlign w:val="bottom"/>
          </w:tcPr>
          <w:p>
            <w:pPr>
              <w:spacing w:after="0"/>
              <w:rPr>
                <w:sz w:val="17"/>
                <w:szCs w:val="17"/>
                <w:color w:val="auto"/>
              </w:rPr>
            </w:pPr>
          </w:p>
        </w:tc>
        <w:tc>
          <w:tcPr>
            <w:tcW w:w="3180" w:type="dxa"/>
            <w:vAlign w:val="bottom"/>
          </w:tcPr>
          <w:p>
            <w:pPr>
              <w:ind w:left="2480"/>
              <w:spacing w:after="0" w:line="201" w:lineRule="exact"/>
              <w:rPr>
                <w:sz w:val="20"/>
                <w:szCs w:val="20"/>
                <w:color w:val="auto"/>
              </w:rPr>
            </w:pPr>
            <w:r>
              <w:rPr>
                <w:rFonts w:ascii="Arial" w:cs="Arial" w:eastAsia="Arial" w:hAnsi="Arial"/>
                <w:sz w:val="18"/>
                <w:szCs w:val="18"/>
                <w:color w:val="auto"/>
              </w:rPr>
              <w:t>Name:</w:t>
            </w:r>
          </w:p>
        </w:tc>
        <w:tc>
          <w:tcPr>
            <w:tcW w:w="3380" w:type="dxa"/>
            <w:vAlign w:val="bottom"/>
          </w:tcPr>
          <w:p>
            <w:pPr>
              <w:spacing w:after="0" w:line="201" w:lineRule="exact"/>
              <w:rPr>
                <w:sz w:val="20"/>
                <w:szCs w:val="20"/>
                <w:color w:val="auto"/>
              </w:rPr>
            </w:pPr>
            <w:r>
              <w:rPr>
                <w:rFonts w:ascii="Arial" w:cs="Arial" w:eastAsia="Arial" w:hAnsi="Arial"/>
                <w:sz w:val="18"/>
                <w:szCs w:val="18"/>
                <w:color w:val="auto"/>
              </w:rPr>
              <w:t>Ronald C. Foster</w:t>
            </w:r>
          </w:p>
        </w:tc>
      </w:tr>
      <w:tr>
        <w:trPr>
          <w:trHeight w:val="216"/>
        </w:trPr>
        <w:tc>
          <w:tcPr>
            <w:tcW w:w="4160" w:type="dxa"/>
            <w:vAlign w:val="bottom"/>
          </w:tcPr>
          <w:p>
            <w:pPr>
              <w:spacing w:after="0"/>
              <w:rPr>
                <w:sz w:val="18"/>
                <w:szCs w:val="18"/>
                <w:color w:val="auto"/>
              </w:rPr>
            </w:pPr>
          </w:p>
        </w:tc>
        <w:tc>
          <w:tcPr>
            <w:tcW w:w="3180" w:type="dxa"/>
            <w:vAlign w:val="bottom"/>
          </w:tcPr>
          <w:p>
            <w:pPr>
              <w:ind w:left="2480"/>
              <w:spacing w:after="0"/>
              <w:rPr>
                <w:sz w:val="20"/>
                <w:szCs w:val="20"/>
                <w:color w:val="auto"/>
              </w:rPr>
            </w:pPr>
            <w:r>
              <w:rPr>
                <w:rFonts w:ascii="Arial" w:cs="Arial" w:eastAsia="Arial" w:hAnsi="Arial"/>
                <w:sz w:val="18"/>
                <w:szCs w:val="18"/>
                <w:color w:val="auto"/>
              </w:rPr>
              <w:t>Title:</w:t>
            </w:r>
          </w:p>
        </w:tc>
        <w:tc>
          <w:tcPr>
            <w:tcW w:w="3380" w:type="dxa"/>
            <w:vAlign w:val="bottom"/>
          </w:tcPr>
          <w:p>
            <w:pPr>
              <w:spacing w:after="0"/>
              <w:rPr>
                <w:sz w:val="20"/>
                <w:szCs w:val="20"/>
                <w:color w:val="auto"/>
              </w:rPr>
            </w:pPr>
            <w:r>
              <w:rPr>
                <w:rFonts w:ascii="Arial" w:cs="Arial" w:eastAsia="Arial" w:hAnsi="Arial"/>
                <w:sz w:val="18"/>
                <w:szCs w:val="18"/>
                <w:color w:val="auto"/>
              </w:rPr>
              <w:t>Chief Financial Officer and</w:t>
            </w:r>
          </w:p>
        </w:tc>
      </w:tr>
      <w:tr>
        <w:trPr>
          <w:trHeight w:val="230"/>
        </w:trPr>
        <w:tc>
          <w:tcPr>
            <w:tcW w:w="41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Vice President of Finance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0"/>
          </w:cols>
          <w:pgMar w:left="240" w:top="513" w:right="6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160" w:type="dxa"/>
            <w:vAlign w:val="bottom"/>
          </w:tcPr>
          <w:p>
            <w:pPr>
              <w:jc w:val="center"/>
              <w:ind w:right="1170"/>
              <w:spacing w:after="0"/>
              <w:rPr>
                <w:sz w:val="20"/>
                <w:szCs w:val="20"/>
                <w:color w:val="auto"/>
              </w:rPr>
            </w:pPr>
            <w:r>
              <w:rPr>
                <w:rFonts w:ascii="Arial" w:cs="Arial" w:eastAsia="Arial" w:hAnsi="Arial"/>
                <w:sz w:val="18"/>
                <w:szCs w:val="18"/>
                <w:b w:val="1"/>
                <w:bCs w:val="1"/>
                <w:color w:val="auto"/>
              </w:rPr>
              <w:t>INDEX TO EXHIBITS FILED WITH</w:t>
            </w:r>
          </w:p>
        </w:tc>
      </w:tr>
      <w:tr>
        <w:trPr>
          <w:trHeight w:val="459"/>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160" w:type="dxa"/>
            <w:vAlign w:val="bottom"/>
          </w:tcPr>
          <w:p>
            <w:pPr>
              <w:jc w:val="center"/>
              <w:ind w:right="1170"/>
              <w:spacing w:after="0"/>
              <w:rPr>
                <w:sz w:val="20"/>
                <w:szCs w:val="20"/>
                <w:color w:val="auto"/>
              </w:rPr>
            </w:pPr>
            <w:r>
              <w:rPr>
                <w:rFonts w:ascii="Arial" w:cs="Arial" w:eastAsia="Arial" w:hAnsi="Arial"/>
                <w:sz w:val="18"/>
                <w:szCs w:val="18"/>
                <w:b w:val="1"/>
                <w:bCs w:val="1"/>
                <w:color w:val="auto"/>
                <w:w w:val="98"/>
              </w:rPr>
              <w:t>THE CURRENT REPORT ON FORM 8-K DATED OCTOBER 23, 2014</w:t>
            </w:r>
          </w:p>
        </w:tc>
      </w:tr>
      <w:tr>
        <w:trPr>
          <w:trHeight w:val="466"/>
        </w:trPr>
        <w:tc>
          <w:tcPr>
            <w:tcW w:w="10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1"/>
              </w:rPr>
              <w:t>Exhibit No.</w:t>
            </w:r>
          </w:p>
        </w:tc>
        <w:tc>
          <w:tcPr>
            <w:tcW w:w="260" w:type="dxa"/>
            <w:vAlign w:val="bottom"/>
          </w:tcPr>
          <w:p>
            <w:pPr>
              <w:spacing w:after="0"/>
              <w:rPr>
                <w:sz w:val="24"/>
                <w:szCs w:val="24"/>
                <w:color w:val="auto"/>
              </w:rPr>
            </w:pPr>
          </w:p>
        </w:tc>
        <w:tc>
          <w:tcPr>
            <w:tcW w:w="10160" w:type="dxa"/>
            <w:vAlign w:val="bottom"/>
          </w:tcPr>
          <w:p>
            <w:pPr>
              <w:ind w:left="4640"/>
              <w:spacing w:after="0"/>
              <w:rPr>
                <w:sz w:val="20"/>
                <w:szCs w:val="20"/>
                <w:color w:val="auto"/>
              </w:rPr>
            </w:pPr>
            <w:r>
              <w:rPr>
                <w:rFonts w:ascii="Arial" w:cs="Arial" w:eastAsia="Arial" w:hAnsi="Arial"/>
                <w:sz w:val="18"/>
                <w:szCs w:val="18"/>
                <w:b w:val="1"/>
                <w:bCs w:val="1"/>
                <w:color w:val="auto"/>
              </w:rPr>
              <w:t>Description</w:t>
            </w:r>
          </w:p>
        </w:tc>
      </w:tr>
      <w:tr>
        <w:trPr>
          <w:trHeight w:val="230"/>
        </w:trPr>
        <w:tc>
          <w:tcPr>
            <w:tcW w:w="20" w:type="dxa"/>
            <w:vAlign w:val="bottom"/>
          </w:tcPr>
          <w:p>
            <w:pPr>
              <w:spacing w:after="0"/>
              <w:rPr>
                <w:sz w:val="20"/>
                <w:szCs w:val="20"/>
                <w:color w:val="auto"/>
              </w:rPr>
            </w:pPr>
          </w:p>
        </w:tc>
        <w:tc>
          <w:tcPr>
            <w:tcW w:w="98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99.1</w:t>
            </w:r>
          </w:p>
        </w:tc>
        <w:tc>
          <w:tcPr>
            <w:tcW w:w="260" w:type="dxa"/>
            <w:vAlign w:val="bottom"/>
          </w:tcPr>
          <w:p>
            <w:pPr>
              <w:spacing w:after="0"/>
              <w:rPr>
                <w:sz w:val="20"/>
                <w:szCs w:val="20"/>
                <w:color w:val="auto"/>
              </w:rPr>
            </w:pPr>
          </w:p>
        </w:tc>
        <w:tc>
          <w:tcPr>
            <w:tcW w:w="10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 dated October 23, 2014 regarding an unsolicited “mini-tender” offer by TRC Capital Corporation.</w:t>
            </w:r>
          </w:p>
        </w:tc>
      </w:tr>
      <w:tr>
        <w:trPr>
          <w:trHeight w:val="688"/>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20" w:type="dxa"/>
            <w:vAlign w:val="bottom"/>
            <w:gridSpan w:val="2"/>
          </w:tcPr>
          <w:p>
            <w:pPr>
              <w:jc w:val="center"/>
              <w:ind w:right="910"/>
              <w:spacing w:after="0"/>
              <w:rPr>
                <w:sz w:val="20"/>
                <w:szCs w:val="20"/>
                <w:color w:val="auto"/>
              </w:rPr>
            </w:pPr>
            <w:r>
              <w:rPr>
                <w:rFonts w:ascii="Arial" w:cs="Arial" w:eastAsia="Arial" w:hAnsi="Arial"/>
                <w:sz w:val="18"/>
                <w:szCs w:val="18"/>
                <w:color w:val="auto"/>
                <w:w w:val="99"/>
              </w:rPr>
              <w:t>3</w:t>
            </w:r>
          </w:p>
        </w:tc>
      </w:tr>
      <w:tr>
        <w:trPr>
          <w:trHeight w:val="361"/>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160" w:type="dxa"/>
            <w:vAlign w:val="bottom"/>
          </w:tcPr>
          <w:p>
            <w:pPr>
              <w:spacing w:after="0"/>
              <w:rPr>
                <w:sz w:val="24"/>
                <w:szCs w:val="24"/>
                <w:color w:val="auto"/>
              </w:rPr>
            </w:pPr>
          </w:p>
        </w:tc>
      </w:tr>
      <w:tr>
        <w:trPr>
          <w:trHeight w:val="71"/>
        </w:trPr>
        <w:tc>
          <w:tcPr>
            <w:tcW w:w="20" w:type="dxa"/>
            <w:vAlign w:val="bottom"/>
            <w:shd w:val="clear" w:color="auto" w:fill="808080"/>
          </w:tcPr>
          <w:p>
            <w:pPr>
              <w:spacing w:after="0"/>
              <w:rPr>
                <w:sz w:val="6"/>
                <w:szCs w:val="6"/>
                <w:color w:val="auto"/>
              </w:rPr>
            </w:pPr>
          </w:p>
        </w:tc>
        <w:tc>
          <w:tcPr>
            <w:tcW w:w="980" w:type="dxa"/>
            <w:vAlign w:val="bottom"/>
            <w:shd w:val="clear" w:color="auto" w:fill="808080"/>
          </w:tcPr>
          <w:p>
            <w:pPr>
              <w:spacing w:after="0"/>
              <w:rPr>
                <w:sz w:val="6"/>
                <w:szCs w:val="6"/>
                <w:color w:val="auto"/>
              </w:rPr>
            </w:pPr>
          </w:p>
        </w:tc>
        <w:tc>
          <w:tcPr>
            <w:tcW w:w="260" w:type="dxa"/>
            <w:vAlign w:val="bottom"/>
            <w:shd w:val="clear" w:color="auto" w:fill="808080"/>
          </w:tcPr>
          <w:p>
            <w:pPr>
              <w:spacing w:after="0"/>
              <w:rPr>
                <w:sz w:val="6"/>
                <w:szCs w:val="6"/>
                <w:color w:val="auto"/>
              </w:rPr>
            </w:pPr>
          </w:p>
        </w:tc>
        <w:tc>
          <w:tcPr>
            <w:tcW w:w="10160" w:type="dxa"/>
            <w:vAlign w:val="bottom"/>
            <w:shd w:val="clear" w:color="auto" w:fill="808080"/>
          </w:tcPr>
          <w:p>
            <w:pPr>
              <w:spacing w:after="0"/>
              <w:rPr>
                <w:sz w:val="6"/>
                <w:szCs w:val="6"/>
                <w:color w:val="auto"/>
              </w:rPr>
            </w:pPr>
          </w:p>
        </w:tc>
      </w:tr>
    </w:tbl>
    <w:p>
      <w:pPr>
        <w:sectPr>
          <w:pgSz w:w="11900" w:h="16838" w:orient="portrait"/>
          <w:cols w:equalWidth="0" w:num="1">
            <w:col w:w="11420"/>
          </w:cols>
          <w:pgMar w:left="240" w:top="513"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292735</wp:posOffset>
            </wp:positionV>
            <wp:extent cx="72504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38735"/>
                    </a:xfrm>
                    <a:prstGeom prst="rect">
                      <a:avLst/>
                    </a:prstGeom>
                    <a:noFill/>
                  </pic:spPr>
                </pic:pic>
              </a:graphicData>
            </a:graphic>
          </wp:anchor>
        </w:drawing>
        <w:t>EXHIBIT 99.1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Recommends Shareholders Reject TRC Capital’s “Mini-Tender” Offer</w:t>
      </w:r>
    </w:p>
    <w:p>
      <w:pPr>
        <w:spacing w:after="0" w:line="256"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 xml:space="preserve">BOISE, Idaho, Oct. 23, 2014 – Micron Technology, Inc. (Nasdaq: MU) received notice of an unsolicited mini-tender offer by TRC Capital Corporation (“TRC Capital”) to purchase up to 4,000,000 shares of Micron’s common stock, at a price of $27.00 per share. This offering price is approximately 4.59% </w:t>
      </w:r>
      <w:r>
        <w:rPr>
          <w:rFonts w:ascii="Arial" w:cs="Arial" w:eastAsia="Arial" w:hAnsi="Arial"/>
          <w:sz w:val="16"/>
          <w:szCs w:val="16"/>
          <w:b w:val="1"/>
          <w:bCs w:val="1"/>
          <w:color w:val="auto"/>
        </w:rPr>
        <w:t xml:space="preserve">below </w:t>
      </w:r>
      <w:r>
        <w:rPr>
          <w:rFonts w:ascii="Arial" w:cs="Arial" w:eastAsia="Arial" w:hAnsi="Arial"/>
          <w:sz w:val="16"/>
          <w:szCs w:val="16"/>
          <w:color w:val="auto"/>
        </w:rPr>
        <w:t>the closing price per share of Micron common stock on October 16, 2014, the last trading day before the mini-tender offer was commenced.</w:t>
      </w:r>
    </w:p>
    <w:p>
      <w:pPr>
        <w:spacing w:after="0" w:line="174"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Micron does not endorse this unsolicited mini-tender offer and recommends that shareholders reject the offer because the offer price is below the current market price for Micron shares and is subject to numerous conditions. Micron also recommends that any shareholders who have tendered shares to TRC Capital withdraw those shares by providing the written notice described in the offering documentation before the expiration of the offer, which is currently scheduled for 12:01 a.m., New York City time, on November 18, 2014.</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Micron is not associated with TRC Capital, its mini-tender offer or the mini-tender offer documentation.</w:t>
      </w:r>
    </w:p>
    <w:p>
      <w:pPr>
        <w:spacing w:after="0" w:line="25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TRC Capital has made similar unsolicited mini-tender offers for shares of other public companies. Mini-tender offers are designed to seek less than 5% of a company’s outstanding shares, thereby avoiding many investor protections, including the disclosure and procedural requirements applicable to most bids under United States securities laws.</w:t>
      </w:r>
    </w:p>
    <w:p>
      <w:pPr>
        <w:spacing w:after="0" w:line="208"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The U.S. Securities and Exchange Commission (SEC) has previously expressed serious concerns with mini-tender offers and has published investor tips regarding these offers on its website at: http://www.sec.gov/investor/pubs/minitend.htm. The SEC has noted that “some bidders make mini-tender offers at below-market prices, hoping that they will catch investors off guard if the investors do not compare the offer price to the current market price.” Micron also encourages brokers and dealers, as well as other market participants, to review the SEC’s letter regarding broker-dealer mini-tender offer dissemination and disclosures on the SEC’s website at: http://www.sec.gov/divisions/marketreg/minitenders/sia072401.htm.</w:t>
      </w:r>
    </w:p>
    <w:p>
      <w:pPr>
        <w:spacing w:after="0" w:line="196"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Micron urges investors to obtain current market quotations for their shares, consult with their broker or financial advisor and exercise caution with respect to TRC Capital’s offer.</w:t>
      </w:r>
    </w:p>
    <w:p>
      <w:pPr>
        <w:spacing w:after="0" w:line="19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Micron requests that a copy of this news release be included with all distributions of materials relating to TRC Capital’s mini-tender offer related to Micron shares of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Micron</w:t>
      </w:r>
    </w:p>
    <w:p>
      <w:pPr>
        <w:spacing w:after="0" w:line="25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 xml:space="preserve">Micron Technology, Inc., is a global leader in advanced semiconductor systems. Micron’s broad portfolio of high-performance memory technologies— including DRAM, NAND and NOR Flash—is the basis for solid state drives, modules, multichip packages and other system solutions. Backed by more than 35 years of technology leadership, Micron’s memory solutions enable the world’s most innovative computing, consumer, enterprise storage, networking, mobile, embedded and automotive applications. Micron’s common stock is traded on the NASDAQ under the MU symbol. To learn more about Micron Technology, Inc., visit </w:t>
      </w:r>
      <w:r>
        <w:rPr>
          <w:rFonts w:ascii="Arial" w:cs="Arial" w:eastAsia="Arial" w:hAnsi="Arial"/>
          <w:sz w:val="18"/>
          <w:szCs w:val="18"/>
          <w:u w:val="single" w:color="auto"/>
          <w:color w:val="auto"/>
        </w:rPr>
        <w:t>www.micron.com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555625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42" w:right="239" w:bottom="1440" w:gutter="0" w:footer="0" w:header="0"/>
        </w:sectPr>
      </w:pPr>
    </w:p>
    <w:bookmarkStart w:id="5" w:name="page6"/>
    <w:bookmarkEnd w:id="5"/>
    <w:p>
      <w:pPr>
        <w:spacing w:after="0"/>
        <w:tabs>
          <w:tab w:leader="none" w:pos="1360" w:val="left"/>
        </w:tabs>
        <w:rPr>
          <w:sz w:val="20"/>
          <w:szCs w:val="20"/>
          <w:color w:val="auto"/>
        </w:rPr>
      </w:pPr>
      <w:r>
        <w:rPr>
          <w:rFonts w:ascii="Arial" w:cs="Arial" w:eastAsia="Arial" w:hAnsi="Arial"/>
          <w:sz w:val="16"/>
          <w:szCs w:val="16"/>
          <w:color w:val="auto"/>
        </w:rPr>
        <w:t>CONTACT:</w:t>
      </w:r>
      <w:r>
        <w:rPr>
          <w:sz w:val="20"/>
          <w:szCs w:val="20"/>
          <w:color w:val="auto"/>
        </w:rPr>
        <w:tab/>
      </w:r>
      <w:r>
        <w:rPr>
          <w:rFonts w:ascii="Arial" w:cs="Arial" w:eastAsia="Arial" w:hAnsi="Arial"/>
          <w:sz w:val="16"/>
          <w:szCs w:val="16"/>
          <w:color w:val="auto"/>
        </w:rPr>
        <w:t>Kipp A. Bedard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kbedard@micron.com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(208) 368-4465</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Daniel Francisco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Media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dfrancisco@micron.com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(208) 368-5584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450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sectPr>
      <w:pgSz w:w="11900" w:h="16838" w:orient="portrait"/>
      <w:cols w:equalWidth="0" w:num="1">
        <w:col w:w="10219"/>
      </w:cols>
      <w:pgMar w:left="240" w:top="100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2019-12-05T19:14:01Z</dcterms:created>
  <dcterms:modified xsi:type="dcterms:W3CDTF">2019-12-05T19:14:01Z</dcterms:modified>
</cp:coreProperties>
</file>