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ind w:left="264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540" w:right="273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For the quarterly period ended</w:t>
      </w:r>
      <w:r>
        <w:rPr>
          <w:sz w:val="20"/>
          <w:szCs w:val="20"/>
          <w:color w:val="auto"/>
        </w:rPr>
        <w:tab/>
      </w:r>
      <w:r>
        <w:rPr>
          <w:rFonts w:ascii="Courier New" w:cs="Courier New" w:eastAsia="Courier New" w:hAnsi="Courier New"/>
          <w:sz w:val="16"/>
          <w:szCs w:val="16"/>
          <w:color w:val="auto"/>
        </w:rPr>
        <w:t>February 29, 1996</w:t>
      </w:r>
    </w:p>
    <w:p>
      <w:pPr>
        <w:spacing w:after="0" w:line="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ectPr>
          <w:pgSz w:w="11900" w:h="16838" w:orient="portrait"/>
          <w:cols w:equalWidth="0" w:num="1">
            <w:col w:w="10219"/>
          </w:cols>
          <w:pgMar w:left="240" w:top="244"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sectPr>
          <w:pgSz w:w="11900" w:h="16838" w:orient="portrait"/>
          <w:cols w:equalWidth="0" w:num="2">
            <w:col w:w="4660" w:space="720"/>
            <w:col w:w="4839"/>
          </w:cols>
          <w:pgMar w:left="240" w:top="244" w:right="1440" w:bottom="0" w:gutter="0" w:footer="0" w:header="0"/>
          <w:type w:val="continuous"/>
        </w:sect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220"/>
            <w:col w:w="46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1-10658</w:t>
      </w:r>
    </w:p>
    <w:p>
      <w:pPr>
        <w:spacing w:after="0" w:line="21" w:lineRule="exact"/>
        <w:rPr>
          <w:sz w:val="24"/>
          <w:szCs w:val="24"/>
          <w:color w:val="auto"/>
        </w:rPr>
      </w:pPr>
    </w:p>
    <w:p>
      <w:pPr>
        <w:sectPr>
          <w:pgSz w:w="11900" w:h="16838" w:orient="portrait"/>
          <w:cols w:equalWidth="0" w:num="2">
            <w:col w:w="2860" w:space="720"/>
            <w:col w:w="6639"/>
          </w:cols>
          <w:pgMar w:left="240" w:top="244" w:right="1440" w:bottom="0" w:gutter="0" w:footer="0" w:header="0"/>
          <w:type w:val="continuous"/>
        </w:sect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Micron Technology, Inc.</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75-1618004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880" w:space="720"/>
            <w:col w:w="4619"/>
          </w:cols>
          <w:pgMar w:left="240" w:top="244" w:right="1440" w:bottom="0" w:gutter="0" w:footer="0" w:header="0"/>
          <w:type w:val="continuous"/>
        </w:sectPr>
      </w:pPr>
    </w:p>
    <w:p>
      <w:pPr>
        <w:spacing w:after="0" w:line="221" w:lineRule="exact"/>
        <w:rPr>
          <w:sz w:val="24"/>
          <w:szCs w:val="24"/>
          <w:color w:val="auto"/>
        </w:rPr>
      </w:pPr>
    </w:p>
    <w:p>
      <w:pPr>
        <w:ind w:left="540"/>
        <w:spacing w:after="0"/>
        <w:tabs>
          <w:tab w:leader="none" w:pos="6520" w:val="left"/>
        </w:tabs>
        <w:rPr>
          <w:sz w:val="20"/>
          <w:szCs w:val="20"/>
          <w:color w:val="auto"/>
        </w:rPr>
      </w:pPr>
      <w:r>
        <w:rPr>
          <w:rFonts w:ascii="Courier New" w:cs="Courier New" w:eastAsia="Courier New" w:hAnsi="Courier New"/>
          <w:sz w:val="18"/>
          <w:szCs w:val="18"/>
          <w:color w:val="auto"/>
        </w:rPr>
        <w:t>8000 S. Federal Way, P.O. Box 6, Boise, Idaho</w:t>
      </w:r>
      <w:r>
        <w:rPr>
          <w:sz w:val="20"/>
          <w:szCs w:val="20"/>
          <w:color w:val="auto"/>
        </w:rPr>
        <w:tab/>
      </w:r>
      <w:r>
        <w:rPr>
          <w:rFonts w:ascii="Courier New" w:cs="Courier New" w:eastAsia="Courier New" w:hAnsi="Courier New"/>
          <w:sz w:val="16"/>
          <w:szCs w:val="16"/>
          <w:color w:val="auto"/>
        </w:rPr>
        <w:t>83707-0006</w:t>
      </w:r>
    </w:p>
    <w:p>
      <w:pPr>
        <w:sectPr>
          <w:pgSz w:w="11900" w:h="16838" w:orient="portrait"/>
          <w:cols w:equalWidth="0" w:num="1">
            <w:col w:w="10219"/>
          </w:cols>
          <w:pgMar w:left="240" w:top="244" w:right="1440" w:bottom="0" w:gutter="0" w:footer="0" w:header="0"/>
          <w:type w:val="continuous"/>
        </w:sectPr>
      </w:pP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54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(208) 368-4000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800" w:space="0"/>
            <w:col w:w="4419"/>
          </w:cols>
          <w:pgMar w:left="240" w:top="244" w:right="1440" w:bottom="0" w:gutter="0" w:footer="0" w:header="0"/>
          <w:type w:val="continuous"/>
        </w:sectPr>
      </w:pPr>
    </w:p>
    <w:p>
      <w:pPr>
        <w:spacing w:after="0" w:line="24" w:lineRule="exact"/>
        <w:rPr>
          <w:sz w:val="24"/>
          <w:szCs w:val="24"/>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44" w:right="1440" w:bottom="0" w:gutter="0" w:footer="0" w:header="0"/>
          <w:type w:val="continuous"/>
        </w:sectPr>
      </w:pPr>
    </w:p>
    <w:p>
      <w:pPr>
        <w:spacing w:after="0" w:line="2" w:lineRule="exact"/>
        <w:rPr>
          <w:sz w:val="24"/>
          <w:szCs w:val="24"/>
          <w:color w:val="auto"/>
        </w:rPr>
      </w:pPr>
    </w:p>
    <w:p>
      <w:pPr>
        <w:spacing w:after="0"/>
        <w:tabs>
          <w:tab w:leader="none" w:pos="620" w:val="left"/>
          <w:tab w:leader="none" w:pos="136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4"/>
          <w:szCs w:val="24"/>
          <w:color w:val="auto"/>
        </w:rPr>
      </w:pPr>
    </w:p>
    <w:p>
      <w:pPr>
        <w:sectPr>
          <w:pgSz w:w="11900" w:h="16838" w:orient="portrait"/>
          <w:cols w:equalWidth="0" w:num="2">
            <w:col w:w="1580" w:space="0"/>
            <w:col w:w="8639"/>
          </w:cols>
          <w:pgMar w:left="240" w:top="244" w:right="1440" w:bottom="0" w:gutter="0" w:footer="0" w:header="0"/>
          <w:type w:val="continuous"/>
        </w:sectPr>
      </w:pPr>
    </w:p>
    <w:p>
      <w:pPr>
        <w:spacing w:after="0" w:line="7" w:lineRule="exact"/>
        <w:rPr>
          <w:sz w:val="24"/>
          <w:szCs w:val="24"/>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as of March 19, 1996 was 207,806,486.</w:t>
      </w:r>
    </w:p>
    <w:p>
      <w:pPr>
        <w:spacing w:after="0" w:line="378" w:lineRule="exact"/>
        <w:rPr>
          <w:sz w:val="24"/>
          <w:szCs w:val="24"/>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Consolidated Balance Sheets</w:t>
      </w:r>
    </w:p>
    <w:p>
      <w:pPr>
        <w:jc w:val="center"/>
        <w:ind w:right="3259"/>
        <w:spacing w:after="0" w:line="238" w:lineRule="auto"/>
        <w:rPr>
          <w:sz w:val="20"/>
          <w:szCs w:val="20"/>
          <w:color w:val="auto"/>
        </w:rPr>
      </w:pPr>
      <w:r>
        <w:rPr>
          <w:rFonts w:ascii="Courier New" w:cs="Courier New" w:eastAsia="Courier New" w:hAnsi="Courier New"/>
          <w:sz w:val="18"/>
          <w:szCs w:val="18"/>
          <w:color w:val="auto"/>
        </w:rPr>
        <w:t>(Dollars in millions, except for par value amount)</w:t>
      </w:r>
    </w:p>
    <w:p>
      <w:pPr>
        <w:spacing w:after="0" w:line="200" w:lineRule="exact"/>
        <w:rPr>
          <w:sz w:val="24"/>
          <w:szCs w:val="24"/>
          <w:color w:val="auto"/>
        </w:rPr>
      </w:pPr>
    </w:p>
    <w:p>
      <w:pPr>
        <w:spacing w:after="0" w:line="204" w:lineRule="exact"/>
        <w:rPr>
          <w:sz w:val="24"/>
          <w:szCs w:val="24"/>
          <w:color w:val="auto"/>
        </w:rPr>
      </w:pPr>
    </w:p>
    <w:p>
      <w:pPr>
        <w:ind w:left="4540"/>
        <w:spacing w:after="0"/>
        <w:rPr>
          <w:sz w:val="20"/>
          <w:szCs w:val="20"/>
          <w:color w:val="auto"/>
        </w:rPr>
      </w:pPr>
      <w:r>
        <w:rPr>
          <w:rFonts w:ascii="Courier New" w:cs="Courier New" w:eastAsia="Courier New" w:hAnsi="Courier New"/>
          <w:sz w:val="18"/>
          <w:szCs w:val="18"/>
          <w:color w:val="auto"/>
        </w:rPr>
        <w:t>(Unaudited)</w:t>
      </w:r>
    </w:p>
    <w:p>
      <w:pPr>
        <w:ind w:left="4540"/>
        <w:spacing w:after="0"/>
        <w:tabs>
          <w:tab w:leader="none" w:pos="6300" w:val="left"/>
        </w:tabs>
        <w:rPr>
          <w:sz w:val="20"/>
          <w:szCs w:val="20"/>
          <w:color w:val="auto"/>
        </w:rPr>
      </w:pPr>
      <w:r>
        <w:rPr>
          <w:rFonts w:ascii="Courier New" w:cs="Courier New" w:eastAsia="Courier New" w:hAnsi="Courier New"/>
          <w:sz w:val="18"/>
          <w:szCs w:val="18"/>
          <w:color w:val="auto"/>
        </w:rPr>
        <w:t>February 29,</w:t>
      </w:r>
      <w:r>
        <w:rPr>
          <w:sz w:val="20"/>
          <w:szCs w:val="20"/>
          <w:color w:val="auto"/>
        </w:rPr>
        <w:tab/>
      </w:r>
      <w:r>
        <w:rPr>
          <w:rFonts w:ascii="Courier New" w:cs="Courier New" w:eastAsia="Courier New" w:hAnsi="Courier New"/>
          <w:sz w:val="16"/>
          <w:szCs w:val="16"/>
          <w:color w:val="auto"/>
        </w:rPr>
        <w:t>August 31,</w:t>
      </w:r>
    </w:p>
    <w:p>
      <w:pPr>
        <w:spacing w:after="0"/>
        <w:tabs>
          <w:tab w:leader="none" w:pos="4940" w:val="left"/>
          <w:tab w:leader="none" w:pos="6520" w:val="left"/>
        </w:tabs>
        <w:rPr>
          <w:sz w:val="20"/>
          <w:szCs w:val="20"/>
          <w:color w:val="auto"/>
        </w:rPr>
      </w:pPr>
      <w:r>
        <w:rPr>
          <w:rFonts w:ascii="Courier New" w:cs="Courier New" w:eastAsia="Courier New" w:hAnsi="Courier New"/>
          <w:sz w:val="18"/>
          <w:szCs w:val="18"/>
          <w:color w:val="auto"/>
        </w:rPr>
        <w:t>As of</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1995</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w:t>
            </w:r>
          </w:p>
        </w:tc>
        <w:tc>
          <w:tcPr>
            <w:tcW w:w="2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387.2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128.1</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Liquid investments</w:t>
            </w:r>
          </w:p>
        </w:tc>
        <w:tc>
          <w:tcPr>
            <w:tcW w:w="2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427.7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w:t>
            </w:r>
          </w:p>
        </w:tc>
        <w:tc>
          <w:tcPr>
            <w:tcW w:w="2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419.1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455.4</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2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294.2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2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Total current assets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and process technology, net</w:t>
      </w:r>
    </w:p>
    <w:p>
      <w:pPr>
        <w:spacing w:after="0" w:line="238" w:lineRule="auto"/>
        <w:rPr>
          <w:sz w:val="20"/>
          <w:szCs w:val="20"/>
          <w:color w:val="auto"/>
        </w:rPr>
      </w:pPr>
      <w:r>
        <w:rPr>
          <w:rFonts w:ascii="Courier New" w:cs="Courier New" w:eastAsia="Courier New" w:hAnsi="Courier New"/>
          <w:sz w:val="18"/>
          <w:szCs w:val="18"/>
          <w:color w:val="auto"/>
        </w:rPr>
        <w:t>Property, plant, and equipment, net</w:t>
      </w:r>
    </w:p>
    <w:p>
      <w:pPr>
        <w:spacing w:after="0"/>
        <w:rPr>
          <w:sz w:val="20"/>
          <w:szCs w:val="20"/>
          <w:color w:val="auto"/>
        </w:rPr>
      </w:pPr>
      <w:r>
        <w:rPr>
          <w:rFonts w:ascii="Courier New" w:cs="Courier New" w:eastAsia="Courier New" w:hAnsi="Courier New"/>
          <w:sz w:val="18"/>
          <w:szCs w:val="18"/>
          <w:color w:val="auto"/>
        </w:rPr>
        <w:t>Other assets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Total assets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AND SHAREHOLDERS' EQUITY</w:t>
      </w:r>
    </w:p>
    <w:p>
      <w:pPr>
        <w:spacing w:after="0" w:line="238" w:lineRule="auto"/>
        <w:rPr>
          <w:sz w:val="20"/>
          <w:szCs w:val="20"/>
          <w:color w:val="auto"/>
        </w:rPr>
      </w:pPr>
      <w:r>
        <w:rPr>
          <w:rFonts w:ascii="Courier New" w:cs="Courier New" w:eastAsia="Courier New" w:hAnsi="Courier New"/>
          <w:sz w:val="18"/>
          <w:szCs w:val="18"/>
          <w:color w:val="auto"/>
        </w:rPr>
        <w:t>Accounts payable and accrued expenses</w:t>
      </w:r>
    </w:p>
    <w:p>
      <w:pPr>
        <w:spacing w:after="0"/>
        <w:rPr>
          <w:sz w:val="20"/>
          <w:szCs w:val="20"/>
          <w:color w:val="auto"/>
        </w:rPr>
      </w:pPr>
      <w:r>
        <w:rPr>
          <w:rFonts w:ascii="Courier New" w:cs="Courier New" w:eastAsia="Courier New" w:hAnsi="Courier New"/>
          <w:sz w:val="18"/>
          <w:szCs w:val="18"/>
          <w:color w:val="auto"/>
        </w:rPr>
        <w:t>Short-term debt</w:t>
      </w:r>
    </w:p>
    <w:p>
      <w:pPr>
        <w:spacing w:after="0" w:line="237" w:lineRule="auto"/>
        <w:rPr>
          <w:sz w:val="20"/>
          <w:szCs w:val="20"/>
          <w:color w:val="auto"/>
        </w:rPr>
      </w:pPr>
      <w:r>
        <w:rPr>
          <w:rFonts w:ascii="Courier New" w:cs="Courier New" w:eastAsia="Courier New" w:hAnsi="Courier New"/>
          <w:sz w:val="18"/>
          <w:szCs w:val="18"/>
          <w:color w:val="auto"/>
        </w:rPr>
        <w:t>Deferred income</w:t>
      </w:r>
    </w:p>
    <w:p>
      <w:pPr>
        <w:spacing w:after="0" w:line="5" w:lineRule="exact"/>
        <w:rPr>
          <w:sz w:val="20"/>
          <w:szCs w:val="20"/>
          <w:color w:val="auto"/>
        </w:rPr>
      </w:pPr>
    </w:p>
    <w:p>
      <w:pPr>
        <w:ind w:right="1160"/>
        <w:spacing w:after="0" w:line="290" w:lineRule="auto"/>
        <w:rPr>
          <w:sz w:val="20"/>
          <w:szCs w:val="20"/>
          <w:color w:val="auto"/>
        </w:rPr>
      </w:pPr>
      <w:r>
        <w:rPr>
          <w:rFonts w:ascii="Courier New" w:cs="Courier New" w:eastAsia="Courier New" w:hAnsi="Courier New"/>
          <w:sz w:val="16"/>
          <w:szCs w:val="16"/>
          <w:color w:val="auto"/>
        </w:rPr>
        <w:t>Equipment purchase contracts Current portion of long-term debt</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Total current liabilities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debt</w:t>
      </w:r>
    </w:p>
    <w:p>
      <w:pPr>
        <w:spacing w:after="0" w:line="238" w:lineRule="auto"/>
        <w:rPr>
          <w:sz w:val="20"/>
          <w:szCs w:val="20"/>
          <w:color w:val="auto"/>
        </w:rPr>
      </w:pPr>
      <w:r>
        <w:rPr>
          <w:rFonts w:ascii="Courier New" w:cs="Courier New" w:eastAsia="Courier New" w:hAnsi="Courier New"/>
          <w:sz w:val="18"/>
          <w:szCs w:val="18"/>
          <w:color w:val="auto"/>
        </w:rPr>
        <w:t>Deferred income taxes</w:t>
      </w:r>
    </w:p>
    <w:p>
      <w:pPr>
        <w:spacing w:after="0"/>
        <w:rPr>
          <w:sz w:val="20"/>
          <w:szCs w:val="20"/>
          <w:color w:val="auto"/>
        </w:rPr>
      </w:pPr>
      <w:r>
        <w:rPr>
          <w:rFonts w:ascii="Courier New" w:cs="Courier New" w:eastAsia="Courier New" w:hAnsi="Courier New"/>
          <w:sz w:val="18"/>
          <w:szCs w:val="18"/>
          <w:color w:val="auto"/>
        </w:rPr>
        <w:t>Long-term product and process technology</w:t>
      </w:r>
    </w:p>
    <w:p>
      <w:pPr>
        <w:spacing w:after="0" w:line="237" w:lineRule="auto"/>
        <w:rPr>
          <w:sz w:val="20"/>
          <w:szCs w:val="20"/>
          <w:color w:val="auto"/>
        </w:rPr>
      </w:pPr>
      <w:r>
        <w:rPr>
          <w:rFonts w:ascii="Courier New" w:cs="Courier New" w:eastAsia="Courier New" w:hAnsi="Courier New"/>
          <w:sz w:val="18"/>
          <w:szCs w:val="18"/>
          <w:color w:val="auto"/>
        </w:rPr>
        <w:t>Other liabilities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Total liabilities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Commitments and contingencies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$0.10 par value, authorized</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1.0 billion shares, issued and outstanding</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207.7 million and 206.4 million shares,</w:t>
      </w:r>
    </w:p>
    <w:p>
      <w:pPr>
        <w:ind w:left="220"/>
        <w:spacing w:after="0" w:line="238" w:lineRule="auto"/>
        <w:rPr>
          <w:sz w:val="20"/>
          <w:szCs w:val="20"/>
          <w:color w:val="auto"/>
        </w:rPr>
      </w:pPr>
      <w:r>
        <w:rPr>
          <w:rFonts w:ascii="Courier New" w:cs="Courier New" w:eastAsia="Courier New" w:hAnsi="Courier New"/>
          <w:sz w:val="18"/>
          <w:szCs w:val="18"/>
          <w:color w:val="auto"/>
        </w:rPr>
        <w:t>respectively</w:t>
      </w:r>
    </w:p>
    <w:p>
      <w:pPr>
        <w:spacing w:after="0"/>
        <w:rPr>
          <w:sz w:val="20"/>
          <w:szCs w:val="20"/>
          <w:color w:val="auto"/>
        </w:rPr>
      </w:pPr>
      <w:r>
        <w:rPr>
          <w:rFonts w:ascii="Courier New" w:cs="Courier New" w:eastAsia="Courier New" w:hAnsi="Courier New"/>
          <w:sz w:val="18"/>
          <w:szCs w:val="18"/>
          <w:color w:val="auto"/>
        </w:rPr>
        <w:t>Additional capital</w:t>
      </w:r>
    </w:p>
    <w:p>
      <w:pPr>
        <w:spacing w:after="0" w:line="237" w:lineRule="auto"/>
        <w:rPr>
          <w:sz w:val="20"/>
          <w:szCs w:val="20"/>
          <w:color w:val="auto"/>
        </w:rPr>
      </w:pPr>
      <w:r>
        <w:rPr>
          <w:rFonts w:ascii="Courier New" w:cs="Courier New" w:eastAsia="Courier New" w:hAnsi="Courier New"/>
          <w:sz w:val="18"/>
          <w:szCs w:val="18"/>
          <w:color w:val="auto"/>
        </w:rPr>
        <w:t>Retained earnings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Total shareholders' equity</w:t>
      </w:r>
    </w:p>
    <w:p>
      <w:pPr>
        <w:spacing w:after="0" w:line="207" w:lineRule="exact"/>
        <w:rPr>
          <w:sz w:val="20"/>
          <w:szCs w:val="20"/>
          <w:color w:val="auto"/>
        </w:rPr>
      </w:pPr>
    </w:p>
    <w:p>
      <w:pPr>
        <w:jc w:val="center"/>
        <w:ind w:left="220"/>
        <w:spacing w:after="0"/>
        <w:rPr>
          <w:sz w:val="20"/>
          <w:szCs w:val="20"/>
          <w:color w:val="auto"/>
        </w:rPr>
      </w:pPr>
      <w:r>
        <w:rPr>
          <w:rFonts w:ascii="Courier New" w:cs="Courier New" w:eastAsia="Courier New" w:hAnsi="Courier New"/>
          <w:sz w:val="16"/>
          <w:szCs w:val="16"/>
          <w:color w:val="auto"/>
        </w:rPr>
        <w:t>Total liabilities and shareholders'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1,213.3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1,274.1</w:t>
            </w:r>
          </w:p>
        </w:tc>
      </w:tr>
      <w:tr>
        <w:trPr>
          <w:trHeight w:val="405"/>
        </w:trPr>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46.9</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41.6</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2,319.1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1,385.6</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$3,641.9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$2,774.9</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4"/>
              </w:rPr>
              <w:t>$  497.8</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502.3</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98.7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59.6</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849.8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604.8</w:t>
            </w:r>
          </w:p>
        </w:tc>
      </w:tr>
      <w:tr>
        <w:trPr>
          <w:trHeight w:val="405"/>
        </w:trPr>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143.7</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129.4</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131.0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1,228.2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878.7</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20.8</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20.6</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412.8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391.5</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1,980.1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1,484.1</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2,413.7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1,896.2</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$3,641.9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$2,774.9</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2">
            <w:col w:w="4640" w:space="220"/>
            <w:col w:w="5359"/>
          </w:cols>
          <w:pgMar w:left="240" w:top="136"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type w:val="continuous"/>
        </w:sectPr>
      </w:pPr>
    </w:p>
    <w:bookmarkStart w:id="2" w:name="page3"/>
    <w:bookmarkEnd w:id="2"/>
    <w:p>
      <w:pPr>
        <w:jc w:val="center"/>
        <w:ind w:right="313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(Amounts in millions, except for per share data)</w:t>
      </w:r>
    </w:p>
    <w:p>
      <w:pPr>
        <w:jc w:val="center"/>
        <w:ind w:right="313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February</w:t>
            </w:r>
          </w:p>
        </w:tc>
        <w:tc>
          <w:tcPr>
            <w:tcW w:w="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August 31,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quarter ended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62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996.5</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628.5</w:t>
            </w:r>
          </w:p>
        </w:tc>
      </w:tr>
      <w:tr>
        <w:trPr>
          <w:trHeight w:val="203"/>
        </w:trPr>
        <w:tc>
          <w:tcPr>
            <w:tcW w:w="4440" w:type="dxa"/>
            <w:vAlign w:val="bottom"/>
          </w:tcPr>
          <w:p>
            <w:pPr>
              <w:spacing w:after="0"/>
              <w:rPr>
                <w:sz w:val="17"/>
                <w:szCs w:val="17"/>
                <w:color w:val="auto"/>
              </w:rPr>
            </w:pP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68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552.1</w:t>
            </w: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267.5</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68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70.4</w:t>
            </w: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68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48.0</w:t>
            </w: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68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29.9</w:t>
            </w: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68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700.4</w:t>
            </w: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335.4</w:t>
            </w:r>
          </w:p>
        </w:tc>
      </w:tr>
      <w:tr>
        <w:trPr>
          <w:trHeight w:val="203"/>
        </w:trPr>
        <w:tc>
          <w:tcPr>
            <w:tcW w:w="4440" w:type="dxa"/>
            <w:vAlign w:val="bottom"/>
          </w:tcPr>
          <w:p>
            <w:pPr>
              <w:spacing w:after="0"/>
              <w:rPr>
                <w:sz w:val="17"/>
                <w:szCs w:val="17"/>
                <w:color w:val="auto"/>
              </w:rPr>
            </w:pP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680" w:type="dxa"/>
            <w:vAlign w:val="bottom"/>
          </w:tcPr>
          <w:p>
            <w:pPr>
              <w:spacing w:after="0"/>
              <w:rPr>
                <w:sz w:val="24"/>
                <w:szCs w:val="24"/>
                <w:color w:val="auto"/>
              </w:rPr>
            </w:pP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296.1</w:t>
            </w:r>
          </w:p>
        </w:tc>
        <w:tc>
          <w:tcPr>
            <w:tcW w:w="5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293.1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68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w:t>
            </w: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4440" w:type="dxa"/>
            <w:vAlign w:val="bottom"/>
          </w:tcPr>
          <w:p>
            <w:pPr>
              <w:spacing w:after="0"/>
              <w:rPr>
                <w:sz w:val="17"/>
                <w:szCs w:val="17"/>
                <w:color w:val="auto"/>
              </w:rPr>
            </w:pP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68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300.5</w:t>
            </w: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299.6</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680" w:type="dxa"/>
            <w:vAlign w:val="bottom"/>
          </w:tcPr>
          <w:p>
            <w:pPr>
              <w:spacing w:after="0"/>
              <w:rPr>
                <w:sz w:val="24"/>
                <w:szCs w:val="24"/>
                <w:color w:val="auto"/>
              </w:rPr>
            </w:pP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112.3</w:t>
            </w:r>
          </w:p>
        </w:tc>
        <w:tc>
          <w:tcPr>
            <w:tcW w:w="5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116.1</w:t>
            </w:r>
          </w:p>
        </w:tc>
      </w:tr>
      <w:tr>
        <w:trPr>
          <w:trHeight w:val="203"/>
        </w:trPr>
        <w:tc>
          <w:tcPr>
            <w:tcW w:w="4440" w:type="dxa"/>
            <w:vAlign w:val="bottom"/>
          </w:tcPr>
          <w:p>
            <w:pPr>
              <w:spacing w:after="0"/>
              <w:rPr>
                <w:sz w:val="17"/>
                <w:szCs w:val="17"/>
                <w:color w:val="auto"/>
              </w:rPr>
            </w:pP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188.2</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183.5</w:t>
            </w:r>
          </w:p>
        </w:tc>
      </w:tr>
      <w:tr>
        <w:trPr>
          <w:trHeight w:val="203"/>
        </w:trPr>
        <w:tc>
          <w:tcPr>
            <w:tcW w:w="4440" w:type="dxa"/>
            <w:vAlign w:val="bottom"/>
          </w:tcPr>
          <w:p>
            <w:pPr>
              <w:spacing w:after="0"/>
              <w:rPr>
                <w:sz w:val="17"/>
                <w:szCs w:val="17"/>
                <w:color w:val="auto"/>
              </w:rPr>
            </w:pP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68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$0.87</w:t>
            </w: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$0.86</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68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0.87</w:t>
            </w: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0.86</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Number of shares used in per share calculations: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68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215.2</w:t>
            </w: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212.8</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68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215.2</w:t>
            </w: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214.3</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Cash dividend declared per share</w:t>
            </w:r>
          </w:p>
        </w:tc>
        <w:tc>
          <w:tcPr>
            <w:tcW w:w="680" w:type="dxa"/>
            <w:vAlign w:val="bottom"/>
          </w:tcPr>
          <w:p>
            <w:pPr>
              <w:spacing w:after="0"/>
              <w:rPr>
                <w:sz w:val="24"/>
                <w:szCs w:val="24"/>
                <w:color w:val="auto"/>
              </w:rPr>
            </w:pP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$0.05</w:t>
            </w:r>
          </w:p>
        </w:tc>
        <w:tc>
          <w:tcPr>
            <w:tcW w:w="5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3" w:name="page4"/>
    <w:bookmarkEnd w:id="3"/>
    <w:p>
      <w:pPr>
        <w:jc w:val="center"/>
        <w:ind w:right="313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(Amounts in millions, except for per share data)</w:t>
      </w:r>
    </w:p>
    <w:p>
      <w:pPr>
        <w:jc w:val="center"/>
        <w:ind w:right="313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February</w:t>
            </w:r>
          </w:p>
        </w:tc>
        <w:tc>
          <w:tcPr>
            <w:tcW w:w="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August 31,</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six months ended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62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$2,182.3</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$1,163.5</w:t>
            </w:r>
          </w:p>
        </w:tc>
      </w:tr>
      <w:tr>
        <w:trPr>
          <w:trHeight w:val="203"/>
        </w:trPr>
        <w:tc>
          <w:tcPr>
            <w:tcW w:w="444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1,090.2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492.0</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146.8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55.9</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1,361.5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625.1</w:t>
            </w:r>
          </w:p>
        </w:tc>
      </w:tr>
      <w:tr>
        <w:trPr>
          <w:trHeight w:val="203"/>
        </w:trPr>
        <w:tc>
          <w:tcPr>
            <w:tcW w:w="444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820.8</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538.4</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444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833.6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548.5</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316.9</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205.7</w:t>
            </w:r>
          </w:p>
        </w:tc>
      </w:tr>
      <w:tr>
        <w:trPr>
          <w:trHeight w:val="203"/>
        </w:trPr>
        <w:tc>
          <w:tcPr>
            <w:tcW w:w="444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516.7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342.8</w:t>
            </w:r>
          </w:p>
        </w:tc>
      </w:tr>
      <w:tr>
        <w:trPr>
          <w:trHeight w:val="203"/>
        </w:trPr>
        <w:tc>
          <w:tcPr>
            <w:tcW w:w="444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 calculations:</w:t>
            </w:r>
          </w:p>
        </w:tc>
        <w:tc>
          <w:tcPr>
            <w:tcW w:w="122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216.4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211.6</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216.4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213.6</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Cash dividend declared per share</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$0.10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ind w:left="3900"/>
        <w:spacing w:after="0" w:line="238" w:lineRule="auto"/>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3139"/>
        <w:spacing w:after="0" w:line="238" w:lineRule="auto"/>
        <w:rPr>
          <w:sz w:val="20"/>
          <w:szCs w:val="20"/>
          <w:color w:val="auto"/>
        </w:rPr>
      </w:pPr>
      <w:r>
        <w:rPr>
          <w:rFonts w:ascii="Courier New" w:cs="Courier New" w:eastAsia="Courier New" w:hAnsi="Courier New"/>
          <w:sz w:val="18"/>
          <w:szCs w:val="18"/>
          <w:color w:val="auto"/>
        </w:rPr>
        <w:t>(Dollars in millions)</w:t>
      </w:r>
    </w:p>
    <w:p>
      <w:pPr>
        <w:jc w:val="center"/>
        <w:ind w:right="313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February</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29,</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six months ended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7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CASH FLOWS OF OPERATING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516.7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342.8</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163.5</w:t>
            </w:r>
          </w:p>
        </w:tc>
        <w:tc>
          <w:tcPr>
            <w:tcW w:w="4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86.6</w:t>
            </w: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29.9</w:t>
            </w:r>
          </w:p>
        </w:tc>
        <w:tc>
          <w:tcPr>
            <w:tcW w:w="4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Decrease (increase) in receivables</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36.0</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w:t>
            </w: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2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(103.8)</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w:t>
            </w: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Increase in accounts payable and accrued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expenses</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c>
          <w:tcPr>
            <w:tcW w:w="4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38.4</w:t>
            </w: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long-term product and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process rights</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37.0</w:t>
            </w:r>
          </w:p>
        </w:tc>
        <w:tc>
          <w:tcPr>
            <w:tcW w:w="4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13.2</w:t>
            </w:r>
          </w:p>
        </w:tc>
        <w:tc>
          <w:tcPr>
            <w:tcW w:w="4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w:t>
            </w:r>
          </w:p>
        </w:tc>
      </w:tr>
      <w:tr>
        <w:trPr>
          <w:trHeight w:val="203"/>
        </w:trPr>
        <w:tc>
          <w:tcPr>
            <w:tcW w:w="480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693.5</w:t>
            </w:r>
          </w:p>
        </w:tc>
        <w:tc>
          <w:tcPr>
            <w:tcW w:w="4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412.3</w:t>
            </w:r>
          </w:p>
        </w:tc>
      </w:tr>
      <w:tr>
        <w:trPr>
          <w:trHeight w:val="203"/>
        </w:trPr>
        <w:tc>
          <w:tcPr>
            <w:tcW w:w="480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CASH FLOWS OF INVESTING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held to maturity securities</w:t>
            </w:r>
          </w:p>
        </w:tc>
        <w:tc>
          <w:tcPr>
            <w:tcW w:w="2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(184.5)</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sales and maturities of</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securities</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603.4</w:t>
            </w:r>
          </w:p>
        </w:tc>
        <w:tc>
          <w:tcPr>
            <w:tcW w:w="4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281.8</w:t>
            </w:r>
          </w:p>
        </w:tc>
      </w:tr>
      <w:tr>
        <w:trPr>
          <w:trHeight w:val="203"/>
        </w:trPr>
        <w:tc>
          <w:tcPr>
            <w:tcW w:w="6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Expenditures for property, plant, and equipment (950.1)</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4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480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2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(534.7)</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(372.3)</w:t>
            </w:r>
          </w:p>
        </w:tc>
      </w:tr>
      <w:tr>
        <w:trPr>
          <w:trHeight w:val="203"/>
        </w:trPr>
        <w:tc>
          <w:tcPr>
            <w:tcW w:w="480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CASH FLOWS OF FINANCING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on equipment purchase contracts</w:t>
            </w:r>
          </w:p>
        </w:tc>
        <w:tc>
          <w:tcPr>
            <w:tcW w:w="2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(112.0)</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debt</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233.1</w:t>
            </w:r>
          </w:p>
        </w:tc>
        <w:tc>
          <w:tcPr>
            <w:tcW w:w="4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debt</w:t>
            </w:r>
          </w:p>
        </w:tc>
        <w:tc>
          <w:tcPr>
            <w:tcW w:w="2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(14.0)</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13.3</w:t>
            </w:r>
          </w:p>
        </w:tc>
        <w:tc>
          <w:tcPr>
            <w:tcW w:w="4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of dividends</w:t>
            </w:r>
          </w:p>
        </w:tc>
        <w:tc>
          <w:tcPr>
            <w:tcW w:w="2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0.6</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480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for) financing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100.3</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w:t>
            </w:r>
          </w:p>
        </w:tc>
      </w:tr>
      <w:tr>
        <w:trPr>
          <w:trHeight w:val="203"/>
        </w:trPr>
        <w:tc>
          <w:tcPr>
            <w:tcW w:w="480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Net increase in cash and equivalents</w:t>
            </w:r>
          </w:p>
        </w:tc>
        <w:tc>
          <w:tcPr>
            <w:tcW w:w="22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259.1</w:t>
            </w:r>
          </w:p>
        </w:tc>
        <w:tc>
          <w:tcPr>
            <w:tcW w:w="4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beginning of period</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128.1</w:t>
            </w:r>
          </w:p>
        </w:tc>
        <w:tc>
          <w:tcPr>
            <w:tcW w:w="4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78.4</w:t>
            </w:r>
          </w:p>
        </w:tc>
      </w:tr>
      <w:tr>
        <w:trPr>
          <w:trHeight w:val="203"/>
        </w:trPr>
        <w:tc>
          <w:tcPr>
            <w:tcW w:w="480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end of period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387.2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81.5</w:t>
            </w:r>
          </w:p>
        </w:tc>
      </w:tr>
      <w:tr>
        <w:trPr>
          <w:trHeight w:val="203"/>
        </w:trPr>
        <w:tc>
          <w:tcPr>
            <w:tcW w:w="480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SUPPLEMENTAL DISCLOSURES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paid, net</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(416.7)</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(214.8)</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w:t>
            </w:r>
          </w:p>
        </w:tc>
        <w:tc>
          <w:tcPr>
            <w:tcW w:w="2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investing and financing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Equipment acquisitions on contracts payable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capital leases</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151.2</w:t>
            </w:r>
          </w:p>
        </w:tc>
        <w:tc>
          <w:tcPr>
            <w:tcW w:w="4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ind w:left="3900"/>
        <w:spacing w:after="0" w:line="238" w:lineRule="auto"/>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5" w:name="page6"/>
    <w:bookmarkEnd w:id="5"/>
    <w:p>
      <w:pPr>
        <w:ind w:left="1280"/>
        <w:spacing w:after="0"/>
        <w:rPr>
          <w:sz w:val="20"/>
          <w:szCs w:val="20"/>
          <w:color w:val="auto"/>
        </w:rPr>
      </w:pPr>
      <w:r>
        <w:rPr>
          <w:rFonts w:ascii="Courier New" w:cs="Courier New" w:eastAsia="Courier New" w:hAnsi="Courier New"/>
          <w:sz w:val="18"/>
          <w:szCs w:val="18"/>
          <w:color w:val="auto"/>
        </w:rPr>
        <w:t>Notes to Consolidated Financial Statements</w:t>
      </w:r>
    </w:p>
    <w:p>
      <w:pPr>
        <w:ind w:left="860"/>
        <w:spacing w:after="0" w:line="238" w:lineRule="auto"/>
        <w:rPr>
          <w:sz w:val="20"/>
          <w:szCs w:val="20"/>
          <w:color w:val="auto"/>
        </w:rPr>
      </w:pPr>
      <w:r>
        <w:rPr>
          <w:rFonts w:ascii="Courier New" w:cs="Courier New" w:eastAsia="Courier New" w:hAnsi="Courier New"/>
          <w:sz w:val="18"/>
          <w:szCs w:val="18"/>
          <w:color w:val="auto"/>
        </w:rPr>
        <w:t>(All tabular dollar amounts are stated in millions)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Interim Financial Statements</w:t>
      </w:r>
    </w:p>
    <w:p>
      <w:pPr>
        <w:spacing w:after="0" w:line="207"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In the opinion of management, the accompanying unaudited consolidated financial statements contain all adjustments necessary to present fairly the consolidated financial position of Micron Technology, Inc., and subsidiaries (the "Company"), and their consolidated results of operations and cash flows. The Company recognized a $29.9 million pre-tax restructuring charge resulting from the decisions by its approximately 80% owned subsidiary, Micron Electronics, Inc., to discontinue sales of ZEOS brand PC systems and to close the related PC manufacturing operations in Minneapolis, Minnesota in the second quarter of 1996.</w:t>
      </w:r>
    </w:p>
    <w:p>
      <w:pPr>
        <w:spacing w:after="0" w:line="216" w:lineRule="exact"/>
        <w:rPr>
          <w:sz w:val="20"/>
          <w:szCs w:val="20"/>
          <w:color w:val="auto"/>
        </w:rPr>
      </w:pPr>
    </w:p>
    <w:p>
      <w:pPr>
        <w:ind w:right="3579" w:firstLine="211"/>
        <w:spacing w:after="0" w:line="237" w:lineRule="auto"/>
        <w:rPr>
          <w:sz w:val="20"/>
          <w:szCs w:val="20"/>
          <w:color w:val="auto"/>
        </w:rPr>
      </w:pPr>
      <w:r>
        <w:rPr>
          <w:rFonts w:ascii="Courier New" w:cs="Courier New" w:eastAsia="Courier New" w:hAnsi="Courier New"/>
          <w:sz w:val="18"/>
          <w:szCs w:val="18"/>
          <w:color w:val="auto"/>
        </w:rPr>
        <w:t>The Company reclassified held-to-maturity liquid investment securities with an amortized cost of $151 million to available-for-sale concurrent with the Company's adoption of the Federal Accounting Standards Board's special report on implementing Statement 115 "Accounting for Certain Investments in Debt and Equity Securities".</w:t>
      </w:r>
    </w:p>
    <w:p>
      <w:pPr>
        <w:spacing w:after="0" w:line="210"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This report on Form 10-Q for the quarter ended February 29, 1996, should be read in conjunction with the Company's Annual Report to Shareholders and/or Form 10-K for the year ended August 31, 1995.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2.   Receivables</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February</w:t>
            </w:r>
          </w:p>
        </w:tc>
        <w:tc>
          <w:tcPr>
            <w:tcW w:w="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August 31,</w:t>
            </w:r>
          </w:p>
        </w:tc>
      </w:tr>
      <w:tr>
        <w:trPr>
          <w:trHeight w:val="203"/>
        </w:trPr>
        <w:tc>
          <w:tcPr>
            <w:tcW w:w="312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62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Trade receivables</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388.9</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457.4</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recoverable</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51.3</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14.1</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returns and discounts</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(26.7)</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416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419.1</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455.4</w:t>
            </w:r>
          </w:p>
        </w:tc>
      </w:tr>
      <w:tr>
        <w:trPr>
          <w:trHeight w:val="203"/>
        </w:trPr>
        <w:tc>
          <w:tcPr>
            <w:tcW w:w="416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3.   Inventories</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February</w:t>
            </w:r>
          </w:p>
        </w:tc>
        <w:tc>
          <w:tcPr>
            <w:tcW w:w="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August 31,</w:t>
            </w:r>
          </w:p>
        </w:tc>
      </w:tr>
      <w:tr>
        <w:trPr>
          <w:trHeight w:val="203"/>
        </w:trPr>
        <w:tc>
          <w:tcPr>
            <w:tcW w:w="312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62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68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63.8</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17.8</w:t>
            </w:r>
          </w:p>
        </w:tc>
      </w:tr>
      <w:tr>
        <w:trPr>
          <w:trHeight w:val="203"/>
        </w:trPr>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11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135.9</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w:t>
            </w:r>
          </w:p>
        </w:tc>
      </w:tr>
      <w:tr>
        <w:trPr>
          <w:trHeight w:val="203"/>
        </w:trPr>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11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94.5</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87.9</w:t>
            </w:r>
          </w:p>
        </w:tc>
      </w:tr>
      <w:tr>
        <w:trPr>
          <w:trHeight w:val="203"/>
        </w:trPr>
        <w:tc>
          <w:tcPr>
            <w:tcW w:w="3680" w:type="dxa"/>
            <w:vAlign w:val="bottom"/>
          </w:tcPr>
          <w:p>
            <w:pPr>
              <w:spacing w:after="0"/>
              <w:rPr>
                <w:sz w:val="17"/>
                <w:szCs w:val="17"/>
                <w:color w:val="auto"/>
              </w:rPr>
            </w:pPr>
          </w:p>
        </w:tc>
        <w:tc>
          <w:tcPr>
            <w:tcW w:w="2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294.2</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204.8</w:t>
            </w:r>
          </w:p>
        </w:tc>
      </w:tr>
      <w:tr>
        <w:trPr>
          <w:trHeight w:val="203"/>
        </w:trPr>
        <w:tc>
          <w:tcPr>
            <w:tcW w:w="3680" w:type="dxa"/>
            <w:vAlign w:val="bottom"/>
          </w:tcPr>
          <w:p>
            <w:pPr>
              <w:spacing w:after="0"/>
              <w:rPr>
                <w:sz w:val="17"/>
                <w:szCs w:val="17"/>
                <w:color w:val="auto"/>
              </w:rPr>
            </w:pPr>
          </w:p>
        </w:tc>
        <w:tc>
          <w:tcPr>
            <w:tcW w:w="2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jc w:val="right"/>
              <w:spacing w:after="0"/>
              <w:rPr>
                <w:sz w:val="20"/>
                <w:szCs w:val="20"/>
                <w:color w:val="auto"/>
              </w:rPr>
            </w:pPr>
            <w:r>
              <w:rPr>
                <w:rFonts w:ascii="Courier New" w:cs="Courier New" w:eastAsia="Courier New" w:hAnsi="Courier New"/>
                <w:sz w:val="18"/>
                <w:szCs w:val="18"/>
                <w:color w:val="auto"/>
                <w:w w:val="97"/>
              </w:rPr>
              <w:t>4.   Product and process technology, net   February</w:t>
            </w:r>
          </w:p>
        </w:tc>
        <w:tc>
          <w:tcPr>
            <w:tcW w:w="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August 31,</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62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Product and process technology, at cost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163.1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152.3</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4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(116.2)</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(110.7)</w:t>
            </w:r>
          </w:p>
        </w:tc>
      </w:tr>
      <w:tr>
        <w:trPr>
          <w:trHeight w:val="203"/>
        </w:trPr>
        <w:tc>
          <w:tcPr>
            <w:tcW w:w="4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41.6</w:t>
            </w:r>
          </w:p>
        </w:tc>
      </w:tr>
      <w:tr>
        <w:trPr>
          <w:trHeight w:val="203"/>
        </w:trPr>
        <w:tc>
          <w:tcPr>
            <w:tcW w:w="4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20" w:val="left"/>
          <w:tab w:leader="none" w:pos="4520" w:val="left"/>
          <w:tab w:leader="none" w:pos="630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Property, plant, and equipment, net</w:t>
      </w:r>
      <w:r>
        <w:rPr>
          <w:sz w:val="20"/>
          <w:szCs w:val="20"/>
          <w:color w:val="auto"/>
        </w:rPr>
        <w:tab/>
      </w:r>
      <w:r>
        <w:rPr>
          <w:rFonts w:ascii="Courier New" w:cs="Courier New" w:eastAsia="Courier New" w:hAnsi="Courier New"/>
          <w:sz w:val="18"/>
          <w:szCs w:val="18"/>
          <w:color w:val="auto"/>
        </w:rPr>
        <w:t>February 29,</w:t>
      </w:r>
      <w:r>
        <w:rPr>
          <w:sz w:val="20"/>
          <w:szCs w:val="20"/>
          <w:color w:val="auto"/>
        </w:rPr>
        <w:tab/>
      </w:r>
      <w:r>
        <w:rPr>
          <w:rFonts w:ascii="Courier New" w:cs="Courier New" w:eastAsia="Courier New" w:hAnsi="Courier New"/>
          <w:sz w:val="16"/>
          <w:szCs w:val="16"/>
          <w:color w:val="auto"/>
        </w:rPr>
        <w:t>August 31,</w:t>
      </w:r>
    </w:p>
    <w:p>
      <w:pPr>
        <w:sectPr>
          <w:pgSz w:w="11900" w:h="16838" w:orient="portrait"/>
          <w:cols w:equalWidth="0" w:num="1">
            <w:col w:w="10219"/>
          </w:cols>
          <w:pgMar w:left="240" w:top="514" w:right="1440" w:bottom="0" w:gutter="0" w:footer="0" w:header="0"/>
        </w:sectPr>
      </w:pPr>
    </w:p>
    <w:bookmarkStart w:id="6" w:name="page7"/>
    <w:bookmarkEnd w:id="6"/>
    <w:p>
      <w:pPr>
        <w:ind w:left="4960"/>
        <w:spacing w:after="0"/>
        <w:tabs>
          <w:tab w:leader="none" w:pos="652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2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36.2</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34.4</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2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540.6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1,798.8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1,338.4</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2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663.3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259.2</w:t>
            </w:r>
          </w:p>
        </w:tc>
      </w:tr>
      <w:tr>
        <w:trPr>
          <w:trHeight w:val="203"/>
        </w:trPr>
        <w:tc>
          <w:tcPr>
            <w:tcW w:w="3580" w:type="dxa"/>
            <w:vAlign w:val="bottom"/>
          </w:tcPr>
          <w:p>
            <w:pPr>
              <w:spacing w:after="0"/>
              <w:rPr>
                <w:sz w:val="17"/>
                <w:szCs w:val="17"/>
                <w:color w:val="auto"/>
              </w:rPr>
            </w:pPr>
          </w:p>
        </w:tc>
        <w:tc>
          <w:tcPr>
            <w:tcW w:w="2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2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3,038.9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2,024.0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accumulated depreciation and</w:t>
            </w:r>
          </w:p>
        </w:tc>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amortization</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(719.8)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(638.4)</w:t>
            </w:r>
          </w:p>
        </w:tc>
      </w:tr>
      <w:tr>
        <w:trPr>
          <w:trHeight w:val="203"/>
        </w:trPr>
        <w:tc>
          <w:tcPr>
            <w:tcW w:w="3580" w:type="dxa"/>
            <w:vAlign w:val="bottom"/>
          </w:tcPr>
          <w:p>
            <w:pPr>
              <w:spacing w:after="0"/>
              <w:rPr>
                <w:sz w:val="17"/>
                <w:szCs w:val="17"/>
                <w:color w:val="auto"/>
              </w:rPr>
            </w:pPr>
          </w:p>
        </w:tc>
        <w:tc>
          <w:tcPr>
            <w:tcW w:w="2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2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$2,319.1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$1,385.6</w:t>
            </w:r>
          </w:p>
        </w:tc>
      </w:tr>
      <w:tr>
        <w:trPr>
          <w:trHeight w:val="203"/>
        </w:trPr>
        <w:tc>
          <w:tcPr>
            <w:tcW w:w="3580" w:type="dxa"/>
            <w:vAlign w:val="bottom"/>
          </w:tcPr>
          <w:p>
            <w:pPr>
              <w:spacing w:after="0"/>
              <w:rPr>
                <w:sz w:val="17"/>
                <w:szCs w:val="17"/>
                <w:color w:val="auto"/>
              </w:rPr>
            </w:pPr>
          </w:p>
        </w:tc>
        <w:tc>
          <w:tcPr>
            <w:tcW w:w="2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4"/>
                <w:szCs w:val="24"/>
                <w:color w:val="auto"/>
              </w:rPr>
            </w:pPr>
          </w:p>
        </w:tc>
        <w:tc>
          <w:tcPr>
            <w:tcW w:w="232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5</w:t>
            </w:r>
          </w:p>
        </w:tc>
        <w:tc>
          <w:tcPr>
            <w:tcW w:w="12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Accounts payable and accrued expenses February 29,</w:t>
      </w:r>
      <w:r>
        <w:rPr>
          <w:sz w:val="20"/>
          <w:szCs w:val="20"/>
          <w:color w:val="auto"/>
        </w:rPr>
        <w:tab/>
      </w:r>
      <w:r>
        <w:rPr>
          <w:rFonts w:ascii="Courier New" w:cs="Courier New" w:eastAsia="Courier New" w:hAnsi="Courier New"/>
          <w:sz w:val="16"/>
          <w:szCs w:val="16"/>
          <w:color w:val="auto"/>
        </w:rPr>
        <w:t>August 31,</w:t>
      </w:r>
    </w:p>
    <w:p>
      <w:pPr>
        <w:ind w:left="4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Accounts payable</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227.0</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193.2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Salaries, wages, and benefits</w:t>
            </w:r>
          </w:p>
        </w:tc>
        <w:tc>
          <w:tcPr>
            <w:tcW w:w="94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92.6</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and process technology</w:t>
            </w:r>
          </w:p>
        </w:tc>
        <w:tc>
          <w:tcPr>
            <w:tcW w:w="94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101.6</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94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10.9</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65.7</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w:t>
            </w:r>
          </w:p>
        </w:tc>
      </w:tr>
      <w:tr>
        <w:trPr>
          <w:trHeight w:val="203"/>
        </w:trPr>
        <w:tc>
          <w:tcPr>
            <w:tcW w:w="390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497.8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502.3</w:t>
            </w:r>
          </w:p>
        </w:tc>
      </w:tr>
      <w:tr>
        <w:trPr>
          <w:trHeight w:val="203"/>
        </w:trPr>
        <w:tc>
          <w:tcPr>
            <w:tcW w:w="390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Short-term debt</w:t>
      </w:r>
    </w:p>
    <w:p>
      <w:pPr>
        <w:spacing w:after="0" w:line="207" w:lineRule="exact"/>
        <w:rPr>
          <w:sz w:val="20"/>
          <w:szCs w:val="20"/>
          <w:color w:val="auto"/>
        </w:rPr>
      </w:pPr>
    </w:p>
    <w:p>
      <w:pPr>
        <w:jc w:val="both"/>
        <w:ind w:right="3479" w:firstLine="211"/>
        <w:spacing w:after="0" w:line="237" w:lineRule="auto"/>
        <w:rPr>
          <w:sz w:val="20"/>
          <w:szCs w:val="20"/>
          <w:color w:val="auto"/>
        </w:rPr>
      </w:pPr>
      <w:r>
        <w:rPr>
          <w:rFonts w:ascii="Courier New" w:cs="Courier New" w:eastAsia="Courier New" w:hAnsi="Courier New"/>
          <w:sz w:val="18"/>
          <w:szCs w:val="18"/>
          <w:color w:val="auto"/>
        </w:rPr>
        <w:t>The Company has a temporary revolving credit facility expiring on May 12, 1996 that provides for borrowings up to $250 million. The interest rate on borrowed funds is based on various pricing options and was 6.80% on the $200 million outstanding under the facility as of February 29,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8.   Long-term debt</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February</w:t>
            </w:r>
          </w:p>
        </w:tc>
        <w:tc>
          <w:tcPr>
            <w:tcW w:w="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August 31,</w:t>
            </w:r>
          </w:p>
        </w:tc>
      </w:tr>
      <w:tr>
        <w:trPr>
          <w:trHeight w:val="203"/>
        </w:trPr>
        <w:tc>
          <w:tcPr>
            <w:tcW w:w="3280" w:type="dxa"/>
            <w:vAlign w:val="bottom"/>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62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jc w:val="right"/>
        <w:ind w:left="540" w:right="5999" w:hanging="31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Notes payable in periodic installments through July 2015, weighted average</w:t>
      </w:r>
    </w:p>
    <w:tbl>
      <w:tblPr>
        <w:tblLayout w:type="fixed"/>
        <w:tblInd w:w="220" w:type="dxa"/>
        <w:tblCellMar>
          <w:top w:w="0" w:type="dxa"/>
          <w:left w:w="0" w:type="dxa"/>
          <w:bottom w:w="0" w:type="dxa"/>
          <w:right w:w="0" w:type="dxa"/>
        </w:tblCellMar>
      </w:tblPr>
      <w:tr>
        <w:trPr>
          <w:trHeight w:val="199"/>
        </w:trPr>
        <w:tc>
          <w:tcPr>
            <w:tcW w:w="4640" w:type="dxa"/>
            <w:vAlign w:val="bottom"/>
          </w:tcPr>
          <w:p>
            <w:pPr>
              <w:ind w:left="320"/>
              <w:spacing w:after="0" w:line="198" w:lineRule="exact"/>
              <w:rPr>
                <w:sz w:val="20"/>
                <w:szCs w:val="20"/>
                <w:color w:val="auto"/>
              </w:rPr>
            </w:pPr>
            <w:r>
              <w:rPr>
                <w:rFonts w:ascii="Courier New" w:cs="Courier New" w:eastAsia="Courier New" w:hAnsi="Courier New"/>
                <w:sz w:val="18"/>
                <w:szCs w:val="18"/>
                <w:color w:val="auto"/>
              </w:rPr>
              <w:t>interest rate of 6.65% and 6.82%,</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107.9</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89.3</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obligations, $19.8</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million due June 1997, $3 million due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October 1997, and $20.5 million due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December 1997, weighted average imputed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rate of 6.86%, and 6.85%,</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39.1</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Notes payable, due at maturity, ranging</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from December 1996 to June 1998, weighted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average interest rate of 5.01% and 5.49%,</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23.0</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payable in</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monthly installments through April 1998,</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interest rate of 7.83%</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8.94%, respectively</w:t>
            </w: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464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176.8</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155.9</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(33.1)</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w:t>
            </w:r>
          </w:p>
        </w:tc>
      </w:tr>
      <w:tr>
        <w:trPr>
          <w:trHeight w:val="203"/>
        </w:trPr>
        <w:tc>
          <w:tcPr>
            <w:tcW w:w="464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143.7</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129.4</w:t>
            </w:r>
          </w:p>
        </w:tc>
      </w:tr>
      <w:tr>
        <w:trPr>
          <w:trHeight w:val="203"/>
        </w:trPr>
        <w:tc>
          <w:tcPr>
            <w:tcW w:w="464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 Per share amounts for the second quarter of fiscal 1995 have been restated to reflect retroactively a 2 for 1 stock split effected in the form of a stock dividend to shareholders of record on May 4, 1995.</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564"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jc w:val="both"/>
        <w:ind w:right="3359" w:firstLine="211"/>
        <w:spacing w:after="0" w:line="236" w:lineRule="auto"/>
        <w:rPr>
          <w:sz w:val="20"/>
          <w:szCs w:val="20"/>
          <w:color w:val="auto"/>
        </w:rPr>
      </w:pPr>
      <w:r>
        <w:rPr>
          <w:rFonts w:ascii="Courier New" w:cs="Courier New" w:eastAsia="Courier New" w:hAnsi="Courier New"/>
          <w:sz w:val="18"/>
          <w:szCs w:val="18"/>
          <w:color w:val="auto"/>
        </w:rPr>
        <w:t>The estimated effective income tax rate for fiscal year 1996 of 38.0% principally reflects the statutory federal corporate income tax rate and the net effect of state taxation.</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As of February 29, 1996, the Company had commitments extending into fiscal 1998 of approximately $505 million for equipment purchases and $44 million for the construction of facilities. Should the Company elect to cancel its outstanding equipment purchase commitments, the Company could be subject to cancellation fees in excess of $100 million.</w:t>
      </w:r>
    </w:p>
    <w:p>
      <w:pPr>
        <w:spacing w:after="0" w:line="200" w:lineRule="exact"/>
        <w:rPr>
          <w:sz w:val="20"/>
          <w:szCs w:val="20"/>
          <w:color w:val="auto"/>
        </w:rPr>
      </w:pPr>
    </w:p>
    <w:p>
      <w:pPr>
        <w:spacing w:after="0" w:line="207"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jc w:val="both"/>
        <w:ind w:right="3359" w:firstLine="211"/>
        <w:spacing w:after="0" w:line="268"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had various product and process technology agreements expire in calendar 1995 and is not able to predict whether these license agreements can be renewed on terms acceptable to the Company.</w:t>
      </w:r>
    </w:p>
    <w:p>
      <w:pPr>
        <w:spacing w:after="0" w:line="208" w:lineRule="exact"/>
        <w:rPr>
          <w:sz w:val="20"/>
          <w:szCs w:val="20"/>
          <w:color w:val="auto"/>
        </w:rPr>
      </w:pPr>
    </w:p>
    <w:p>
      <w:pPr>
        <w:jc w:val="both"/>
        <w:ind w:right="3479" w:firstLine="211"/>
        <w:spacing w:after="0" w:line="237" w:lineRule="auto"/>
        <w:rPr>
          <w:sz w:val="20"/>
          <w:szCs w:val="20"/>
          <w:color w:val="auto"/>
        </w:rPr>
      </w:pPr>
      <w:r>
        <w:rPr>
          <w:rFonts w:ascii="Courier New" w:cs="Courier New" w:eastAsia="Courier New" w:hAnsi="Courier New"/>
          <w:sz w:val="18"/>
          <w:szCs w:val="18"/>
          <w:color w:val="auto"/>
        </w:rPr>
        <w:t>The Company is a party to various legal actions arising out of the normal course of business, none of which is expected to have a material effect on the Company's financial position or results of operations.</w:t>
      </w:r>
    </w:p>
    <w:p>
      <w:pPr>
        <w:ind w:left="3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14" w:right="1440" w:bottom="1440" w:gutter="0" w:footer="0" w:header="0"/>
        </w:sectPr>
      </w:pPr>
    </w:p>
    <w:bookmarkStart w:id="9" w:name="page10"/>
    <w:bookmarkEnd w:id="9"/>
    <w:p>
      <w:pPr>
        <w:ind w:right="303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3579" w:firstLine="211"/>
        <w:spacing w:after="0" w:line="237" w:lineRule="auto"/>
        <w:rPr>
          <w:sz w:val="20"/>
          <w:szCs w:val="20"/>
          <w:color w:val="auto"/>
        </w:rPr>
      </w:pPr>
      <w:r>
        <w:rPr>
          <w:rFonts w:ascii="Courier New" w:cs="Courier New" w:eastAsia="Courier New" w:hAnsi="Courier New"/>
          <w:sz w:val="18"/>
          <w:szCs w:val="18"/>
          <w:color w:val="auto"/>
        </w:rPr>
        <w:t>The following discussion contains trend information and other forward looking statements that involve a number of risks and uncertainties. The Company's actual results could differ materially from the Company's historical results of operations and those discussed in the forward looking statements. Factors that could cause actual results to differ materially are included, but are not limited to, those identified in "Certain Factors".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All period references are to the Company's fiscal periods ended February 29, 1996, November 30, 1995, and March 2, 1995, unless otherwise indicated. Share and per share amounts for the first quarter and first six months of 1995 have been restated to reflect a 2 for 1 stock split effected in the form of a stock dividend to shareholders of record on May 4, 1995. Quarterly financial results may not be indicative of the financial results for any future period. All tabular dollar amounts are stated in millions.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income for the second quarter of 1996 was $188 million, or</w:t>
      </w:r>
    </w:p>
    <w:p>
      <w:pPr>
        <w:spacing w:after="0" w:line="238" w:lineRule="auto"/>
        <w:rPr>
          <w:sz w:val="20"/>
          <w:szCs w:val="20"/>
          <w:color w:val="auto"/>
        </w:rPr>
      </w:pPr>
      <w:r>
        <w:rPr>
          <w:rFonts w:ascii="Courier New" w:cs="Courier New" w:eastAsia="Courier New" w:hAnsi="Courier New"/>
          <w:sz w:val="18"/>
          <w:szCs w:val="18"/>
          <w:color w:val="auto"/>
        </w:rPr>
        <w:t>$0.87 per fully diluted share, on net sales of $997 million</w:t>
      </w:r>
    </w:p>
    <w:p>
      <w:pPr>
        <w:spacing w:after="0"/>
        <w:rPr>
          <w:sz w:val="20"/>
          <w:szCs w:val="20"/>
          <w:color w:val="auto"/>
        </w:rPr>
      </w:pPr>
      <w:r>
        <w:rPr>
          <w:rFonts w:ascii="Courier New" w:cs="Courier New" w:eastAsia="Courier New" w:hAnsi="Courier New"/>
          <w:sz w:val="18"/>
          <w:szCs w:val="18"/>
          <w:color w:val="auto"/>
        </w:rPr>
        <w:t>compared to net income of $184 million, or $0.86 per fully-</w:t>
      </w:r>
    </w:p>
    <w:p>
      <w:pPr>
        <w:spacing w:after="0" w:line="237" w:lineRule="auto"/>
        <w:rPr>
          <w:sz w:val="20"/>
          <w:szCs w:val="20"/>
          <w:color w:val="auto"/>
        </w:rPr>
      </w:pPr>
      <w:r>
        <w:rPr>
          <w:rFonts w:ascii="Courier New" w:cs="Courier New" w:eastAsia="Courier New" w:hAnsi="Courier New"/>
          <w:sz w:val="18"/>
          <w:szCs w:val="18"/>
          <w:color w:val="auto"/>
        </w:rPr>
        <w:t>diluted share, on net sales of $629 million for the second</w:t>
      </w:r>
    </w:p>
    <w:p>
      <w:pPr>
        <w:spacing w:after="0"/>
        <w:tabs>
          <w:tab w:leader="none" w:pos="1880" w:val="left"/>
        </w:tabs>
        <w:rPr>
          <w:sz w:val="20"/>
          <w:szCs w:val="20"/>
          <w:color w:val="auto"/>
        </w:rPr>
      </w:pPr>
      <w:r>
        <w:rPr>
          <w:rFonts w:ascii="Courier New" w:cs="Courier New" w:eastAsia="Courier New" w:hAnsi="Courier New"/>
          <w:sz w:val="18"/>
          <w:szCs w:val="18"/>
          <w:color w:val="auto"/>
        </w:rPr>
        <w:t>quarter of 1995.</w:t>
      </w:r>
      <w:r>
        <w:rPr>
          <w:sz w:val="20"/>
          <w:szCs w:val="20"/>
          <w:color w:val="auto"/>
        </w:rPr>
        <w:tab/>
      </w:r>
      <w:r>
        <w:rPr>
          <w:rFonts w:ascii="Courier New" w:cs="Courier New" w:eastAsia="Courier New" w:hAnsi="Courier New"/>
          <w:sz w:val="16"/>
          <w:szCs w:val="16"/>
          <w:color w:val="auto"/>
        </w:rPr>
        <w:t>For the first six months of 1996, net income</w:t>
      </w:r>
    </w:p>
    <w:p>
      <w:pPr>
        <w:spacing w:after="0"/>
        <w:rPr>
          <w:sz w:val="20"/>
          <w:szCs w:val="20"/>
          <w:color w:val="auto"/>
        </w:rPr>
      </w:pPr>
      <w:r>
        <w:rPr>
          <w:rFonts w:ascii="Courier New" w:cs="Courier New" w:eastAsia="Courier New" w:hAnsi="Courier New"/>
          <w:sz w:val="18"/>
          <w:szCs w:val="18"/>
          <w:color w:val="auto"/>
        </w:rPr>
        <w:t>was $517 million, or $2.39 per fully-diluted share, on net sales</w:t>
      </w:r>
    </w:p>
    <w:p>
      <w:pPr>
        <w:spacing w:after="0" w:line="237" w:lineRule="auto"/>
        <w:rPr>
          <w:sz w:val="20"/>
          <w:szCs w:val="20"/>
          <w:color w:val="auto"/>
        </w:rPr>
      </w:pPr>
      <w:r>
        <w:rPr>
          <w:rFonts w:ascii="Courier New" w:cs="Courier New" w:eastAsia="Courier New" w:hAnsi="Courier New"/>
          <w:sz w:val="18"/>
          <w:szCs w:val="18"/>
          <w:color w:val="auto"/>
        </w:rPr>
        <w:t>of $2,182 million compared to net income of $343 million, or</w:t>
      </w:r>
    </w:p>
    <w:p>
      <w:pPr>
        <w:spacing w:after="0"/>
        <w:rPr>
          <w:sz w:val="20"/>
          <w:szCs w:val="20"/>
          <w:color w:val="auto"/>
        </w:rPr>
      </w:pPr>
      <w:r>
        <w:rPr>
          <w:rFonts w:ascii="Courier New" w:cs="Courier New" w:eastAsia="Courier New" w:hAnsi="Courier New"/>
          <w:sz w:val="18"/>
          <w:szCs w:val="18"/>
          <w:color w:val="auto"/>
        </w:rPr>
        <w:t>$1.61 per fully-diluted share, on net sales of $1,164 million for</w:t>
      </w:r>
    </w:p>
    <w:p>
      <w:pPr>
        <w:spacing w:after="0"/>
        <w:tabs>
          <w:tab w:leader="none" w:pos="3260" w:val="left"/>
        </w:tabs>
        <w:rPr>
          <w:sz w:val="20"/>
          <w:szCs w:val="20"/>
          <w:color w:val="auto"/>
        </w:rPr>
      </w:pPr>
      <w:r>
        <w:rPr>
          <w:rFonts w:ascii="Courier New" w:cs="Courier New" w:eastAsia="Courier New" w:hAnsi="Courier New"/>
          <w:sz w:val="18"/>
          <w:szCs w:val="18"/>
          <w:color w:val="auto"/>
        </w:rPr>
        <w:t>the first six months of 1995.</w:t>
      </w:r>
      <w:r>
        <w:rPr>
          <w:sz w:val="20"/>
          <w:szCs w:val="20"/>
          <w:color w:val="auto"/>
        </w:rPr>
        <w:tab/>
      </w:r>
      <w:r>
        <w:rPr>
          <w:rFonts w:ascii="Courier New" w:cs="Courier New" w:eastAsia="Courier New" w:hAnsi="Courier New"/>
          <w:sz w:val="16"/>
          <w:szCs w:val="16"/>
          <w:color w:val="auto"/>
        </w:rPr>
        <w:t>The Company previously reported</w:t>
      </w:r>
    </w:p>
    <w:p>
      <w:pPr>
        <w:spacing w:after="0"/>
        <w:rPr>
          <w:sz w:val="20"/>
          <w:szCs w:val="20"/>
          <w:color w:val="auto"/>
        </w:rPr>
      </w:pPr>
      <w:r>
        <w:rPr>
          <w:rFonts w:ascii="Courier New" w:cs="Courier New" w:eastAsia="Courier New" w:hAnsi="Courier New"/>
          <w:sz w:val="18"/>
          <w:szCs w:val="18"/>
          <w:color w:val="auto"/>
        </w:rPr>
        <w:t>net sales of $1,186 million and net income of $329, or $1.51</w:t>
      </w:r>
    </w:p>
    <w:p>
      <w:pPr>
        <w:spacing w:after="0" w:line="237" w:lineRule="auto"/>
        <w:rPr>
          <w:sz w:val="20"/>
          <w:szCs w:val="20"/>
          <w:color w:val="auto"/>
        </w:rPr>
      </w:pPr>
      <w:r>
        <w:rPr>
          <w:rFonts w:ascii="Courier New" w:cs="Courier New" w:eastAsia="Courier New" w:hAnsi="Courier New"/>
          <w:sz w:val="18"/>
          <w:szCs w:val="18"/>
          <w:color w:val="auto"/>
        </w:rPr>
        <w:t>per fully diluted share, for its first quarter of 1996.</w:t>
      </w:r>
    </w:p>
    <w:p>
      <w:pPr>
        <w:spacing w:after="0" w:line="207" w:lineRule="exact"/>
        <w:rPr>
          <w:sz w:val="20"/>
          <w:szCs w:val="20"/>
          <w:color w:val="auto"/>
        </w:rPr>
      </w:pPr>
    </w:p>
    <w:p>
      <w:pPr>
        <w:ind w:right="3359" w:firstLine="211"/>
        <w:spacing w:after="0" w:line="269" w:lineRule="auto"/>
        <w:rPr>
          <w:sz w:val="20"/>
          <w:szCs w:val="20"/>
          <w:color w:val="auto"/>
        </w:rPr>
      </w:pPr>
      <w:r>
        <w:rPr>
          <w:rFonts w:ascii="Courier New" w:cs="Courier New" w:eastAsia="Courier New" w:hAnsi="Courier New"/>
          <w:sz w:val="16"/>
          <w:szCs w:val="16"/>
          <w:color w:val="auto"/>
        </w:rPr>
        <w:t>The principal cause of the decline in net sales and net income for the second quarter compared to the first quarter of 1996 was the significantly lower average selling prices of semiconductor memory products, partially offset by the relatively higher level of net sales of the Company's Micron brand PC systems. The volume of semiconductor memory sold in the second quarter dropped approximately 12% compared to the first quarter of 1996 as finished goods inventory increased resulting in part from changes in the Company's major customers' purchasing and inventory management strategies, and due to a slight decrease in production of semiconductor memory. The production decline was principally a result of inefficiencies encountered in the conversion of Fab III to 8-inch wafer processing. The Company has completed the 8-inch wafer start conversion of Fab III and recently began converting wafer starts in Fab I/II. While completion of the conversion of Fab I/II is conditioned upon market conditions for semiconductor memory products, such completion is anticipated prior to the end of calendar 1996. Due to customer demand, the Company has accelerated its transition from the relatively mature 4 Meg DRAM to the 16 Meg DRAM.</w:t>
      </w:r>
    </w:p>
    <w:p>
      <w:pPr>
        <w:spacing w:after="0" w:line="394"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Results of the second quarter were also adversely affected by a one-time $29.9 million pre-tax restructuring charge resulting from the decisions by its approximately 80% owned subsidiary, Micron Electronics, Inc., to discontinue sales of ZEOS brand</w:t>
      </w:r>
    </w:p>
    <w:p>
      <w:pPr>
        <w:spacing w:after="0" w:line="5"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PC systems and to close the related PC manufacturing operations in Minneapolis, Minnesota. The restructuring charge reduced second quarter fully diluted earnings per share by $0.09.</w:t>
      </w:r>
    </w:p>
    <w:p>
      <w:pPr>
        <w:ind w:left="3900"/>
        <w:spacing w:after="0" w:line="233" w:lineRule="auto"/>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Results of Operations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2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6"/>
              </w:rPr>
              <w:t>Second Quarter</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Six Months Ended</w:t>
            </w:r>
          </w:p>
        </w:tc>
        <w:tc>
          <w:tcPr>
            <w:tcW w:w="90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2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71"/>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Change</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Change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740" w:type="dxa"/>
            <w:vAlign w:val="bottom"/>
          </w:tcPr>
          <w:p>
            <w:pPr>
              <w:spacing w:after="0"/>
              <w:rPr>
                <w:sz w:val="17"/>
                <w:szCs w:val="17"/>
                <w:color w:val="auto"/>
              </w:rPr>
            </w:pPr>
          </w:p>
        </w:tc>
        <w:tc>
          <w:tcPr>
            <w:tcW w:w="2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71"/>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480" w:type="dxa"/>
            <w:vAlign w:val="bottom"/>
          </w:tcPr>
          <w:p>
            <w:pPr>
              <w:ind w:left="540"/>
              <w:spacing w:after="0"/>
              <w:rPr>
                <w:sz w:val="20"/>
                <w:szCs w:val="20"/>
                <w:color w:val="auto"/>
              </w:rPr>
            </w:pPr>
            <w:r>
              <w:rPr>
                <w:rFonts w:ascii="Courier New" w:cs="Courier New" w:eastAsia="Courier New" w:hAnsi="Courier New"/>
                <w:sz w:val="18"/>
                <w:szCs w:val="18"/>
                <w:color w:val="auto"/>
              </w:rPr>
              <w:t>$  996.5</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58.6%</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628.5</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$2,182.3</w:t>
            </w:r>
          </w:p>
        </w:tc>
        <w:tc>
          <w:tcPr>
            <w:tcW w:w="18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87.6%</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$1,163.5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Second Quarter</w:t>
            </w: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9"/>
              </w:rPr>
              <w:t>Six Months Ended</w:t>
            </w:r>
          </w:p>
        </w:tc>
        <w:tc>
          <w:tcPr>
            <w:tcW w:w="68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1740" w:type="dxa"/>
            <w:vAlign w:val="bottom"/>
            <w:gridSpan w:val="2"/>
          </w:tcPr>
          <w:p>
            <w:pPr>
              <w:ind w:left="120"/>
              <w:spacing w:after="0"/>
              <w:rPr>
                <w:sz w:val="20"/>
                <w:szCs w:val="20"/>
                <w:color w:val="auto"/>
              </w:rPr>
            </w:pPr>
            <w:r>
              <w:rPr>
                <w:rFonts w:ascii="Courier New" w:cs="Courier New" w:eastAsia="Courier New" w:hAnsi="Courier New"/>
                <w:sz w:val="12"/>
                <w:szCs w:val="12"/>
                <w:color w:val="auto"/>
                <w:w w:val="71"/>
              </w:rPr>
              <w:t>-------------------------------</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1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18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1995</w:t>
            </w:r>
          </w:p>
        </w:tc>
        <w:tc>
          <w:tcPr>
            <w:tcW w:w="20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160" w:type="dxa"/>
            <w:vAlign w:val="bottom"/>
          </w:tcPr>
          <w:p>
            <w:pPr>
              <w:spacing w:after="0"/>
              <w:rPr>
                <w:sz w:val="17"/>
                <w:szCs w:val="17"/>
                <w:color w:val="auto"/>
              </w:rPr>
            </w:pPr>
          </w:p>
        </w:tc>
        <w:tc>
          <w:tcPr>
            <w:tcW w:w="1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1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Net Sales  %</w:t>
            </w:r>
          </w:p>
        </w:tc>
        <w:tc>
          <w:tcPr>
            <w:tcW w:w="1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Net Sales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Sales</w:t>
            </w: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Sales</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1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Semiconductor memory products</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$646.0</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64.8%</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$523.7</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83.3%</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$1,515.4</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69.4%</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988.0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84.9%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Personal computer systems</w:t>
            </w: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264.9</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499.0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117.4</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85.6</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316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net sales</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$996.5</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100.0%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$628.5</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$2,182.3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$1,163.5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316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3680" w:firstLine="211"/>
        <w:spacing w:after="0" w:line="273" w:lineRule="auto"/>
        <w:rPr>
          <w:sz w:val="20"/>
          <w:szCs w:val="20"/>
          <w:color w:val="auto"/>
        </w:rPr>
      </w:pPr>
      <w:r>
        <w:rPr>
          <w:rFonts w:ascii="Courier New" w:cs="Courier New" w:eastAsia="Courier New" w:hAnsi="Courier New"/>
          <w:sz w:val="16"/>
          <w:szCs w:val="16"/>
          <w:color w:val="auto"/>
        </w:rPr>
        <w:t>The value of the Company's semiconductor memory products included in PC systems and other products is included under "Semiconductor memory products". "Other" includes revenue from contract manufacturing and module assembly services, construction management services, government contracts, and licensing fees.</w:t>
      </w:r>
    </w:p>
    <w:p>
      <w:pPr>
        <w:spacing w:after="0" w:line="185" w:lineRule="exact"/>
        <w:rPr>
          <w:sz w:val="20"/>
          <w:szCs w:val="20"/>
          <w:color w:val="auto"/>
        </w:rPr>
      </w:pPr>
    </w:p>
    <w:p>
      <w:pPr>
        <w:ind w:right="3680" w:firstLine="211"/>
        <w:spacing w:after="0" w:line="237" w:lineRule="auto"/>
        <w:rPr>
          <w:sz w:val="20"/>
          <w:szCs w:val="20"/>
          <w:color w:val="auto"/>
        </w:rPr>
      </w:pPr>
      <w:r>
        <w:rPr>
          <w:rFonts w:ascii="Courier New" w:cs="Courier New" w:eastAsia="Courier New" w:hAnsi="Courier New"/>
          <w:sz w:val="18"/>
          <w:szCs w:val="18"/>
          <w:color w:val="auto"/>
        </w:rPr>
        <w:t>The substantial increase in net sales in the second quarter of 1996 compared to the second quarter of 1995 was principally due to a higher level of net sales of PC systems and the effects of a higher level of production of semiconductor memory products partially offset by generally lower average selling prices for such products. The Company's sales of semiconductor memory products in the second quarter of 1996 decreased approximately 12% compared to the first quarter of 1996.</w:t>
      </w:r>
    </w:p>
    <w:p>
      <w:pPr>
        <w:spacing w:after="0" w:line="212" w:lineRule="exact"/>
        <w:rPr>
          <w:sz w:val="20"/>
          <w:szCs w:val="20"/>
          <w:color w:val="auto"/>
        </w:rPr>
      </w:pPr>
    </w:p>
    <w:p>
      <w:pPr>
        <w:ind w:right="3680" w:firstLine="211"/>
        <w:spacing w:after="0" w:line="238" w:lineRule="auto"/>
        <w:rPr>
          <w:sz w:val="20"/>
          <w:szCs w:val="20"/>
          <w:color w:val="auto"/>
        </w:rPr>
      </w:pPr>
      <w:r>
        <w:rPr>
          <w:rFonts w:ascii="Courier New" w:cs="Courier New" w:eastAsia="Courier New" w:hAnsi="Courier New"/>
          <w:sz w:val="18"/>
          <w:szCs w:val="18"/>
          <w:color w:val="auto"/>
        </w:rPr>
        <w:t>The volume of semiconductor memory produced in the second quarter decreased slightly compared to the first quarter of 1996 principally as a result of inefficiencies encountered in the conversion of Fab III to process 8-inch wafers. The Company has completed the 8-inch wafer start conversion of Fab III and recently began converting wafer starts in Fab I/II. While 8-inch wafers have approximately 84% greater usable surface area compared to 6-inch wafers, the Company's yields on 8-inch wafers were significantly lower in the second quarter of 1996 compared to its 6-inch wafers. In addition, wafer fabrication throughput decreased in the second quarter compared to the first quarter of 1996 principally due to the slightly increased processing time required for 8-inch wafers.</w:t>
      </w:r>
    </w:p>
    <w:p>
      <w:pPr>
        <w:spacing w:after="0" w:line="207" w:lineRule="exact"/>
        <w:rPr>
          <w:sz w:val="20"/>
          <w:szCs w:val="20"/>
          <w:color w:val="auto"/>
        </w:rPr>
      </w:pPr>
    </w:p>
    <w:p>
      <w:pPr>
        <w:ind w:right="3680" w:firstLine="211"/>
        <w:spacing w:after="0" w:line="272" w:lineRule="auto"/>
        <w:rPr>
          <w:sz w:val="20"/>
          <w:szCs w:val="20"/>
          <w:color w:val="auto"/>
        </w:rPr>
      </w:pPr>
      <w:r>
        <w:rPr>
          <w:rFonts w:ascii="Courier New" w:cs="Courier New" w:eastAsia="Courier New" w:hAnsi="Courier New"/>
          <w:sz w:val="16"/>
          <w:szCs w:val="16"/>
          <w:color w:val="auto"/>
        </w:rPr>
        <w:t>The volume of semiconductor memory sold during the second quarter dropped approximately 12% compared to the first quarter of 1996 as finished goods inventory increased. During the second quarter of 1996, certain of the Company's major customers undertook efforts to reduce their component inventories. Such practices resulted in increased downward pressure on pricing for the Company's DRAM products due to the short-term shift in demand relative to supply for such products.</w:t>
      </w:r>
    </w:p>
    <w:p>
      <w:pPr>
        <w:spacing w:after="0" w:line="385" w:lineRule="exact"/>
        <w:rPr>
          <w:sz w:val="20"/>
          <w:szCs w:val="20"/>
          <w:color w:val="auto"/>
        </w:rPr>
      </w:pPr>
    </w:p>
    <w:p>
      <w:pPr>
        <w:ind w:right="3800" w:firstLine="211"/>
        <w:spacing w:after="0" w:line="272" w:lineRule="auto"/>
        <w:rPr>
          <w:sz w:val="20"/>
          <w:szCs w:val="20"/>
          <w:color w:val="auto"/>
        </w:rPr>
      </w:pPr>
      <w:r>
        <w:rPr>
          <w:rFonts w:ascii="Courier New" w:cs="Courier New" w:eastAsia="Courier New" w:hAnsi="Courier New"/>
          <w:sz w:val="16"/>
          <w:szCs w:val="16"/>
          <w:color w:val="auto"/>
        </w:rPr>
        <w:t>The Company's average selling prices for semiconductor memory products during the second quarter decreased approximately 16% compared to the first quarter of 1996. Selling prices for the Company's semiconductor memory products were substantially lower in the latter portion of the second quarter compared to the average for the quarter. See "Certain Factors".</w:t>
      </w:r>
    </w:p>
    <w:p>
      <w:pPr>
        <w:spacing w:after="0" w:line="186" w:lineRule="exact"/>
        <w:rPr>
          <w:sz w:val="20"/>
          <w:szCs w:val="20"/>
          <w:color w:val="auto"/>
        </w:rPr>
      </w:pPr>
    </w:p>
    <w:p>
      <w:pPr>
        <w:ind w:right="4220" w:firstLine="211"/>
        <w:spacing w:after="0" w:line="268" w:lineRule="auto"/>
        <w:rPr>
          <w:sz w:val="20"/>
          <w:szCs w:val="20"/>
          <w:color w:val="auto"/>
        </w:rPr>
      </w:pPr>
      <w:r>
        <w:rPr>
          <w:rFonts w:ascii="Courier New" w:cs="Courier New" w:eastAsia="Courier New" w:hAnsi="Courier New"/>
          <w:sz w:val="16"/>
          <w:szCs w:val="16"/>
          <w:color w:val="auto"/>
        </w:rPr>
        <w:t>The 4 Meg DRAM comprised approximately 91% of sales of semiconductor memory products in the second quarter of 1996.</w:t>
      </w:r>
    </w:p>
    <w:p>
      <w:pPr>
        <w:ind w:left="3900"/>
        <w:spacing w:after="0" w:line="233" w:lineRule="auto"/>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540"/>
          </w:cols>
          <w:pgMar w:left="240" w:top="514" w:right="1119" w:bottom="362" w:gutter="0" w:footer="0" w:header="0"/>
        </w:sectPr>
      </w:pPr>
    </w:p>
    <w:bookmarkStart w:id="11" w:name="page12"/>
    <w:bookmarkEnd w:id="11"/>
    <w:p>
      <w:pPr>
        <w:ind w:right="3359" w:firstLine="211"/>
        <w:spacing w:after="0" w:line="269" w:lineRule="auto"/>
        <w:rPr>
          <w:sz w:val="20"/>
          <w:szCs w:val="20"/>
          <w:color w:val="auto"/>
        </w:rPr>
      </w:pPr>
      <w:r>
        <w:rPr>
          <w:rFonts w:ascii="Courier New" w:cs="Courier New" w:eastAsia="Courier New" w:hAnsi="Courier New"/>
          <w:sz w:val="16"/>
          <w:szCs w:val="16"/>
          <w:color w:val="auto"/>
        </w:rPr>
        <w:t>Sales of PC systems, excluding the value of the Company's semiconductor memory included therein, increased to approximately 27% of the Company's total net sales for the second quarter of 1996 from approximately 12% in the second quarter of 1995. Sales of PC systems were higher in 1996 primarily as a result of higher unit sales of Micron brand PC systems and higher sales under government contract, offset in part by a decline in the unit sales of ZEOS brand PC systems. The increase in direct unit sales of Micron brand PC systems was principally a result of enhanced name recognition and market acceptance of such systems, which the Company attributes to the receipt of a number of awards from computer trade magazines relating to price and performance characteristics of such systems and the Company's service and support functions. In the event the Company is not successful in winning such awards in the future, consumer interest in its PC systems could decline materially. Slightly higher overall average selling prices of the Company's PC systems in the second quarter of 1996 compared to the second quarter of 1995 resulted primarily from the increased sales of Pentium microprocessor based PC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6"/>
              </w:rPr>
              <w:t>Second Quarter</w:t>
            </w:r>
          </w:p>
        </w:tc>
        <w:tc>
          <w:tcPr>
            <w:tcW w:w="1000" w:type="dxa"/>
            <w:vAlign w:val="bottom"/>
          </w:tcPr>
          <w:p>
            <w:pPr>
              <w:spacing w:after="0"/>
              <w:rPr>
                <w:sz w:val="17"/>
                <w:szCs w:val="17"/>
                <w:color w:val="auto"/>
              </w:rPr>
            </w:pPr>
          </w:p>
        </w:tc>
        <w:tc>
          <w:tcPr>
            <w:tcW w:w="268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Six Months Ended</w:t>
            </w:r>
          </w:p>
        </w:tc>
        <w:tc>
          <w:tcPr>
            <w:tcW w:w="64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spacing w:after="0"/>
              <w:rPr>
                <w:sz w:val="17"/>
                <w:szCs w:val="17"/>
                <w:color w:val="auto"/>
              </w:rPr>
            </w:pP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Change</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Change</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580" w:type="dxa"/>
            <w:vAlign w:val="bottom"/>
          </w:tcPr>
          <w:p>
            <w:pPr>
              <w:spacing w:after="0"/>
              <w:rPr>
                <w:sz w:val="17"/>
                <w:szCs w:val="17"/>
                <w:color w:val="auto"/>
              </w:rPr>
            </w:pPr>
          </w:p>
        </w:tc>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spacing w:after="0"/>
              <w:rPr>
                <w:sz w:val="17"/>
                <w:szCs w:val="17"/>
                <w:color w:val="auto"/>
              </w:rPr>
            </w:pP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552.1</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106.4%</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  267.5</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$1,090.2</w:t>
            </w:r>
          </w:p>
        </w:tc>
        <w:tc>
          <w:tcPr>
            <w:tcW w:w="1060" w:type="dxa"/>
            <w:vAlign w:val="bottom"/>
          </w:tcPr>
          <w:p>
            <w:pPr>
              <w:ind w:left="260"/>
              <w:spacing w:after="0"/>
              <w:rPr>
                <w:sz w:val="20"/>
                <w:szCs w:val="20"/>
                <w:color w:val="auto"/>
              </w:rPr>
            </w:pPr>
            <w:r>
              <w:rPr>
                <w:rFonts w:ascii="Courier New" w:cs="Courier New" w:eastAsia="Courier New" w:hAnsi="Courier New"/>
                <w:sz w:val="18"/>
                <w:szCs w:val="18"/>
                <w:color w:val="auto"/>
              </w:rPr>
              <w:t>121.6%</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492.0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 %</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44.6%</w:t>
            </w:r>
          </w:p>
        </w:tc>
        <w:tc>
          <w:tcPr>
            <w:tcW w:w="1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w:t>
            </w:r>
          </w:p>
        </w:tc>
      </w:tr>
    </w:tbl>
    <w:p>
      <w:pPr>
        <w:spacing w:after="0" w:line="200" w:lineRule="exact"/>
        <w:rPr>
          <w:sz w:val="20"/>
          <w:szCs w:val="20"/>
          <w:color w:val="auto"/>
        </w:rPr>
      </w:pPr>
    </w:p>
    <w:p>
      <w:pPr>
        <w:spacing w:after="0" w:line="209"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Company's gross margin percentage was lower in the second quarter of 1996 than in the second quarter of 1995 primarily as a result of generally lower average selling prices on sales of semiconductor memory products and the effect of increased</w:t>
      </w:r>
    </w:p>
    <w:p>
      <w:pPr>
        <w:spacing w:after="0" w:line="5"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sales of PC systems which generally have a lower gross margin percentage compared to the balance of the Company's products. The Company's gross margin percentage on sales of semiconductor memory products for the second quarter of 1996 was approximately 62% compared to approximately 64% in the second quarter of 1995, and 70% in the first quarter of 1996.</w:t>
      </w:r>
    </w:p>
    <w:p>
      <w:pPr>
        <w:spacing w:after="0" w:line="210" w:lineRule="exact"/>
        <w:rPr>
          <w:sz w:val="20"/>
          <w:szCs w:val="20"/>
          <w:color w:val="auto"/>
        </w:rPr>
      </w:pPr>
    </w:p>
    <w:p>
      <w:pPr>
        <w:ind w:right="3359" w:firstLine="211"/>
        <w:spacing w:after="0" w:line="271" w:lineRule="auto"/>
        <w:rPr>
          <w:sz w:val="20"/>
          <w:szCs w:val="20"/>
          <w:color w:val="auto"/>
        </w:rPr>
      </w:pPr>
      <w:r>
        <w:rPr>
          <w:rFonts w:ascii="Courier New" w:cs="Courier New" w:eastAsia="Courier New" w:hAnsi="Courier New"/>
          <w:sz w:val="16"/>
          <w:szCs w:val="16"/>
          <w:color w:val="auto"/>
        </w:rPr>
        <w:t>The lower gross margin percentage on sales of the Company's semiconductor memory products during the second quarter compared to the first quarter of 1996 was principally due to a decrease in average selling prices for such products and inefficiencies encountered in the conversion of Fab III to process 8-inch wafers both partially offset by the effect of the Company's on-going transitions to shrink versions of existing memory products.</w:t>
      </w:r>
    </w:p>
    <w:p>
      <w:pPr>
        <w:spacing w:after="0" w:line="188"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Company is accelerating the transition of its primary semiconductor memory products from the relatively mature 4 Meg DRAM to the 16 Meg DRAM. To date, only limited quantities of 16 Meg products have been produced. The Company's transition to the 16 Meg DRAM as its principal memory product could have a negative impact on the Company's results of operations. During prior periods in which the Company transitioned to new generation products, the Company's gross margin percentages were adversely affected.</w:t>
      </w:r>
    </w:p>
    <w:p>
      <w:pPr>
        <w:spacing w:after="0" w:line="214"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The Company's gross margin percentage on sales of PC systems declined in the second quarter of 1996 compared to both the first quarter of 1996 and the second quarter of 1995, primarily as a result of price reductions for certain PC system products and loss on disposition of certain excess component inventories. To a lesser extent, the decline in the second quarter of 1996 compared to the second quarter of 1995 was partially due to an increase in the number of lower priced units shipped under government contract.</w:t>
      </w:r>
    </w:p>
    <w:p>
      <w:pPr>
        <w:spacing w:after="0" w:line="10"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The Company continues to experience significant pressure on its gross margin percentage realized for sales of PC systems as a result of intense competition in the PC industry and consumer expectations of more powerful PC systems at lower prices. Many of the Company's competitors have substantial resources and purchasing power relative to those which the Company has dedicated to its PC operations. Although the Company has begun to realize reduction in costs of components for PC systems in recent periods, the Company's gross margin percentage on sales of</w:t>
      </w:r>
    </w:p>
    <w:p>
      <w:pPr>
        <w:sectPr>
          <w:pgSz w:w="11900" w:h="16838" w:orient="portrait"/>
          <w:cols w:equalWidth="0" w:num="1">
            <w:col w:w="10219"/>
          </w:cols>
          <w:pgMar w:left="240" w:top="520" w:right="1440" w:bottom="0" w:gutter="0" w:footer="0" w:header="0"/>
        </w:sectPr>
      </w:pPr>
    </w:p>
    <w:bookmarkStart w:id="12" w:name="page13"/>
    <w:bookmarkEnd w:id="12"/>
    <w:p>
      <w:pPr>
        <w:ind w:right="3359"/>
        <w:spacing w:after="0" w:line="268" w:lineRule="auto"/>
        <w:rPr>
          <w:sz w:val="20"/>
          <w:szCs w:val="20"/>
          <w:color w:val="auto"/>
        </w:rPr>
      </w:pPr>
      <w:r>
        <w:rPr>
          <w:rFonts w:ascii="Courier New" w:cs="Courier New" w:eastAsia="Courier New" w:hAnsi="Courier New"/>
          <w:sz w:val="16"/>
          <w:szCs w:val="16"/>
          <w:color w:val="auto"/>
        </w:rPr>
        <w:t>PC systems continues to be lower than those of the Company's primary products. In the event that sales of PC systems continue to increase as a percentage of total net sales, the Company's overall gross margin percentage will be adversely affected.</w:t>
      </w:r>
    </w:p>
    <w:p>
      <w:pPr>
        <w:ind w:left="3900"/>
        <w:spacing w:after="0" w:line="234" w:lineRule="auto"/>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1440" w:gutter="0" w:footer="0" w:header="0"/>
        </w:sectPr>
      </w:pPr>
    </w:p>
    <w:bookmarkStart w:id="13" w:name="page14"/>
    <w:bookmarkEnd w:id="13"/>
    <w:p>
      <w:pPr>
        <w:ind w:right="3359" w:firstLine="211"/>
        <w:spacing w:after="0" w:line="238" w:lineRule="auto"/>
        <w:rPr>
          <w:sz w:val="20"/>
          <w:szCs w:val="20"/>
          <w:color w:val="auto"/>
        </w:rPr>
      </w:pPr>
      <w:r>
        <w:rPr>
          <w:rFonts w:ascii="Courier New" w:cs="Courier New" w:eastAsia="Courier New" w:hAnsi="Courier New"/>
          <w:sz w:val="18"/>
          <w:szCs w:val="18"/>
          <w:color w:val="auto"/>
        </w:rPr>
        <w:t>Cost of goods sold includes estimated costs of settlement or adjudication of asserted and unasserted claims for patent infringement prior to the balance sheet date, and costs of product and process technology licensing arrangements. Charges for product and process technology remained relatively constant as a percentage of net sales in the second quarter of 1996 compared to both the first quarter of 1996 and the second quarter of 1995. Future product and process technology charges may fluctuate in absolute dollars and as a percentage of net sales, however, as a result of claims that may be asserted in the future, and as a result of future license arrangement. See "Certain Factors."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6"/>
              </w:rPr>
              <w:t>Second Quarter</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4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Six Months Ended</w:t>
            </w:r>
          </w:p>
        </w:tc>
        <w:tc>
          <w:tcPr>
            <w:tcW w:w="58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Change</w:t>
            </w:r>
          </w:p>
        </w:tc>
        <w:tc>
          <w:tcPr>
            <w:tcW w:w="2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Change</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740" w:type="dxa"/>
            <w:vAlign w:val="bottom"/>
          </w:tcPr>
          <w:p>
            <w:pPr>
              <w:spacing w:after="0"/>
              <w:rPr>
                <w:sz w:val="17"/>
                <w:szCs w:val="17"/>
                <w:color w:val="auto"/>
              </w:rPr>
            </w:pPr>
          </w:p>
        </w:tc>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Selling, general, and</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70.4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80.5%</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146.8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90.2%</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r>
    </w:tbl>
    <w:p>
      <w:pPr>
        <w:spacing w:after="0" w:line="200" w:lineRule="exact"/>
        <w:rPr>
          <w:sz w:val="20"/>
          <w:szCs w:val="20"/>
          <w:color w:val="auto"/>
        </w:rPr>
      </w:pPr>
    </w:p>
    <w:p>
      <w:pPr>
        <w:spacing w:after="0" w:line="209"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higher level of selling, general, and administrative expenses during the second quarter and first six months of 1996 as compared to comparable periods of 1995 resulted primarily from personnel costs and depreciation charges associated with the administrative and information systems support for the Company's ongoing expansion plans and the Company's profit sharing programs, a higher level of legal fees, and a higher level of advertising costs incurred in conjunction with the Company's increase in sales of PC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6"/>
              </w:rPr>
              <w:t>Second Quarter</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4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Six Months Ended</w:t>
            </w:r>
          </w:p>
        </w:tc>
        <w:tc>
          <w:tcPr>
            <w:tcW w:w="58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Change</w:t>
            </w:r>
          </w:p>
        </w:tc>
        <w:tc>
          <w:tcPr>
            <w:tcW w:w="2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Change</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900" w:type="dxa"/>
            <w:vAlign w:val="bottom"/>
          </w:tcPr>
          <w:p>
            <w:pPr>
              <w:spacing w:after="0"/>
              <w:rPr>
                <w:sz w:val="17"/>
                <w:szCs w:val="17"/>
                <w:color w:val="auto"/>
              </w:rPr>
            </w:pP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Research and development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48.0</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66.1%</w:t>
            </w:r>
          </w:p>
        </w:tc>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28.9</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94.6</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69.2%</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55.9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bl>
    <w:p>
      <w:pPr>
        <w:spacing w:after="0" w:line="200" w:lineRule="exact"/>
        <w:rPr>
          <w:sz w:val="20"/>
          <w:szCs w:val="20"/>
          <w:color w:val="auto"/>
        </w:rPr>
      </w:pPr>
    </w:p>
    <w:p>
      <w:pPr>
        <w:spacing w:after="0" w:line="209"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Research and development expenses vary primarily with the number of wafers and personnel dedicated to new product and process development. Research and development efforts in the second quarter of 1996 were focused primarily on further development of 16 Meg and 4 Meg DRAM shrinks, and design and development of non-volatile semiconductor memory devices, the 34K x 36 synchronous SRAM, and next generation DRAM densities. The Company expects research and development expenses in the remainder of 1996 to be higher than comparable periods in 1995 as additional resources are dedicated to the development of 16 Meg and 4 Meg DRAM shrinks, design and development of next generation DRAM densities, and new technologies including radio frequency identification systems, non-volatile semiconductor memory devices, and field emission flat panel displays.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7"/>
              </w:rPr>
              <w:t>Second Quarter</w:t>
            </w:r>
          </w:p>
        </w:tc>
        <w:tc>
          <w:tcPr>
            <w:tcW w:w="1000" w:type="dxa"/>
            <w:vAlign w:val="bottom"/>
          </w:tcPr>
          <w:p>
            <w:pPr>
              <w:spacing w:after="0"/>
              <w:rPr>
                <w:sz w:val="17"/>
                <w:szCs w:val="17"/>
                <w:color w:val="auto"/>
              </w:rPr>
            </w:pPr>
          </w:p>
        </w:tc>
        <w:tc>
          <w:tcPr>
            <w:tcW w:w="268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Six Months Ended</w:t>
            </w:r>
          </w:p>
        </w:tc>
        <w:tc>
          <w:tcPr>
            <w:tcW w:w="64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30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71"/>
              </w:rPr>
              <w:t>-------------------------------</w:t>
            </w:r>
          </w:p>
        </w:tc>
        <w:tc>
          <w:tcPr>
            <w:tcW w:w="1000" w:type="dxa"/>
            <w:vAlign w:val="bottom"/>
          </w:tcPr>
          <w:p>
            <w:pPr>
              <w:spacing w:after="0"/>
              <w:rPr>
                <w:sz w:val="17"/>
                <w:szCs w:val="17"/>
                <w:color w:val="auto"/>
              </w:rPr>
            </w:pP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Change</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Change</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700" w:type="dxa"/>
            <w:vAlign w:val="bottom"/>
          </w:tcPr>
          <w:p>
            <w:pPr>
              <w:spacing w:after="0"/>
              <w:rPr>
                <w:sz w:val="17"/>
                <w:szCs w:val="17"/>
                <w:color w:val="auto"/>
              </w:rPr>
            </w:pPr>
          </w:p>
        </w:tc>
        <w:tc>
          <w:tcPr>
            <w:tcW w:w="30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71"/>
              </w:rPr>
              <w:t>-------------------------------</w:t>
            </w:r>
          </w:p>
        </w:tc>
        <w:tc>
          <w:tcPr>
            <w:tcW w:w="1000" w:type="dxa"/>
            <w:vAlign w:val="bottom"/>
          </w:tcPr>
          <w:p>
            <w:pPr>
              <w:spacing w:after="0"/>
              <w:rPr>
                <w:sz w:val="17"/>
                <w:szCs w:val="17"/>
                <w:color w:val="auto"/>
              </w:rPr>
            </w:pP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1520" w:type="dxa"/>
            <w:vAlign w:val="bottom"/>
          </w:tcPr>
          <w:p>
            <w:pPr>
              <w:ind w:left="580"/>
              <w:spacing w:after="0"/>
              <w:rPr>
                <w:sz w:val="20"/>
                <w:szCs w:val="20"/>
                <w:color w:val="auto"/>
              </w:rPr>
            </w:pPr>
            <w:r>
              <w:rPr>
                <w:rFonts w:ascii="Courier New" w:cs="Courier New" w:eastAsia="Courier New" w:hAnsi="Courier New"/>
                <w:sz w:val="18"/>
                <w:szCs w:val="18"/>
                <w:color w:val="auto"/>
              </w:rPr>
              <w:t>$  112.3</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  116.1</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316.9</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54.1%</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205.7</w:t>
            </w:r>
          </w:p>
        </w:tc>
      </w:tr>
    </w:tbl>
    <w:p>
      <w:pPr>
        <w:spacing w:after="0" w:line="200" w:lineRule="exact"/>
        <w:rPr>
          <w:sz w:val="20"/>
          <w:szCs w:val="20"/>
          <w:color w:val="auto"/>
        </w:rPr>
      </w:pPr>
    </w:p>
    <w:p>
      <w:pPr>
        <w:spacing w:after="0" w:line="209" w:lineRule="exact"/>
        <w:rPr>
          <w:sz w:val="20"/>
          <w:szCs w:val="20"/>
          <w:color w:val="auto"/>
        </w:rPr>
      </w:pPr>
    </w:p>
    <w:p>
      <w:pPr>
        <w:jc w:val="both"/>
        <w:ind w:right="3479" w:firstLine="211"/>
        <w:spacing w:after="0" w:line="237" w:lineRule="auto"/>
        <w:rPr>
          <w:sz w:val="20"/>
          <w:szCs w:val="20"/>
          <w:color w:val="auto"/>
        </w:rPr>
      </w:pPr>
      <w:r>
        <w:rPr>
          <w:rFonts w:ascii="Courier New" w:cs="Courier New" w:eastAsia="Courier New" w:hAnsi="Courier New"/>
          <w:sz w:val="18"/>
          <w:szCs w:val="18"/>
          <w:color w:val="auto"/>
        </w:rPr>
        <w:t>The effective income tax rate for the first six months of 1996 of 38.0% represents a slight increase compared to the 37.5% rate for the prior fiscal year principally due to a change in the mix of sales among taxing jurisdictions and the decreased effect of state tax credits.</w:t>
      </w:r>
    </w:p>
    <w:p>
      <w:pPr>
        <w:sectPr>
          <w:pgSz w:w="11900" w:h="16838" w:orient="portrait"/>
          <w:cols w:equalWidth="0" w:num="1">
            <w:col w:w="10219"/>
          </w:cols>
          <w:pgMar w:left="240" w:top="520"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Company had cash and liquid investments of $398 million</w:t>
      </w:r>
    </w:p>
    <w:p>
      <w:pPr>
        <w:spacing w:after="0" w:line="238" w:lineRule="auto"/>
        <w:rPr>
          <w:sz w:val="20"/>
          <w:szCs w:val="20"/>
          <w:color w:val="auto"/>
        </w:rPr>
      </w:pPr>
      <w:r>
        <w:rPr>
          <w:rFonts w:ascii="Courier New" w:cs="Courier New" w:eastAsia="Courier New" w:hAnsi="Courier New"/>
          <w:sz w:val="18"/>
          <w:szCs w:val="18"/>
          <w:color w:val="auto"/>
        </w:rPr>
        <w:t>as of February 29, 1996, representing a decrease of $158</w:t>
      </w:r>
    </w:p>
    <w:p>
      <w:pPr>
        <w:spacing w:after="0"/>
        <w:tabs>
          <w:tab w:leader="none" w:pos="4840" w:val="left"/>
        </w:tabs>
        <w:rPr>
          <w:sz w:val="20"/>
          <w:szCs w:val="20"/>
          <w:color w:val="auto"/>
        </w:rPr>
      </w:pPr>
      <w:r>
        <w:rPr>
          <w:rFonts w:ascii="Courier New" w:cs="Courier New" w:eastAsia="Courier New" w:hAnsi="Courier New"/>
          <w:sz w:val="18"/>
          <w:szCs w:val="18"/>
          <w:color w:val="auto"/>
        </w:rPr>
        <w:t>million during the first six months of 1996.</w:t>
      </w:r>
      <w:r>
        <w:rPr>
          <w:sz w:val="20"/>
          <w:szCs w:val="20"/>
          <w:color w:val="auto"/>
        </w:rPr>
        <w:tab/>
      </w:r>
      <w:r>
        <w:rPr>
          <w:rFonts w:ascii="Courier New" w:cs="Courier New" w:eastAsia="Courier New" w:hAnsi="Courier New"/>
          <w:sz w:val="16"/>
          <w:szCs w:val="16"/>
          <w:color w:val="auto"/>
        </w:rPr>
        <w:t>The Company's</w:t>
      </w:r>
    </w:p>
    <w:p>
      <w:pPr>
        <w:spacing w:after="0" w:line="237" w:lineRule="auto"/>
        <w:rPr>
          <w:sz w:val="20"/>
          <w:szCs w:val="20"/>
          <w:color w:val="auto"/>
        </w:rPr>
      </w:pPr>
      <w:r>
        <w:rPr>
          <w:rFonts w:ascii="Courier New" w:cs="Courier New" w:eastAsia="Courier New" w:hAnsi="Courier New"/>
          <w:sz w:val="18"/>
          <w:szCs w:val="18"/>
          <w:color w:val="auto"/>
        </w:rPr>
        <w:t>principal sources of liquidity during the first six months of</w:t>
      </w:r>
    </w:p>
    <w:p>
      <w:pPr>
        <w:spacing w:after="0" w:line="238" w:lineRule="auto"/>
        <w:rPr>
          <w:sz w:val="20"/>
          <w:szCs w:val="20"/>
          <w:color w:val="auto"/>
        </w:rPr>
      </w:pPr>
      <w:r>
        <w:rPr>
          <w:rFonts w:ascii="Courier New" w:cs="Courier New" w:eastAsia="Courier New" w:hAnsi="Courier New"/>
          <w:sz w:val="18"/>
          <w:szCs w:val="18"/>
          <w:color w:val="auto"/>
        </w:rPr>
        <w:t>1996 were cash flows from operations of $694 million,</w:t>
      </w:r>
    </w:p>
    <w:p>
      <w:pPr>
        <w:spacing w:after="0"/>
        <w:rPr>
          <w:sz w:val="20"/>
          <w:szCs w:val="20"/>
          <w:color w:val="auto"/>
        </w:rPr>
      </w:pPr>
      <w:r>
        <w:rPr>
          <w:rFonts w:ascii="Courier New" w:cs="Courier New" w:eastAsia="Courier New" w:hAnsi="Courier New"/>
          <w:sz w:val="18"/>
          <w:szCs w:val="18"/>
          <w:color w:val="auto"/>
        </w:rPr>
        <w:t>borrowings under the Company's bank credit agreement of $200</w:t>
      </w:r>
    </w:p>
    <w:p>
      <w:pPr>
        <w:spacing w:after="0"/>
        <w:tabs>
          <w:tab w:leader="none" w:pos="5360" w:val="left"/>
        </w:tabs>
        <w:rPr>
          <w:sz w:val="20"/>
          <w:szCs w:val="20"/>
          <w:color w:val="auto"/>
        </w:rPr>
      </w:pPr>
      <w:r>
        <w:rPr>
          <w:rFonts w:ascii="Courier New" w:cs="Courier New" w:eastAsia="Courier New" w:hAnsi="Courier New"/>
          <w:sz w:val="18"/>
          <w:szCs w:val="18"/>
          <w:color w:val="auto"/>
        </w:rPr>
        <w:t>million, and equipment financing of $151 million.</w:t>
      </w:r>
      <w:r>
        <w:rPr>
          <w:sz w:val="20"/>
          <w:szCs w:val="20"/>
          <w:color w:val="auto"/>
        </w:rPr>
        <w:tab/>
      </w:r>
      <w:r>
        <w:rPr>
          <w:rFonts w:ascii="Courier New" w:cs="Courier New" w:eastAsia="Courier New" w:hAnsi="Courier New"/>
          <w:sz w:val="16"/>
          <w:szCs w:val="16"/>
          <w:color w:val="auto"/>
        </w:rPr>
        <w:t>The</w:t>
      </w:r>
    </w:p>
    <w:p>
      <w:pPr>
        <w:spacing w:after="0"/>
        <w:rPr>
          <w:sz w:val="20"/>
          <w:szCs w:val="20"/>
          <w:color w:val="auto"/>
        </w:rPr>
      </w:pPr>
      <w:r>
        <w:rPr>
          <w:rFonts w:ascii="Courier New" w:cs="Courier New" w:eastAsia="Courier New" w:hAnsi="Courier New"/>
          <w:sz w:val="18"/>
          <w:szCs w:val="18"/>
          <w:color w:val="auto"/>
        </w:rPr>
        <w:t>principal uses of funds in the first six months of 1996 were</w:t>
      </w:r>
    </w:p>
    <w:p>
      <w:pPr>
        <w:spacing w:after="0" w:line="237" w:lineRule="auto"/>
        <w:rPr>
          <w:sz w:val="20"/>
          <w:szCs w:val="20"/>
          <w:color w:val="auto"/>
        </w:rPr>
      </w:pPr>
      <w:r>
        <w:rPr>
          <w:rFonts w:ascii="Courier New" w:cs="Courier New" w:eastAsia="Courier New" w:hAnsi="Courier New"/>
          <w:sz w:val="18"/>
          <w:szCs w:val="18"/>
          <w:color w:val="auto"/>
        </w:rPr>
        <w:t>$1,101 million for property, plant, and equipment, $126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for repayments of equipment contracts and long-term debt.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6" w:right="1440" w:bottom="1440" w:gutter="0" w:footer="0" w:header="0"/>
        </w:sectPr>
      </w:pPr>
    </w:p>
    <w:bookmarkStart w:id="15" w:name="page16"/>
    <w:bookmarkEnd w:id="15"/>
    <w:p>
      <w:pPr>
        <w:ind w:right="3359" w:firstLine="211"/>
        <w:spacing w:after="0" w:line="269" w:lineRule="auto"/>
        <w:rPr>
          <w:sz w:val="20"/>
          <w:szCs w:val="20"/>
          <w:color w:val="auto"/>
        </w:rPr>
      </w:pPr>
      <w:r>
        <w:rPr>
          <w:rFonts w:ascii="Courier New" w:cs="Courier New" w:eastAsia="Courier New" w:hAnsi="Courier New"/>
          <w:sz w:val="16"/>
          <w:szCs w:val="16"/>
          <w:color w:val="auto"/>
        </w:rPr>
        <w:t>During the second quarter of 1996, the Company entered into a temporary revolving credit facility expiring on May 12, 1996 which provides for borrowings up to $250 million. As of February 29, 1996, the Company had borrowings outstanding under the facility of $200 million. The Company is negotiating with a syndicate of banks to provide a credit agreement with aggregate borrowings of $500 million to replace the current $250 million temporary credit facility. There can be no assurance the Company will be able to negotiate terms of the financing agreement acceptable to the Company, or that the Company will be able to borrow the maximum amount available under the agreement due to expected limitations on the borrowing base and certain financial covenants. Depending on overall market conditions, the Company may pursue debt or equity financing. The inability of the Company to obtain financing on acceptable terms could significantly delay or reduce in scope the Company's capacity enhancement program and may necessitate changes in operations which could have the effect of limiting production capacity.</w:t>
      </w:r>
    </w:p>
    <w:p>
      <w:pPr>
        <w:spacing w:after="0" w:line="395"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The Company's ability to invest in its capacity enhancement program is also largely dependent on the Company's ability to generate cash flows from its operations. Cash flow from operations for the second quarter of 1996 was lower than cash flow from operations for the first quarter of 1996 resulting from a combination of lower volumes of semiconductor memory sold, and lower overall average selling prices for semiconductor memory products. Cash flow from operations is primarily influenced by average selling prices and variable cost per part for the Company's semiconductor memory products. The semiconductor memory industry has recently experienced, and may continue to experience, downward pressure on selling prices for DRAM products. Future declines in selling prices for DRAM products will further erode the Company's ability to fund capital expenditures.</w:t>
      </w:r>
    </w:p>
    <w:p>
      <w:pPr>
        <w:spacing w:after="0" w:line="208"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Completion of the Company's semiconductor memory manufacturing facility in Lehi, Utah, has been placed on indefinite hold following completion of the exterior of the facility. The Company's conversion of Fab I/II to process 8-inch wafers and expansion of the Boise facility capacity beyond existing levels, while currently proceeding, are conditioned upon future market conditions which the Company cannot predict. The Company expects capital expenditures in the remainder of 1996 to be between $600 million and $800 million.</w:t>
      </w:r>
    </w:p>
    <w:p>
      <w:pPr>
        <w:spacing w:after="0" w:line="214" w:lineRule="exact"/>
        <w:rPr>
          <w:sz w:val="20"/>
          <w:szCs w:val="20"/>
          <w:color w:val="auto"/>
        </w:rPr>
      </w:pPr>
    </w:p>
    <w:p>
      <w:pPr>
        <w:ind w:right="3579" w:firstLine="211"/>
        <w:spacing w:after="0" w:line="238" w:lineRule="auto"/>
        <w:rPr>
          <w:sz w:val="20"/>
          <w:szCs w:val="20"/>
          <w:color w:val="auto"/>
        </w:rPr>
      </w:pPr>
      <w:r>
        <w:rPr>
          <w:rFonts w:ascii="Courier New" w:cs="Courier New" w:eastAsia="Courier New" w:hAnsi="Courier New"/>
          <w:sz w:val="18"/>
          <w:szCs w:val="18"/>
          <w:color w:val="auto"/>
        </w:rPr>
        <w:t>As of February 29, 1996, the Company had contractual commitments and order cancellation fees extending through calendar 1998 of approximately $505 million for equipment purchases and approximately $44 million for the construction of facilities. Should the Company elect to cancel its outstanding equipment purchase commitments, the Company could be subject to cancellation fees in excess of $100 million. The Company believes continuing investments in manufacturing technology, facilities and equipment, research and development, and product and process technology are necessary to support growth, achieve operating efficiencies, and enhance product quality. However, there can be no assurance the Company will have sufficient sources of liquidity to fund additional investments to increase production capacity, enhance or sustain production capacity at its existing facilities, or develop new product and process technologies.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Factors</w:t>
      </w:r>
    </w:p>
    <w:p>
      <w:pPr>
        <w:spacing w:after="0" w:line="207" w:lineRule="exact"/>
        <w:rPr>
          <w:sz w:val="20"/>
          <w:szCs w:val="20"/>
          <w:color w:val="auto"/>
        </w:rPr>
      </w:pPr>
    </w:p>
    <w:p>
      <w:pPr>
        <w:ind w:right="3679" w:firstLine="211"/>
        <w:spacing w:after="0" w:line="237" w:lineRule="auto"/>
        <w:rPr>
          <w:sz w:val="20"/>
          <w:szCs w:val="20"/>
          <w:color w:val="auto"/>
        </w:rPr>
      </w:pPr>
      <w:r>
        <w:rPr>
          <w:rFonts w:ascii="Courier New" w:cs="Courier New" w:eastAsia="Courier New" w:hAnsi="Courier New"/>
          <w:sz w:val="18"/>
          <w:szCs w:val="18"/>
          <w:color w:val="auto"/>
        </w:rPr>
        <w:t>The following are important factors which could cause actual results or events to differ materially from those contained in any forward looking statements made by or on behalf of the Company.</w:t>
      </w:r>
    </w:p>
    <w:p>
      <w:pPr>
        <w:spacing w:after="0" w:line="207"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Company's selling price for semiconductor memory products</w:t>
      </w:r>
    </w:p>
    <w:p>
      <w:pPr>
        <w:sectPr>
          <w:pgSz w:w="11900" w:h="16838" w:orient="portrait"/>
          <w:cols w:equalWidth="0" w:num="1">
            <w:col w:w="10219"/>
          </w:cols>
          <w:pgMar w:left="240" w:top="723" w:right="1440" w:bottom="0" w:gutter="0" w:footer="0" w:header="0"/>
        </w:sectPr>
      </w:pPr>
    </w:p>
    <w:bookmarkStart w:id="16" w:name="page17"/>
    <w:bookmarkEnd w:id="16"/>
    <w:p>
      <w:pPr>
        <w:ind w:right="3479"/>
        <w:spacing w:after="0" w:line="238" w:lineRule="auto"/>
        <w:rPr>
          <w:sz w:val="20"/>
          <w:szCs w:val="20"/>
          <w:color w:val="auto"/>
        </w:rPr>
      </w:pPr>
      <w:r>
        <w:rPr>
          <w:rFonts w:ascii="Courier New" w:cs="Courier New" w:eastAsia="Courier New" w:hAnsi="Courier New"/>
          <w:sz w:val="18"/>
          <w:szCs w:val="18"/>
          <w:color w:val="auto"/>
        </w:rPr>
        <w:t>fluctuates significantly with real and perceived changes in the balance of supply and demand for these commodity products. As has occurred in the past in response to favorable market conditions for semiconductor memory products, many of the Company's competitors have recently added, or are in the process of adding, significant capacity for the production of semiconductor memory components. The Company is unable to estimate the amount of production capacity that is in various stages of development world-wide. The amount of capacity to be placed into production and future yield improvements by these competitors could dramatically increase world-wide supply of semiconductor memory.</w:t>
      </w:r>
    </w:p>
    <w:p>
      <w:pPr>
        <w:ind w:left="3900"/>
        <w:spacing w:after="0" w:line="238" w:lineRule="auto"/>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42" w:right="1440" w:bottom="1440" w:gutter="0" w:footer="0" w:header="0"/>
        </w:sectPr>
      </w:pPr>
    </w:p>
    <w:bookmarkStart w:id="17" w:name="page18"/>
    <w:bookmarkEnd w:id="17"/>
    <w:p>
      <w:pPr>
        <w:ind w:right="3359" w:firstLine="211"/>
        <w:spacing w:after="0" w:line="238" w:lineRule="auto"/>
        <w:rPr>
          <w:sz w:val="20"/>
          <w:szCs w:val="20"/>
          <w:color w:val="auto"/>
        </w:rPr>
      </w:pPr>
      <w:r>
        <w:rPr>
          <w:rFonts w:ascii="Courier New" w:cs="Courier New" w:eastAsia="Courier New" w:hAnsi="Courier New"/>
          <w:sz w:val="18"/>
          <w:szCs w:val="18"/>
          <w:color w:val="auto"/>
        </w:rPr>
        <w:t>DRAMs are the most widely used semiconductor memory component in most PC systems. Approximately 64% of the Company's sales of semiconductor memory products during the second quarter of 1996 were directly into the personal computer or peripheral markets. Should demand for PC systems decrease, or fail to increase in accordance with industry expectations, demand for semiconductor memory would likely decrease placing downward pressure on selling prices for the Company's semiconductor memory products. The Company is unable to predict changes in industry supply, major customer inventory management strategies, or end user demand, which are primary factors influencing pricing for the Company's semiconductor memory products. Based on discussions with major customers, the Company believes pricing for its memory semiconductor products delivered in the balance of 1996 is likely to be lower than for deliveries of such products made in the second quarter.</w:t>
      </w:r>
    </w:p>
    <w:p>
      <w:pPr>
        <w:spacing w:after="0" w:line="208" w:lineRule="exact"/>
        <w:rPr>
          <w:sz w:val="20"/>
          <w:szCs w:val="20"/>
          <w:color w:val="auto"/>
        </w:rPr>
      </w:pPr>
    </w:p>
    <w:p>
      <w:pPr>
        <w:ind w:right="3359" w:firstLine="211"/>
        <w:spacing w:after="0" w:line="268" w:lineRule="auto"/>
        <w:rPr>
          <w:sz w:val="20"/>
          <w:szCs w:val="20"/>
          <w:color w:val="auto"/>
        </w:rPr>
      </w:pPr>
      <w:r>
        <w:rPr>
          <w:rFonts w:ascii="Courier New" w:cs="Courier New" w:eastAsia="Courier New" w:hAnsi="Courier New"/>
          <w:sz w:val="16"/>
          <w:szCs w:val="16"/>
          <w:color w:val="auto"/>
        </w:rPr>
        <w:t>The manufacture of the Company's semiconductor memory products is a complex process and involves a number of precise steps, including wafer fabrication, assembly in a variety of packages, burn-in, and final test. The Company has substantially completed the conversion of Fab III to process 8-inch wafers and recently began converting Fab I/II. While completion of the conversion of</w:t>
      </w:r>
    </w:p>
    <w:p>
      <w:pPr>
        <w:spacing w:after="0" w:line="1"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Fab I/II is conditioned upon future market conditions for semiconductor memory products, such completion is anticipated prior to the end of calendar 1996. There can be no assurance that the Company will</w:t>
      </w:r>
    </w:p>
    <w:p>
      <w:pPr>
        <w:spacing w:after="0" w:line="1"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not experience an interruption of its manufacturing process or experience further decreases in manufacturing yields as a result of the conversion.</w:t>
      </w:r>
    </w:p>
    <w:p>
      <w:pPr>
        <w:spacing w:after="0" w:line="209" w:lineRule="exact"/>
        <w:rPr>
          <w:sz w:val="20"/>
          <w:szCs w:val="20"/>
          <w:color w:val="auto"/>
        </w:rPr>
      </w:pPr>
    </w:p>
    <w:p>
      <w:pPr>
        <w:ind w:right="3359" w:firstLine="211"/>
        <w:spacing w:after="0" w:line="269" w:lineRule="auto"/>
        <w:rPr>
          <w:sz w:val="20"/>
          <w:szCs w:val="20"/>
          <w:color w:val="auto"/>
        </w:rPr>
      </w:pPr>
      <w:r>
        <w:rPr>
          <w:rFonts w:ascii="Courier New" w:cs="Courier New" w:eastAsia="Courier New" w:hAnsi="Courier New"/>
          <w:sz w:val="16"/>
          <w:szCs w:val="16"/>
          <w:color w:val="auto"/>
        </w:rPr>
        <w:t>From time to time, the Company has experienced volatility in its manufacturing yields, as it is not unusual to encounter difficulties in ramping shrink versions of existing devices or new generation devices, such as the 16 Meg DRAM, to commercial volumes. The Company is accelerating the transition of its primary semiconductor memory products from the relatively mature 4 Meg DRAM to the 16 Meg DRAM. The Company's ability to reduce costs per part of its semiconductor memory products is largely dependent on its ability to design and develop new generation products and shrink versions of existing products and its ability to ramp such products at acceptable rates to acceptable yields of which there can be no assurance. Should the Company be unable to decrease costs per part for semiconductor memory products at a rate equal to the rate of decline in selling prices for such products, the Company's results of operations and cash flows will be adversely materially impacted.</w:t>
      </w:r>
    </w:p>
    <w:p>
      <w:pPr>
        <w:spacing w:after="0" w:line="397"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Company's cash flow from operations is primarily influenced by average selling prices and costs per part for the Company's semiconductor memory products. Historically, the Company has reinvested substantially all cash flows from operations in capacity expansion and improvement programs. Uncertain market conditions for the Company's semiconductor memory products led to the decision to curtail development of the Lehi, Utah manufacturing complex. Further decreases in average selling prices would likely require further cutbacks in capital expenditures and may necessitate changes to operations which would have the effect of limiting production capacity.</w:t>
      </w:r>
    </w:p>
    <w:p>
      <w:pPr>
        <w:spacing w:after="0" w:line="216" w:lineRule="exact"/>
        <w:rPr>
          <w:sz w:val="20"/>
          <w:szCs w:val="20"/>
          <w:color w:val="auto"/>
        </w:rPr>
      </w:pPr>
    </w:p>
    <w:p>
      <w:pPr>
        <w:jc w:val="both"/>
        <w:ind w:right="3359" w:firstLine="211"/>
        <w:spacing w:after="0" w:line="268"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w:t>
      </w:r>
    </w:p>
    <w:p>
      <w:pPr>
        <w:spacing w:after="0" w:line="1"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had various product and process technology license agreements expire in calendar 1995 and is not able to predict whether these license agreements can be renewed on terms acceptable to the Company.</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0" w:gutter="0" w:footer="0" w:header="0"/>
        </w:sectPr>
      </w:pPr>
    </w:p>
    <w:bookmarkStart w:id="18" w:name="page19"/>
    <w:bookmarkEnd w:id="18"/>
    <w:p>
      <w:pPr>
        <w:ind w:left="2120"/>
        <w:spacing w:after="0"/>
        <w:tabs>
          <w:tab w:leader="none" w:pos="3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Shareholders</w:t>
      </w:r>
    </w:p>
    <w:p>
      <w:pPr>
        <w:spacing w:after="0" w:line="200" w:lineRule="exact"/>
        <w:rPr>
          <w:sz w:val="20"/>
          <w:szCs w:val="20"/>
          <w:color w:val="auto"/>
        </w:rPr>
      </w:pPr>
    </w:p>
    <w:p>
      <w:pPr>
        <w:spacing w:after="0" w:line="209" w:lineRule="exact"/>
        <w:rPr>
          <w:sz w:val="20"/>
          <w:szCs w:val="20"/>
          <w:color w:val="auto"/>
        </w:rPr>
      </w:pPr>
    </w:p>
    <w:p>
      <w:pPr>
        <w:ind w:right="3579" w:firstLine="211"/>
        <w:spacing w:after="0" w:line="237" w:lineRule="auto"/>
        <w:rPr>
          <w:sz w:val="20"/>
          <w:szCs w:val="20"/>
          <w:color w:val="auto"/>
        </w:rPr>
      </w:pPr>
      <w:r>
        <w:rPr>
          <w:rFonts w:ascii="Courier New" w:cs="Courier New" w:eastAsia="Courier New" w:hAnsi="Courier New"/>
          <w:sz w:val="18"/>
          <w:szCs w:val="18"/>
          <w:color w:val="auto"/>
        </w:rPr>
        <w:t>The registrant's 1995 Annual Meeting of Shareholders was held on January 29, 1996 at the Boise Centre on the Grove. At the meeting, the following items were submitted to a vote of the shareholders. At the meeting, 206,970,339 shares were entitled to vote.</w:t>
      </w:r>
    </w:p>
    <w:p>
      <w:pPr>
        <w:spacing w:after="0" w:line="209" w:lineRule="exact"/>
        <w:rPr>
          <w:sz w:val="20"/>
          <w:szCs w:val="20"/>
          <w:color w:val="auto"/>
        </w:rPr>
      </w:pPr>
    </w:p>
    <w:p>
      <w:pPr>
        <w:ind w:right="3579" w:firstLine="219"/>
        <w:spacing w:after="0" w:line="237" w:lineRule="auto"/>
        <w:tabs>
          <w:tab w:leader="none" w:pos="73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Abstentions/</w:t>
            </w:r>
          </w:p>
        </w:tc>
      </w:tr>
      <w:tr>
        <w:trPr>
          <w:trHeight w:val="203"/>
        </w:trPr>
        <w:tc>
          <w:tcPr>
            <w:tcW w:w="2320" w:type="dxa"/>
            <w:vAlign w:val="bottom"/>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Votes</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Votes</w:t>
            </w:r>
          </w:p>
        </w:tc>
        <w:tc>
          <w:tcPr>
            <w:tcW w:w="13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Broker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Nominee</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Cast For</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Cast Against</w:t>
            </w: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Non-Votes</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7"/>
              </w:rPr>
              <w:t>186,471,514</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44,275</w:t>
            </w:r>
          </w:p>
        </w:tc>
        <w:tc>
          <w:tcPr>
            <w:tcW w:w="136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6"/>
              </w:rPr>
              <w:t>20,454,550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Jerry M. Hess</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186,537,040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44,271</w:t>
            </w:r>
          </w:p>
        </w:tc>
        <w:tc>
          <w:tcPr>
            <w:tcW w:w="13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20,389,028</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A. Lothrop</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186,478,833</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86,994</w:t>
            </w:r>
          </w:p>
        </w:tc>
        <w:tc>
          <w:tcPr>
            <w:tcW w:w="13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20,404,512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Tyler A. Lowrey</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186,554,899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34,624</w:t>
            </w:r>
          </w:p>
        </w:tc>
        <w:tc>
          <w:tcPr>
            <w:tcW w:w="13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20,380,816</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T. Nicholson</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186,503,612</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67,748</w:t>
            </w:r>
          </w:p>
        </w:tc>
        <w:tc>
          <w:tcPr>
            <w:tcW w:w="13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20,398,979</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Allen T. Noble</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186,482,457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111,374</w:t>
            </w:r>
          </w:p>
        </w:tc>
        <w:tc>
          <w:tcPr>
            <w:tcW w:w="13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20,376,508</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Don J. Simplot</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186,460,827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156,336</w:t>
            </w:r>
          </w:p>
        </w:tc>
        <w:tc>
          <w:tcPr>
            <w:tcW w:w="13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20,353,176</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Simplot</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186,375,157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156,336</w:t>
            </w:r>
          </w:p>
        </w:tc>
        <w:tc>
          <w:tcPr>
            <w:tcW w:w="13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20,438,846</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Gordon C. Smith</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186,388,732</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137,834</w:t>
            </w:r>
          </w:p>
        </w:tc>
        <w:tc>
          <w:tcPr>
            <w:tcW w:w="13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20,443,773</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Wilbur G. Stover, Jr.</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186,523,834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35,606</w:t>
            </w:r>
          </w:p>
        </w:tc>
        <w:tc>
          <w:tcPr>
            <w:tcW w:w="13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20,410,899</w:t>
            </w:r>
          </w:p>
        </w:tc>
      </w:tr>
    </w:tbl>
    <w:p>
      <w:pPr>
        <w:spacing w:after="0" w:line="200" w:lineRule="exact"/>
        <w:rPr>
          <w:sz w:val="20"/>
          <w:szCs w:val="20"/>
          <w:color w:val="auto"/>
        </w:rPr>
      </w:pPr>
    </w:p>
    <w:p>
      <w:pPr>
        <w:spacing w:after="0" w:line="209" w:lineRule="exact"/>
        <w:rPr>
          <w:sz w:val="20"/>
          <w:szCs w:val="20"/>
          <w:color w:val="auto"/>
        </w:rPr>
      </w:pPr>
    </w:p>
    <w:p>
      <w:pPr>
        <w:ind w:right="3359" w:firstLine="219"/>
        <w:spacing w:after="0" w:line="273" w:lineRule="auto"/>
        <w:tabs>
          <w:tab w:leader="none" w:pos="73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amendment to the Company's Certificate of Incorporation increasing the number of authorized shares of Common Stock from 300,000,000 shares to 1,000,000,000 shares was approved with 142,592,773 votes in favor, 45,019,491 votes against, and 19,358,075 representing abstentions and broker non-votes.</w:t>
      </w:r>
    </w:p>
    <w:p>
      <w:pPr>
        <w:spacing w:after="0" w:line="184" w:lineRule="exact"/>
        <w:rPr>
          <w:rFonts w:ascii="Courier New" w:cs="Courier New" w:eastAsia="Courier New" w:hAnsi="Courier New"/>
          <w:sz w:val="16"/>
          <w:szCs w:val="16"/>
          <w:color w:val="auto"/>
        </w:rPr>
      </w:pPr>
    </w:p>
    <w:p>
      <w:pPr>
        <w:ind w:right="3359" w:firstLine="219"/>
        <w:spacing w:after="0" w:line="237" w:lineRule="auto"/>
        <w:tabs>
          <w:tab w:leader="none" w:pos="73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amendment to the Company's 1994 Stock Option Plan increasing the number of shares of Common Stock reserved for future grant from 2,000,000 to 7,000,000 shares was approved with 148,951,891 votes in favor, 38,258,205 votes against, and 19,760,243 representing abstentions and broker non-votes.</w:t>
      </w:r>
    </w:p>
    <w:p>
      <w:pPr>
        <w:spacing w:after="0" w:line="208" w:lineRule="exact"/>
        <w:rPr>
          <w:rFonts w:ascii="Courier New" w:cs="Courier New" w:eastAsia="Courier New" w:hAnsi="Courier New"/>
          <w:sz w:val="18"/>
          <w:szCs w:val="18"/>
          <w:color w:val="auto"/>
        </w:rPr>
      </w:pPr>
    </w:p>
    <w:p>
      <w:pPr>
        <w:ind w:right="3479" w:firstLine="219"/>
        <w:spacing w:after="0" w:line="237" w:lineRule="auto"/>
        <w:tabs>
          <w:tab w:leader="none" w:pos="73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ratification and appointment of Coopers &amp; Lybrand L.L.P. as independent public accountants of the Company for the fiscal year ending August 29, 1996 was approved with 186,874,176 votes in favor, 1,104,607 votes against, and 18,991,556 representing abstentions and broker non-votes.</w:t>
      </w:r>
    </w:p>
    <w:p>
      <w:pPr>
        <w:ind w:left="39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14" w:right="1440" w:bottom="1440" w:gutter="0" w:footer="0" w:header="0"/>
        </w:sectPr>
      </w:pPr>
    </w:p>
    <w:bookmarkStart w:id="19" w:name="page20"/>
    <w:bookmarkEnd w:id="19"/>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The following are filed as a part of this report:</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ind w:left="220"/>
        <w:spacing w:after="0" w:line="275" w:lineRule="auto"/>
        <w:rPr>
          <w:sz w:val="20"/>
          <w:szCs w:val="20"/>
          <w:color w:val="auto"/>
        </w:rPr>
      </w:pPr>
      <w:r>
        <w:rPr>
          <w:rFonts w:ascii="Courier New" w:cs="Courier New" w:eastAsia="Courier New" w:hAnsi="Courier New"/>
          <w:sz w:val="16"/>
          <w:szCs w:val="16"/>
          <w:color w:val="auto"/>
        </w:rPr>
        <w:t>Exhibit Number ------- 10.112</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Page</w:t>
      </w:r>
    </w:p>
    <w:p>
      <w:pPr>
        <w:spacing w:after="0"/>
        <w:tabs>
          <w:tab w:leader="none" w:pos="4820" w:val="left"/>
        </w:tabs>
        <w:rPr>
          <w:sz w:val="20"/>
          <w:szCs w:val="20"/>
          <w:color w:val="auto"/>
        </w:rPr>
      </w:pPr>
      <w:r>
        <w:rPr>
          <w:rFonts w:ascii="Courier New" w:cs="Courier New" w:eastAsia="Courier New" w:hAnsi="Courier New"/>
          <w:sz w:val="18"/>
          <w:szCs w:val="18"/>
          <w:color w:val="auto"/>
        </w:rPr>
        <w:t>Description of Exhibit</w:t>
      </w:r>
      <w:r>
        <w:rPr>
          <w:sz w:val="20"/>
          <w:szCs w:val="20"/>
          <w:color w:val="auto"/>
        </w:rPr>
        <w:tab/>
      </w:r>
      <w:r>
        <w:rPr>
          <w:rFonts w:ascii="Courier New" w:cs="Courier New" w:eastAsia="Courier New" w:hAnsi="Courier New"/>
          <w:sz w:val="16"/>
          <w:szCs w:val="16"/>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Forms of SeveranceAgreement</w:t>
      </w:r>
    </w:p>
    <w:p>
      <w:pPr>
        <w:spacing w:after="0" w:line="206" w:lineRule="exact"/>
        <w:rPr>
          <w:sz w:val="20"/>
          <w:szCs w:val="20"/>
          <w:color w:val="auto"/>
        </w:rPr>
      </w:pPr>
    </w:p>
    <w:p>
      <w:pPr>
        <w:sectPr>
          <w:pgSz w:w="11900" w:h="16838" w:orient="portrait"/>
          <w:cols w:equalWidth="0" w:num="2">
            <w:col w:w="960" w:space="420"/>
            <w:col w:w="8839"/>
          </w:cols>
          <w:pgMar w:left="240" w:top="7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10.113</w:t>
      </w:r>
    </w:p>
    <w:p>
      <w:pPr>
        <w:spacing w:after="0" w:line="20" w:lineRule="exact"/>
        <w:rPr>
          <w:sz w:val="20"/>
          <w:szCs w:val="20"/>
          <w:color w:val="auto"/>
        </w:rPr>
      </w:pPr>
      <w:r>
        <w:rPr>
          <w:sz w:val="20"/>
          <w:szCs w:val="20"/>
          <w:color w:val="auto"/>
        </w:rPr>
        <w:br w:type="column"/>
      </w:r>
    </w:p>
    <w:p>
      <w:pPr>
        <w:ind w:right="4099" w:hanging="104"/>
        <w:spacing w:after="0" w:line="236" w:lineRule="auto"/>
        <w:rPr>
          <w:sz w:val="20"/>
          <w:szCs w:val="20"/>
          <w:color w:val="auto"/>
        </w:rPr>
      </w:pPr>
      <w:r>
        <w:rPr>
          <w:rFonts w:ascii="Courier New" w:cs="Courier New" w:eastAsia="Courier New" w:hAnsi="Courier New"/>
          <w:sz w:val="18"/>
          <w:szCs w:val="18"/>
          <w:color w:val="auto"/>
        </w:rPr>
        <w:t>Revolving Credit Agreement Dated February 12, 1996 among the Registrant and several financial institutions</w:t>
      </w:r>
    </w:p>
    <w:p>
      <w:pPr>
        <w:spacing w:after="0" w:line="200" w:lineRule="exact"/>
        <w:rPr>
          <w:sz w:val="20"/>
          <w:szCs w:val="20"/>
          <w:color w:val="auto"/>
        </w:rPr>
      </w:pPr>
    </w:p>
    <w:p>
      <w:pPr>
        <w:sectPr>
          <w:pgSz w:w="11900" w:h="16838" w:orient="portrait"/>
          <w:cols w:equalWidth="0" w:num="2">
            <w:col w:w="860" w:space="620"/>
            <w:col w:w="8739"/>
          </w:cols>
          <w:pgMar w:left="240" w:top="717" w:right="1440" w:bottom="1440" w:gutter="0" w:footer="0" w:header="0"/>
          <w:type w:val="continuous"/>
        </w:sectPr>
      </w:pPr>
    </w:p>
    <w:p>
      <w:pPr>
        <w:spacing w:after="0" w:line="9" w:lineRule="exact"/>
        <w:rPr>
          <w:sz w:val="20"/>
          <w:szCs w:val="20"/>
          <w:color w:val="auto"/>
        </w:rPr>
      </w:pPr>
    </w:p>
    <w:p>
      <w:pPr>
        <w:ind w:left="1480" w:right="4519" w:hanging="1261"/>
        <w:spacing w:after="0" w:line="268" w:lineRule="auto"/>
        <w:tabs>
          <w:tab w:leader="none" w:pos="137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per share earnings for the quarters and six month periods ended</w:t>
      </w:r>
    </w:p>
    <w:tbl>
      <w:tblPr>
        <w:tblLayout w:type="fixed"/>
        <w:tblInd w:w="1480" w:type="dxa"/>
        <w:tblCellMar>
          <w:top w:w="0" w:type="dxa"/>
          <w:left w:w="0" w:type="dxa"/>
          <w:bottom w:w="0" w:type="dxa"/>
          <w:right w:w="0" w:type="dxa"/>
        </w:tblCellMar>
      </w:tblPr>
      <w:tr>
        <w:trPr>
          <w:trHeight w:val="199"/>
        </w:trPr>
        <w:tc>
          <w:tcPr>
            <w:tcW w:w="4260" w:type="dxa"/>
            <w:vAlign w:val="bottom"/>
          </w:tcPr>
          <w:p>
            <w:pPr>
              <w:spacing w:after="0" w:line="198" w:lineRule="exact"/>
              <w:rPr>
                <w:sz w:val="20"/>
                <w:szCs w:val="20"/>
                <w:color w:val="auto"/>
              </w:rPr>
            </w:pPr>
            <w:r>
              <w:rPr>
                <w:rFonts w:ascii="Courier New" w:cs="Courier New" w:eastAsia="Courier New" w:hAnsi="Courier New"/>
                <w:sz w:val="18"/>
                <w:szCs w:val="18"/>
                <w:color w:val="auto"/>
              </w:rPr>
              <w:t>February 29, 1996 and March 2, 1995</w:t>
            </w:r>
          </w:p>
        </w:tc>
        <w:tc>
          <w:tcPr>
            <w:tcW w:w="13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17 &amp; 18</w:t>
            </w:r>
          </w:p>
        </w:tc>
      </w:tr>
    </w:tbl>
    <w:p>
      <w:pPr>
        <w:spacing w:after="0" w:line="200" w:lineRule="exact"/>
        <w:rPr>
          <w:sz w:val="20"/>
          <w:szCs w:val="20"/>
          <w:color w:val="auto"/>
        </w:rPr>
      </w:pPr>
    </w:p>
    <w:p>
      <w:pPr>
        <w:spacing w:after="0" w:line="209" w:lineRule="exact"/>
        <w:rPr>
          <w:sz w:val="20"/>
          <w:szCs w:val="20"/>
          <w:color w:val="auto"/>
        </w:rPr>
      </w:pPr>
    </w:p>
    <w:p>
      <w:pPr>
        <w:ind w:right="3359" w:firstLine="8"/>
        <w:spacing w:after="0" w:line="236"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filed Reports on Form 8-K dated January 25, 1996, February 2, 1996, February 8, 1996, each announcing certain changes in the directors and officers of the Company.</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type w:val="continuous"/>
        </w:sectPr>
      </w:pPr>
    </w:p>
    <w:bookmarkStart w:id="20" w:name="page21"/>
    <w:bookmarkEnd w:id="20"/>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3479" w:firstLine="211"/>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Micron Technology, Inc.</w:t>
      </w:r>
    </w:p>
    <w:p>
      <w:pPr>
        <w:ind w:left="316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26,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Wilbur G. Stover,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Wilbur G. Stover, Jr.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Finance, and Chief Financial</w:t>
      </w:r>
    </w:p>
    <w:p>
      <w:pPr>
        <w:spacing w:after="0"/>
        <w:tabs>
          <w:tab w:leader="none" w:pos="2100" w:val="left"/>
        </w:tabs>
        <w:rPr>
          <w:sz w:val="20"/>
          <w:szCs w:val="20"/>
          <w:color w:val="auto"/>
        </w:rPr>
      </w:pPr>
      <w:r>
        <w:rPr>
          <w:rFonts w:ascii="Courier New" w:cs="Courier New" w:eastAsia="Courier New" w:hAnsi="Courier New"/>
          <w:sz w:val="18"/>
          <w:szCs w:val="18"/>
          <w:color w:val="auto"/>
        </w:rPr>
        <w:t>Officer (Principal</w:t>
      </w:r>
      <w:r>
        <w:rPr>
          <w:sz w:val="20"/>
          <w:szCs w:val="20"/>
          <w:color w:val="auto"/>
        </w:rPr>
        <w:tab/>
      </w:r>
      <w:r>
        <w:rPr>
          <w:rFonts w:ascii="Courier New" w:cs="Courier New" w:eastAsia="Courier New" w:hAnsi="Courier New"/>
          <w:sz w:val="16"/>
          <w:szCs w:val="16"/>
          <w:color w:val="auto"/>
        </w:rPr>
        <w:t>Financial and</w:t>
      </w:r>
    </w:p>
    <w:p>
      <w:pPr>
        <w:spacing w:after="0"/>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640" w:space="220"/>
            <w:col w:w="1580" w:space="720"/>
            <w:col w:w="7059"/>
          </w:cols>
          <w:pgMar w:left="240" w:top="717"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type w:val="continuous"/>
        </w:sectPr>
      </w:pPr>
    </w:p>
    <w:bookmarkStart w:id="21" w:name="page22"/>
    <w:bookmarkEnd w:id="21"/>
    <w:p>
      <w:pPr>
        <w:ind w:left="2440"/>
        <w:spacing w:after="0"/>
        <w:rPr>
          <w:sz w:val="20"/>
          <w:szCs w:val="20"/>
          <w:color w:val="auto"/>
        </w:rPr>
      </w:pPr>
      <w:r>
        <w:rPr>
          <w:rFonts w:ascii="Courier New" w:cs="Courier New" w:eastAsia="Courier New" w:hAnsi="Courier New"/>
          <w:sz w:val="18"/>
          <w:szCs w:val="18"/>
          <w:color w:val="auto"/>
        </w:rPr>
        <w:t>EXHIBIT 10.112</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SEVERANCE AGREEMENT</w:t>
      </w:r>
    </w:p>
    <w:p>
      <w:pPr>
        <w:spacing w:after="0" w:line="200" w:lineRule="exact"/>
        <w:rPr>
          <w:sz w:val="20"/>
          <w:szCs w:val="20"/>
          <w:color w:val="auto"/>
        </w:rPr>
      </w:pPr>
    </w:p>
    <w:p>
      <w:pPr>
        <w:spacing w:after="0" w:line="209" w:lineRule="exact"/>
        <w:rPr>
          <w:sz w:val="20"/>
          <w:szCs w:val="20"/>
          <w:color w:val="auto"/>
        </w:rPr>
      </w:pPr>
    </w:p>
    <w:p>
      <w:pPr>
        <w:ind w:right="4319" w:firstLine="527"/>
        <w:spacing w:after="0" w:line="268" w:lineRule="auto"/>
        <w:rPr>
          <w:sz w:val="20"/>
          <w:szCs w:val="20"/>
          <w:color w:val="auto"/>
        </w:rPr>
      </w:pPr>
      <w:r>
        <w:rPr>
          <w:rFonts w:ascii="Courier New" w:cs="Courier New" w:eastAsia="Courier New" w:hAnsi="Courier New"/>
          <w:sz w:val="16"/>
          <w:szCs w:val="16"/>
          <w:color w:val="auto"/>
        </w:rPr>
        <w:t>This Agreement is by and between Micron Technology, Inc., a Delaware corporation ("the Company"), and</w:t>
      </w:r>
    </w:p>
    <w:p>
      <w:pPr>
        <w:spacing w:after="0"/>
        <w:rPr>
          <w:sz w:val="20"/>
          <w:szCs w:val="20"/>
          <w:color w:val="auto"/>
        </w:rPr>
      </w:pPr>
      <w:r>
        <w:rPr>
          <w:rFonts w:ascii="Courier New" w:cs="Courier New" w:eastAsia="Courier New" w:hAnsi="Courier New"/>
          <w:sz w:val="16"/>
          <w:szCs w:val="16"/>
          <w:color w:val="auto"/>
        </w:rPr>
        <w:t>___________________, an individual and Officer of the Company,</w:t>
      </w:r>
    </w:p>
    <w:p>
      <w:pPr>
        <w:spacing w:after="0" w:line="21"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("the Officer"), and is effective as of the last date signed below.</w:t>
      </w:r>
    </w:p>
    <w:p>
      <w:pPr>
        <w:spacing w:after="0" w:line="208"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WHEREAS, the parties recognize that it is in the best interest of the Company to provide for a smooth transition when there is a change in management, and wish to recognize the valued contributions of the Officer; and</w:t>
      </w:r>
    </w:p>
    <w:p>
      <w:pPr>
        <w:spacing w:after="0" w:line="207" w:lineRule="exact"/>
        <w:rPr>
          <w:sz w:val="20"/>
          <w:szCs w:val="20"/>
          <w:color w:val="auto"/>
        </w:rPr>
      </w:pPr>
    </w:p>
    <w:p>
      <w:pPr>
        <w:jc w:val="both"/>
        <w:ind w:right="4319" w:firstLine="527"/>
        <w:spacing w:after="0" w:line="279" w:lineRule="auto"/>
        <w:rPr>
          <w:sz w:val="20"/>
          <w:szCs w:val="20"/>
          <w:color w:val="auto"/>
        </w:rPr>
      </w:pPr>
      <w:r>
        <w:rPr>
          <w:rFonts w:ascii="Courier New" w:cs="Courier New" w:eastAsia="Courier New" w:hAnsi="Courier New"/>
          <w:sz w:val="16"/>
          <w:szCs w:val="16"/>
          <w:color w:val="auto"/>
        </w:rPr>
        <w:t>WHEREAS, the Company desires to provide the Officer with benefits in consideration for his execution of this Severance Agreement (the "Agreement");</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parties agree as follows:</w:t>
      </w:r>
    </w:p>
    <w:p>
      <w:pPr>
        <w:spacing w:after="0" w:line="207" w:lineRule="exact"/>
        <w:rPr>
          <w:sz w:val="20"/>
          <w:szCs w:val="20"/>
          <w:color w:val="auto"/>
        </w:rPr>
      </w:pPr>
    </w:p>
    <w:p>
      <w:pPr>
        <w:ind w:right="3779" w:firstLine="535"/>
        <w:spacing w:after="0" w:line="268" w:lineRule="auto"/>
        <w:tabs>
          <w:tab w:leader="none" w:pos="115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THE OFFICER. Either the Company or the Officer may at any time terminate the Officer's active employment with the Company for any reason, voluntary or involuntary, with or without cause, by providing notice to that effect in writing. The date such notice is received by the other party shall be deemed "the Termination Date."</w:t>
      </w:r>
    </w:p>
    <w:p>
      <w:pPr>
        <w:spacing w:after="0" w:line="1" w:lineRule="exact"/>
        <w:rPr>
          <w:rFonts w:ascii="Courier New" w:cs="Courier New" w:eastAsia="Courier New" w:hAnsi="Courier New"/>
          <w:sz w:val="16"/>
          <w:szCs w:val="16"/>
          <w:color w:val="auto"/>
        </w:rPr>
      </w:pPr>
    </w:p>
    <w:p>
      <w:pPr>
        <w:ind w:right="399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by the Officer of a notice of termination from the Company, and upon the Company's request, the Officer will resign immediately as an Officer and/or Director.</w:t>
      </w:r>
    </w:p>
    <w:p>
      <w:pPr>
        <w:spacing w:after="0" w:line="178" w:lineRule="exact"/>
        <w:rPr>
          <w:rFonts w:ascii="Courier New" w:cs="Courier New" w:eastAsia="Courier New" w:hAnsi="Courier New"/>
          <w:sz w:val="16"/>
          <w:szCs w:val="16"/>
          <w:color w:val="auto"/>
        </w:rPr>
      </w:pPr>
    </w:p>
    <w:p>
      <w:pPr>
        <w:ind w:right="3899" w:firstLine="535"/>
        <w:spacing w:after="0" w:line="237"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 Effective on the Termination Date, and for a period defined in Paragraph 2(a) ("the Transition Period"), the Officer shall continue as an employee only for purposes of receiving the benefits specified in Paragraph 3, and while employed in that capacity shall not perform any service or work that conflicts with interests of the Company. During the Transition Period, the Officer may continue in a consulting role with the Company, or continue as a non-officer employee with the Company, if both parties agree.</w:t>
      </w:r>
    </w:p>
    <w:p>
      <w:pPr>
        <w:spacing w:after="0" w:line="215"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2(a). TRANSITION PERIOD. For purposes of this agreement, the "Transition Period" shall be six months plus the amount of any TOP time and leave time, if any, which the Officer has accrued as of the Termination Date.</w:t>
      </w:r>
    </w:p>
    <w:p>
      <w:pPr>
        <w:spacing w:after="0" w:line="207" w:lineRule="exact"/>
        <w:rPr>
          <w:sz w:val="20"/>
          <w:szCs w:val="20"/>
          <w:color w:val="auto"/>
        </w:rPr>
      </w:pPr>
    </w:p>
    <w:p>
      <w:pPr>
        <w:ind w:right="3999" w:firstLine="527"/>
        <w:spacing w:after="0" w:line="270" w:lineRule="auto"/>
        <w:rPr>
          <w:sz w:val="20"/>
          <w:szCs w:val="20"/>
          <w:color w:val="auto"/>
        </w:rPr>
      </w:pPr>
      <w:r>
        <w:rPr>
          <w:rFonts w:ascii="Courier New" w:cs="Courier New" w:eastAsia="Courier New" w:hAnsi="Courier New"/>
          <w:sz w:val="16"/>
          <w:szCs w:val="16"/>
          <w:color w:val="auto"/>
        </w:rPr>
        <w:t>2(b). CHANGE OF OFFICER STATUS. In the event that the Officer or the Company terminates the Officer's status as an Officer of the Company but not as an employee, both parties agree that such change in status will be treated as a termination for purposes of this Agreement, and that the date of such change in status will be deemed the Termination Date. Following the Transition Period, the Officer shall be entitled only to such compensation and benefits for his services as an employee that may be mutually agreed upon between the Company and the Officer. In no circumstance shall benefits under Paragraph 3 be paid to an Officer for a period longer than the first Transition Period created by a change of status or termination.</w:t>
      </w:r>
    </w:p>
    <w:p>
      <w:pPr>
        <w:spacing w:after="0" w:line="185" w:lineRule="exact"/>
        <w:rPr>
          <w:sz w:val="20"/>
          <w:szCs w:val="20"/>
          <w:color w:val="auto"/>
        </w:rPr>
      </w:pPr>
    </w:p>
    <w:p>
      <w:pPr>
        <w:ind w:right="3899" w:firstLine="535"/>
        <w:spacing w:after="0" w:line="269" w:lineRule="auto"/>
        <w:tabs>
          <w:tab w:leader="none" w:pos="115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DURING THE TRANSITION PERIOD. Provided the Officer complies with the terms of this Agreement, the Officer will receive during the Transition Period all benefits customarily provided to officers of the Company, including, but not limited to salary, bonuses, executive bonuses, and the continued vesting of any granted stock options, as if the Officer's employment as an officer had continued during that period. "Customarily provided" refers to Company practices and plans with respect to officer benefits and compensation in effect as of the Termination Date. For purposes of this provision, however, it will be understood that the Officer, during the Transition Period, will not be entitled to any new grants of interest in future executive bonus pools, nor to any new grants of stock options. It will be further understood that the Officer will not be entitled to payment of any compensation that is deferred past the Transition Period due to payment criteria of an incentive program, as those criteria existed as of the Termination Date. No action by the Company or the Company's</w:t>
      </w:r>
    </w:p>
    <w:p>
      <w:pPr>
        <w:sectPr>
          <w:pgSz w:w="11900" w:h="16838" w:orient="portrait"/>
          <w:cols w:equalWidth="0" w:num="1">
            <w:col w:w="10219"/>
          </w:cols>
          <w:pgMar w:left="240" w:top="136" w:right="1440" w:bottom="0" w:gutter="0" w:footer="0" w:header="0"/>
        </w:sectPr>
      </w:pPr>
    </w:p>
    <w:bookmarkStart w:id="22" w:name="page23"/>
    <w:bookmarkEnd w:id="22"/>
    <w:p>
      <w:pPr>
        <w:ind w:right="4099"/>
        <w:spacing w:after="0" w:line="290" w:lineRule="auto"/>
        <w:rPr>
          <w:sz w:val="20"/>
          <w:szCs w:val="20"/>
          <w:color w:val="auto"/>
        </w:rPr>
      </w:pPr>
      <w:r>
        <w:rPr>
          <w:rFonts w:ascii="Courier New" w:cs="Courier New" w:eastAsia="Courier New" w:hAnsi="Courier New"/>
          <w:sz w:val="16"/>
          <w:szCs w:val="16"/>
          <w:color w:val="auto"/>
        </w:rPr>
        <w:t>Board of Directors may effect the Officer's receipt of the benefits set forth above, other than as provided herein.</w:t>
      </w:r>
    </w:p>
    <w:p>
      <w:pPr>
        <w:spacing w:after="0" w:line="170" w:lineRule="exact"/>
        <w:rPr>
          <w:sz w:val="20"/>
          <w:szCs w:val="20"/>
          <w:color w:val="auto"/>
        </w:rPr>
      </w:pPr>
    </w:p>
    <w:p>
      <w:pPr>
        <w:ind w:right="3899" w:firstLine="535"/>
        <w:spacing w:after="0" w:line="238" w:lineRule="auto"/>
        <w:tabs>
          <w:tab w:leader="none" w:pos="115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The parties agree that throughout the Transition Period no statements regarding the Officer's termination will be made other than to indicate that the reasons for, and circumstances of, the termination are CONFIDENTIAL and that both the Company, the Board of Directors, and the Officer are obligated to make "no comment" regarding the termination. For purposes of this paragraph, "statements" includes, but is not limited to, statements to the press, analysts, and journalists. Nothing in this paragraph is meant to prevent the Company from disclosing any facts required to be disclosed pursuant to statute or regulation.</w:t>
      </w:r>
    </w:p>
    <w:p>
      <w:pPr>
        <w:spacing w:after="0" w:line="207" w:lineRule="exact"/>
        <w:rPr>
          <w:rFonts w:ascii="Courier New" w:cs="Courier New" w:eastAsia="Courier New" w:hAnsi="Courier New"/>
          <w:sz w:val="18"/>
          <w:szCs w:val="18"/>
          <w:color w:val="auto"/>
        </w:rPr>
      </w:pPr>
    </w:p>
    <w:p>
      <w:pPr>
        <w:jc w:val="both"/>
        <w:ind w:right="3899" w:firstLine="535"/>
        <w:spacing w:after="0" w:line="275" w:lineRule="auto"/>
        <w:tabs>
          <w:tab w:leader="none" w:pos="1159"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terminates when the Officer turns 60 years of age, and any termination or change of status of the Officer after that date will not entitle the Officer to any of the benefits of this Agreement.</w:t>
      </w:r>
    </w:p>
    <w:p>
      <w:pPr>
        <w:spacing w:after="0" w:line="182" w:lineRule="exact"/>
        <w:rPr>
          <w:rFonts w:ascii="Courier New" w:cs="Courier New" w:eastAsia="Courier New" w:hAnsi="Courier New"/>
          <w:sz w:val="16"/>
          <w:szCs w:val="16"/>
          <w:color w:val="auto"/>
        </w:rPr>
      </w:pPr>
    </w:p>
    <w:p>
      <w:pPr>
        <w:ind w:right="3899" w:firstLine="535"/>
        <w:spacing w:after="0" w:line="237" w:lineRule="auto"/>
        <w:tabs>
          <w:tab w:leader="none" w:pos="115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Upon receipt of all benefits under this Agreement, the Officer and Company settle, waive, and voluntarily release any and all claims each has or may have against the other, inclusive of any of the Company's affiliates, officers, directors, employees or agents, both individually and in their official capacities, which claims accrued prior to the end of the Transition Period.</w:t>
      </w:r>
    </w:p>
    <w:p>
      <w:pPr>
        <w:spacing w:after="0" w:line="211" w:lineRule="exact"/>
        <w:rPr>
          <w:rFonts w:ascii="Courier New" w:cs="Courier New" w:eastAsia="Courier New" w:hAnsi="Courier New"/>
          <w:sz w:val="18"/>
          <w:szCs w:val="18"/>
          <w:color w:val="auto"/>
        </w:rPr>
      </w:pPr>
    </w:p>
    <w:p>
      <w:pPr>
        <w:ind w:right="3999" w:firstLine="535"/>
        <w:spacing w:after="0" w:line="279" w:lineRule="auto"/>
        <w:tabs>
          <w:tab w:leader="none" w:pos="1159"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AGREEMENT. This Agreement supersedes all prior agreements, and is the entire and final understanding of the parties as to the subject matter hereof.</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TECHNOLOGY, INC.</w:t>
            </w:r>
          </w:p>
        </w:tc>
        <w:tc>
          <w:tcPr>
            <w:tcW w:w="1260" w:type="dxa"/>
            <w:vAlign w:val="bottom"/>
          </w:tcPr>
          <w:p>
            <w:pPr>
              <w:spacing w:after="0"/>
              <w:rPr>
                <w:sz w:val="17"/>
                <w:szCs w:val="17"/>
                <w:color w:val="auto"/>
              </w:rPr>
            </w:pPr>
          </w:p>
        </w:tc>
        <w:tc>
          <w:tcPr>
            <w:tcW w:w="300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260" w:type="dxa"/>
            <w:vAlign w:val="bottom"/>
          </w:tcPr>
          <w:p>
            <w:pPr>
              <w:spacing w:after="0"/>
              <w:rPr>
                <w:sz w:val="24"/>
                <w:szCs w:val="24"/>
                <w:color w:val="auto"/>
              </w:rPr>
            </w:pPr>
          </w:p>
        </w:tc>
        <w:tc>
          <w:tcPr>
            <w:tcW w:w="3000" w:type="dxa"/>
            <w:vAlign w:val="bottom"/>
            <w:gridSpan w:val="2"/>
          </w:tcPr>
          <w:p>
            <w:pPr>
              <w:jc w:val="right"/>
              <w:ind w:right="852"/>
              <w:spacing w:after="0"/>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w:t>
            </w:r>
          </w:p>
        </w:tc>
        <w:tc>
          <w:tcPr>
            <w:tcW w:w="2260" w:type="dxa"/>
            <w:vAlign w:val="bottom"/>
          </w:tcPr>
          <w:p>
            <w:pPr>
              <w:spacing w:after="0"/>
              <w:rPr>
                <w:sz w:val="17"/>
                <w:szCs w:val="17"/>
                <w:color w:val="auto"/>
              </w:rPr>
            </w:pPr>
          </w:p>
        </w:tc>
      </w:tr>
      <w:tr>
        <w:trPr>
          <w:trHeight w:val="783"/>
        </w:trPr>
        <w:tc>
          <w:tcPr>
            <w:tcW w:w="4700" w:type="dxa"/>
            <w:vAlign w:val="bottom"/>
            <w:gridSpan w:val="3"/>
          </w:tcPr>
          <w:p>
            <w:pPr>
              <w:ind w:left="2440"/>
              <w:spacing w:after="0"/>
              <w:rPr>
                <w:sz w:val="20"/>
                <w:szCs w:val="20"/>
                <w:color w:val="auto"/>
              </w:rPr>
            </w:pPr>
            <w:r>
              <w:rPr>
                <w:rFonts w:ascii="Courier New" w:cs="Courier New" w:eastAsia="Courier New" w:hAnsi="Courier New"/>
                <w:sz w:val="18"/>
                <w:szCs w:val="18"/>
                <w:color w:val="auto"/>
              </w:rPr>
              <w:t>SEVERANCE AGREEMENT</w:t>
            </w:r>
          </w:p>
        </w:tc>
        <w:tc>
          <w:tcPr>
            <w:tcW w:w="2260" w:type="dxa"/>
            <w:vAlign w:val="bottom"/>
          </w:tcPr>
          <w:p>
            <w:pPr>
              <w:spacing w:after="0"/>
              <w:rPr>
                <w:sz w:val="24"/>
                <w:szCs w:val="24"/>
                <w:color w:val="auto"/>
              </w:rPr>
            </w:pPr>
          </w:p>
        </w:tc>
      </w:tr>
      <w:tr>
        <w:trPr>
          <w:trHeight w:val="608"/>
        </w:trPr>
        <w:tc>
          <w:tcPr>
            <w:tcW w:w="2700" w:type="dxa"/>
            <w:vAlign w:val="bottom"/>
          </w:tcPr>
          <w:p>
            <w:pPr>
              <w:ind w:left="540"/>
              <w:spacing w:after="0"/>
              <w:rPr>
                <w:sz w:val="20"/>
                <w:szCs w:val="20"/>
                <w:color w:val="auto"/>
              </w:rPr>
            </w:pPr>
            <w:r>
              <w:rPr>
                <w:rFonts w:ascii="Courier New" w:cs="Courier New" w:eastAsia="Courier New" w:hAnsi="Courier New"/>
                <w:sz w:val="18"/>
                <w:szCs w:val="18"/>
                <w:color w:val="auto"/>
                <w:w w:val="99"/>
              </w:rPr>
              <w:t>This Agreement is by</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and between</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Micron</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Technology, Inc., a</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Delaware corporation ("the Company"),</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and ____________________, an</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individual and Officer of</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the Company, ("the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 and is</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effective as of  the last</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 signed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2260" w:type="dxa"/>
            <w:vAlign w:val="bottom"/>
          </w:tcPr>
          <w:p>
            <w:pPr>
              <w:spacing w:after="0"/>
              <w:rPr>
                <w:sz w:val="17"/>
                <w:szCs w:val="17"/>
                <w:color w:val="auto"/>
              </w:rPr>
            </w:pPr>
          </w:p>
        </w:tc>
      </w:tr>
    </w:tbl>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WHEREAS, the parties recognize that it is in the best interest of the Company to provide for a smooth transition when there is a change in management, and wish to recognize the valued contributions of the Officer; and</w:t>
      </w:r>
    </w:p>
    <w:p>
      <w:pPr>
        <w:spacing w:after="0" w:line="207" w:lineRule="exact"/>
        <w:rPr>
          <w:sz w:val="20"/>
          <w:szCs w:val="20"/>
          <w:color w:val="auto"/>
        </w:rPr>
      </w:pPr>
    </w:p>
    <w:p>
      <w:pPr>
        <w:jc w:val="both"/>
        <w:ind w:right="3779" w:firstLine="527"/>
        <w:spacing w:after="0" w:line="236" w:lineRule="auto"/>
        <w:rPr>
          <w:sz w:val="20"/>
          <w:szCs w:val="20"/>
          <w:color w:val="auto"/>
        </w:rPr>
      </w:pPr>
      <w:r>
        <w:rPr>
          <w:rFonts w:ascii="Courier New" w:cs="Courier New" w:eastAsia="Courier New" w:hAnsi="Courier New"/>
          <w:sz w:val="18"/>
          <w:szCs w:val="18"/>
          <w:color w:val="auto"/>
        </w:rPr>
        <w:t>WHEREAS, the Company desires to provide the Officer with benefits in consideration for his execution of this Severance Agreement (the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parties agree as follows:</w:t>
      </w:r>
    </w:p>
    <w:p>
      <w:pPr>
        <w:spacing w:after="0" w:line="207" w:lineRule="exact"/>
        <w:rPr>
          <w:sz w:val="20"/>
          <w:szCs w:val="20"/>
          <w:color w:val="auto"/>
        </w:rPr>
      </w:pPr>
    </w:p>
    <w:p>
      <w:pPr>
        <w:ind w:right="3359" w:firstLine="535"/>
        <w:spacing w:after="0" w:line="237" w:lineRule="auto"/>
        <w:tabs>
          <w:tab w:leader="none" w:pos="11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THE OFFICER. Either the Company or the Officer may at any time terminate the Officer's active employment with the Company for any reason, voluntary or involuntary, with or without cause, by providing notice to that effect in writing. The date such notice is received by the other party shall be deemed "the Termination Date." Upon receipt by the Officer of a notice of termination from the Company, and upon the Company's request, the Officer will resign immediately as an Officer and/or Director.</w:t>
      </w:r>
    </w:p>
    <w:p>
      <w:pPr>
        <w:spacing w:after="0" w:line="213" w:lineRule="exact"/>
        <w:rPr>
          <w:rFonts w:ascii="Courier New" w:cs="Courier New" w:eastAsia="Courier New" w:hAnsi="Courier New"/>
          <w:sz w:val="18"/>
          <w:szCs w:val="18"/>
          <w:color w:val="auto"/>
        </w:rPr>
      </w:pPr>
    </w:p>
    <w:p>
      <w:pPr>
        <w:ind w:right="3359" w:firstLine="535"/>
        <w:spacing w:after="0" w:line="237" w:lineRule="auto"/>
        <w:tabs>
          <w:tab w:leader="none" w:pos="11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 Effective on the Termination Date, and for a period defined in Paragraph 2(a) ("the Transition Period"), the Officer shall continue as an employee only for purposes of receiving the benefits specified in Paragraph 3, and while employed in that capacity shall not perform any service or work that conflicts with interests of the Company. During the Transition Period, the Officer may continue in a consulting role with the Company, or continue as a non-officer employee with the Company, if both parties agree.</w:t>
      </w:r>
    </w:p>
    <w:p>
      <w:pPr>
        <w:sectPr>
          <w:pgSz w:w="11900" w:h="16838" w:orient="portrait"/>
          <w:cols w:equalWidth="0" w:num="1">
            <w:col w:w="10219"/>
          </w:cols>
          <w:pgMar w:left="240" w:top="142" w:right="1440"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4"/>
        </w:trPr>
        <w:tc>
          <w:tcPr>
            <w:tcW w:w="1120" w:type="dxa"/>
            <w:vAlign w:val="bottom"/>
          </w:tcPr>
          <w:p>
            <w:pPr>
              <w:ind w:left="540"/>
              <w:spacing w:after="0"/>
              <w:rPr>
                <w:sz w:val="20"/>
                <w:szCs w:val="20"/>
                <w:color w:val="auto"/>
              </w:rPr>
            </w:pPr>
            <w:r>
              <w:rPr>
                <w:rFonts w:ascii="Courier New" w:cs="Courier New" w:eastAsia="Courier New" w:hAnsi="Courier New"/>
                <w:sz w:val="18"/>
                <w:szCs w:val="18"/>
                <w:color w:val="auto"/>
              </w:rPr>
              <w:t>2(a).</w:t>
            </w:r>
          </w:p>
        </w:tc>
        <w:tc>
          <w:tcPr>
            <w:tcW w:w="19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TRANSITION PERIOD.</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For purposes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this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30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"Transition Period" shall be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two</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 plus the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 of</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w:t>
            </w:r>
          </w:p>
        </w:tc>
        <w:tc>
          <w:tcPr>
            <w:tcW w:w="34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TOP time and leave time, if any,</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which the Officer</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has accrued as</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the Termination Date.</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422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2(b). CHANGE OF OFFICER STATUS.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In</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event that</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Officer or</w:t>
            </w:r>
          </w:p>
        </w:tc>
        <w:tc>
          <w:tcPr>
            <w:tcW w:w="532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9"/>
              </w:rPr>
              <w:t>the Company terminates the Officer's status as an</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 of</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32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Company but not as an employee, both parties agree</w:t>
            </w:r>
          </w:p>
        </w:tc>
      </w:tr>
      <w:tr>
        <w:trPr>
          <w:trHeight w:val="203"/>
        </w:trPr>
        <w:tc>
          <w:tcPr>
            <w:tcW w:w="50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that such change in status will be treated as a</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termination for</w:t>
            </w: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purposes of this Agreement,</w:t>
            </w:r>
          </w:p>
        </w:tc>
        <w:tc>
          <w:tcPr>
            <w:tcW w:w="3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and that the date of such change in</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status will be</w:t>
            </w:r>
          </w:p>
        </w:tc>
        <w:tc>
          <w:tcPr>
            <w:tcW w:w="30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deemed the Termination Date.</w:t>
            </w:r>
          </w:p>
        </w:tc>
        <w:tc>
          <w:tcPr>
            <w:tcW w:w="22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Following the</w:t>
            </w:r>
          </w:p>
        </w:tc>
      </w:tr>
      <w:tr>
        <w:trPr>
          <w:trHeight w:val="0"/>
        </w:trPr>
        <w:tc>
          <w:tcPr>
            <w:tcW w:w="1120" w:type="dxa"/>
            <w:vAlign w:val="bottom"/>
          </w:tcPr>
          <w:p>
            <w:pPr>
              <w:spacing w:after="0"/>
              <w:rPr>
                <w:sz w:val="20"/>
                <w:szCs w:val="20"/>
                <w:color w:val="auto"/>
              </w:rPr>
            </w:pPr>
            <w:r>
              <w:rPr>
                <w:rFonts w:ascii="Courier New" w:cs="Courier New" w:eastAsia="Courier New" w:hAnsi="Courier New"/>
                <w:sz w:val="18"/>
                <w:szCs w:val="18"/>
                <w:color w:val="auto"/>
              </w:rPr>
              <w:t>Transition</w:t>
            </w:r>
          </w:p>
        </w:tc>
        <w:tc>
          <w:tcPr>
            <w:tcW w:w="5740" w:type="dxa"/>
            <w:vAlign w:val="bottom"/>
            <w:gridSpan w:val="6"/>
          </w:tcPr>
          <w:p>
            <w:pPr>
              <w:ind w:left="40"/>
              <w:spacing w:after="0"/>
              <w:rPr>
                <w:sz w:val="20"/>
                <w:szCs w:val="20"/>
                <w:color w:val="auto"/>
              </w:rPr>
            </w:pPr>
            <w:r>
              <w:rPr>
                <w:rFonts w:ascii="Courier New" w:cs="Courier New" w:eastAsia="Courier New" w:hAnsi="Courier New"/>
                <w:sz w:val="18"/>
                <w:szCs w:val="18"/>
                <w:color w:val="auto"/>
              </w:rPr>
              <w:t>Period, the Officer shall be entitled only to such</w:t>
            </w:r>
          </w:p>
        </w:tc>
      </w:tr>
    </w:tbl>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compensation and benefits for his services as an employee that may be mutually agreed upon between the Company and the Officer. In no circumstance shall benefits under Paragraph 3 be paid to an Officer for a period longer than the first Transition Period created by a change of status or termination.</w:t>
      </w:r>
    </w:p>
    <w:p>
      <w:pPr>
        <w:spacing w:after="0" w:line="209" w:lineRule="exact"/>
        <w:rPr>
          <w:sz w:val="20"/>
          <w:szCs w:val="20"/>
          <w:color w:val="auto"/>
        </w:rPr>
      </w:pPr>
    </w:p>
    <w:p>
      <w:pPr>
        <w:ind w:right="3359" w:firstLine="535"/>
        <w:spacing w:after="0" w:line="238" w:lineRule="auto"/>
        <w:tabs>
          <w:tab w:leader="none" w:pos="115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DURING THE TRANSITION PERIOD. Provided the Officer complies with the terms of this Agreement, the Officer will receive during the Transition Period all benefits customarily provided to officers of the Company, including, but not limited to salary, bonuses, executive bonuses, and the continued vesting of any granted stock options, as if the Officer's employment as an officer had continued during that period. "Customarily provided" refers to Company practices and plans with respect to officer benefits and compensation in effect as of the Termination Date. For purposes of this provision, however, it will be understood that the Officer, during the Transition Period, will not be entitled to any new grants of interest in future executive bonus pools, nor to any new grants of stock options. It will be further understood that the Officer will not be entitled to payment of any compensation that is deferred past the Transition Period due to payment criteria of an incentive program, as those criteria existed as of the Termination Date. No action by the Company or the Company's Board of Directors may effect the Officer's receipt of the benefits set forth above, other than as provided herein.</w:t>
      </w:r>
    </w:p>
    <w:p>
      <w:pPr>
        <w:spacing w:after="0" w:line="209" w:lineRule="exact"/>
        <w:rPr>
          <w:rFonts w:ascii="Courier New" w:cs="Courier New" w:eastAsia="Courier New" w:hAnsi="Courier New"/>
          <w:sz w:val="18"/>
          <w:szCs w:val="18"/>
          <w:color w:val="auto"/>
        </w:rPr>
      </w:pPr>
    </w:p>
    <w:p>
      <w:pPr>
        <w:ind w:right="3259" w:firstLine="535"/>
        <w:spacing w:after="0" w:line="237" w:lineRule="auto"/>
        <w:tabs>
          <w:tab w:leader="none" w:pos="115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The parties agree that throughout the Transition Period no statements regarding the Officer's termination will be made other than to indicate that the reasons for, and circumstances of, the termination are CONFIDENTIAL and that both the Company, the Board of Directors, and the Officer are obligated to make "no comment" regarding the termination.</w:t>
      </w:r>
    </w:p>
    <w:p>
      <w:pPr>
        <w:spacing w:after="0" w:line="7"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paragraph, "statements" includes, but is not limited to, statements to the press, analysts, and journalists. Nothing in this paragraph is meant to prevent the Company from disclosing any facts required to be disclosed pursuant to statute or regulation.</w:t>
      </w:r>
    </w:p>
    <w:p>
      <w:pPr>
        <w:spacing w:after="0" w:line="208" w:lineRule="exact"/>
        <w:rPr>
          <w:rFonts w:ascii="Courier New" w:cs="Courier New" w:eastAsia="Courier New" w:hAnsi="Courier New"/>
          <w:sz w:val="18"/>
          <w:szCs w:val="18"/>
          <w:color w:val="auto"/>
        </w:rPr>
      </w:pPr>
    </w:p>
    <w:p>
      <w:pPr>
        <w:ind w:right="3579" w:firstLine="535"/>
        <w:spacing w:after="0" w:line="237" w:lineRule="auto"/>
        <w:tabs>
          <w:tab w:leader="none" w:pos="115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This Agreement terminates when the Officer turns 60 years of age, and any termination or change of status of the Officer after that date will not entitle the Officer to any of the benefits of this Agreement.</w:t>
      </w:r>
    </w:p>
    <w:p>
      <w:pPr>
        <w:spacing w:after="0" w:line="207" w:lineRule="exact"/>
        <w:rPr>
          <w:rFonts w:ascii="Courier New" w:cs="Courier New" w:eastAsia="Courier New" w:hAnsi="Courier New"/>
          <w:sz w:val="18"/>
          <w:szCs w:val="18"/>
          <w:color w:val="auto"/>
        </w:rPr>
      </w:pPr>
    </w:p>
    <w:p>
      <w:pPr>
        <w:ind w:right="3359" w:firstLine="535"/>
        <w:spacing w:after="0" w:line="237" w:lineRule="auto"/>
        <w:tabs>
          <w:tab w:leader="none" w:pos="115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Upon receipt of all benefits under this Agreement, the Officer and Company settle, waive, and voluntarily release any and all claims each has or may have against the other, inclusive of any of the Company's affiliates, officers, directors, employees or agents, both individually and in their official capacities, which claims accrued prior to the end of the Transition Period.</w:t>
      </w:r>
    </w:p>
    <w:p>
      <w:pPr>
        <w:spacing w:after="0" w:line="211" w:lineRule="exact"/>
        <w:rPr>
          <w:rFonts w:ascii="Courier New" w:cs="Courier New" w:eastAsia="Courier New" w:hAnsi="Courier New"/>
          <w:sz w:val="18"/>
          <w:szCs w:val="18"/>
          <w:color w:val="auto"/>
        </w:rPr>
      </w:pPr>
    </w:p>
    <w:p>
      <w:pPr>
        <w:ind w:right="3479" w:firstLine="535"/>
        <w:spacing w:after="0" w:line="236" w:lineRule="auto"/>
        <w:tabs>
          <w:tab w:leader="none" w:pos="115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AGREEMENT. This Agreement supersedes all prior agreements, and is the entire and final understanding of the parties as to the subject matter hereof.</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7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Officer</w:t>
      </w:r>
    </w:p>
    <w:p>
      <w:pPr>
        <w:spacing w:after="0" w:line="200" w:lineRule="exact"/>
        <w:rPr>
          <w:sz w:val="20"/>
          <w:szCs w:val="20"/>
          <w:color w:val="auto"/>
        </w:rPr>
      </w:pPr>
    </w:p>
    <w:p>
      <w:pPr>
        <w:sectPr>
          <w:pgSz w:w="11900" w:h="16838" w:orient="portrait"/>
          <w:cols w:equalWidth="0" w:num="2">
            <w:col w:w="3500" w:space="720"/>
            <w:col w:w="5999"/>
          </w:cols>
          <w:pgMar w:left="240" w:top="339" w:right="1440" w:bottom="740" w:gutter="0" w:footer="0" w:header="0"/>
          <w:type w:val="continuous"/>
        </w:sectPr>
      </w:pPr>
    </w:p>
    <w:p>
      <w:pPr>
        <w:spacing w:after="0" w:line="24" w:lineRule="exact"/>
        <w:rPr>
          <w:sz w:val="20"/>
          <w:szCs w:val="20"/>
          <w:color w:val="auto"/>
        </w:rPr>
      </w:pPr>
    </w:p>
    <w:p>
      <w:pPr>
        <w:ind w:right="1280"/>
        <w:spacing w:after="0" w:line="235" w:lineRule="auto"/>
        <w:rPr>
          <w:sz w:val="20"/>
          <w:szCs w:val="20"/>
          <w:color w:val="auto"/>
        </w:rPr>
      </w:pPr>
      <w:r>
        <w:rPr>
          <w:rFonts w:ascii="Courier New" w:cs="Courier New" w:eastAsia="Courier New" w:hAnsi="Courier New"/>
          <w:sz w:val="18"/>
          <w:szCs w:val="18"/>
          <w:color w:val="auto"/>
        </w:rPr>
        <w:t>- ------------------- 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2">
            <w:col w:w="3500" w:space="720"/>
            <w:col w:w="5999"/>
          </w:cols>
          <w:pgMar w:left="240" w:top="339" w:right="1440" w:bottom="740" w:gutter="0" w:footer="0" w:header="0"/>
          <w:type w:val="continuous"/>
        </w:sectPr>
      </w:pPr>
    </w:p>
    <w:bookmarkStart w:id="24" w:name="page25"/>
    <w:bookmarkEnd w:id="24"/>
    <w:p>
      <w:pPr>
        <w:ind w:left="2540"/>
        <w:spacing w:after="0"/>
        <w:rPr>
          <w:sz w:val="20"/>
          <w:szCs w:val="20"/>
          <w:color w:val="auto"/>
        </w:rPr>
      </w:pPr>
      <w:r>
        <w:rPr>
          <w:rFonts w:ascii="Courier New" w:cs="Courier New" w:eastAsia="Courier New" w:hAnsi="Courier New"/>
          <w:sz w:val="18"/>
          <w:szCs w:val="18"/>
          <w:color w:val="auto"/>
        </w:rPr>
        <w:t>EXHIBIT 10.113</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REVOLVING CREDIT AGREEMENT</w:t>
      </w:r>
    </w:p>
    <w:p>
      <w:pPr>
        <w:spacing w:after="0" w:line="200" w:lineRule="exact"/>
        <w:rPr>
          <w:sz w:val="20"/>
          <w:szCs w:val="20"/>
          <w:color w:val="auto"/>
        </w:rPr>
      </w:pPr>
    </w:p>
    <w:p>
      <w:pPr>
        <w:spacing w:after="0" w:line="209"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This REVOLVING CREDIT AGREEMENT (the "Agreement") is entered into as of February 12, 1996, among Micron Technology, Inc. a Delaware corporation (the "Company"), the several financial institutions party to this Agreement (collectively, the "Banks"; individually, a "Bank"), and Bank of America National Trust and Savings Association, as agent for the Banks (in such capacity, the "Agent").</w:t>
      </w:r>
    </w:p>
    <w:p>
      <w:pPr>
        <w:spacing w:after="0" w:line="211"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WHEREAS, the Banks have agreed to make available to the Company a revolving credit facility upon the terms and conditions set forth in this Agreement;</w:t>
      </w:r>
    </w:p>
    <w:p>
      <w:pPr>
        <w:spacing w:after="0" w:line="209" w:lineRule="exact"/>
        <w:rPr>
          <w:sz w:val="20"/>
          <w:szCs w:val="20"/>
          <w:color w:val="auto"/>
        </w:rPr>
      </w:pPr>
    </w:p>
    <w:p>
      <w:pPr>
        <w:jc w:val="both"/>
        <w:ind w:right="35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mutual agreements, provisions and covenants contained herein, the parties agree as follows: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ARTICLE I - DEFINITIONS AND RELATED MATTERS</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In this Agreement, unless otherwise specified, capitalized terms are used as defined herein and in Annex I hereto. Certain other interpretive provisions and accounting principles applicable to this Agreement are also set forth in Annex I hereto.</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ARTICLE II - THE REVOLVING CREDIT</w:t>
      </w:r>
    </w:p>
    <w:p>
      <w:pPr>
        <w:spacing w:after="0" w:line="207"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2.01 Amounts and Terms of Commitments. Each Bank severally agrees, on the terms and conditions set forth herein, to make loans to the Company from time to time on any Business Day during the period from the Closing Date to the Revolving Termination Date, in an aggregate amount not to exceed at any time outstanding the amount set forth on the signature pages hereto opposite such Bank's name (such amount, as the same may be reduced under Section 2.05, the Bank's "Commitment"); provided, however, that, after giving effect to any Borrowing, the aggregate principal amount of all outstanding Loans shall not at any time exceed the combined Commitments. Within the limits of each Bank's Commitment, and subject to the other terms and conditions hereof, the Company may borrow under this Section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2.01, prepay under Section 2.06 and reborrow under this Section</w:t>
      </w:r>
    </w:p>
    <w:p>
      <w:pPr>
        <w:spacing w:after="0" w:line="238" w:lineRule="auto"/>
        <w:rPr>
          <w:sz w:val="20"/>
          <w:szCs w:val="20"/>
          <w:color w:val="auto"/>
        </w:rPr>
      </w:pPr>
      <w:r>
        <w:rPr>
          <w:rFonts w:ascii="Courier New" w:cs="Courier New" w:eastAsia="Courier New" w:hAnsi="Courier New"/>
          <w:sz w:val="18"/>
          <w:szCs w:val="18"/>
          <w:color w:val="auto"/>
        </w:rPr>
        <w:t>2.01.</w:t>
      </w:r>
    </w:p>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2.02 Loan Accounts. The Loans made by the Banks shall be evidenced by Notes executed by the Company in favor of each Bank. Each Bank shall endorse on schedules annexed to its Note the date, amount and maturity of each Loan made by it and the amount of each payment of principal made by the Company with respect thereto. Each Bank is irrevocably authorized by the Company to endorse its Note and each Bank's record shall be conclusive absent manifest error; provided, however, that the failure of a Bank to make, or an error in making, a notation thereon with respect to any Loan shall not limit or otherwise affect the obligations of the Company hereunder or under any such Note to such Bank.</w:t>
      </w:r>
    </w:p>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2.03 Procedure for Borrowing. (a) Each Borrowing shall be made upon the Company's irrevocable written notice delivered to the Agent in the form of a Notice of Borrowing (which notice must be received by the Agent (i) prior to 9:00 a.m. (San Francisco time) three Business Days prior to the requested Borrowing Date, in the case of Offshore Rate Loans, and (ii) either (A) prior to 9:00 a.m. (San Francisco time) one Business Day prior to the requested Borrowing Date, or (B) prior to 8:00 a.m. (San Francisco time) on the requested Borrowing Date, in the case of Base Rate Loans, specifying: (I) the amount of the Borrowing, which shall be in an aggregate minimum amount of $5,000,000 or any multiple of $1,000,000 in excess thereof; (II) the requested Borrowing Date, which shall be a Business Day; (III) the Type of Loans comprising the Borrowing; and (IV) the duration of the requested Interest Period (one week or one month), if applicable. If the Notice of Borrowing fails to specify the duration of the Interest Period for any Borrowing comprised of Offshore Rate Loans, such Interest Period shall be one week. The Agent will promptly notify each Bank of its receipt of any Notice of Borrowing and of the amount of such Bank's Pro Rata Share of that Borrowing.</w:t>
      </w:r>
    </w:p>
    <w:p>
      <w:pPr>
        <w:sectPr>
          <w:pgSz w:w="11900" w:h="16838" w:orient="portrait"/>
          <w:cols w:equalWidth="0" w:num="1">
            <w:col w:w="10219"/>
          </w:cols>
          <w:pgMar w:left="240" w:top="136" w:right="1440" w:bottom="0" w:gutter="0" w:footer="0" w:header="0"/>
        </w:sectPr>
      </w:pPr>
    </w:p>
    <w:bookmarkStart w:id="25" w:name="page26"/>
    <w:bookmarkEnd w:id="25"/>
    <w:p>
      <w:pPr>
        <w:ind w:right="3359" w:firstLine="1061"/>
        <w:spacing w:after="0" w:line="238"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Bank will make the amount of its Pro Rata Share of each Borrowing available to the Agent for the account of the Company at the Agent's payment office by 11:00 a.m. (San Francisco time) on the Borrowing Date requested by the Company in funds immediately available to the Agent. The proceeds of all such Loans will then be made available to the Company by the Agent at such office by crediting the account of the Company on the books of BofA with the aggregate of the amounts made available to the Agent by the Banks in like funds as received by the Agent or, if requested by the Company, by wire transfer in accordance with written instructions provided to the Agent by the Company of like funds as received by the Agent. After giving effect to any Borrowing, unless the Agent shall otherwise consent, there may not be more than four different Interest Periods in effect.</w:t>
      </w:r>
    </w:p>
    <w:p>
      <w:pPr>
        <w:spacing w:after="0" w:line="208" w:lineRule="exact"/>
        <w:rPr>
          <w:sz w:val="20"/>
          <w:szCs w:val="20"/>
          <w:color w:val="auto"/>
        </w:rPr>
      </w:pPr>
    </w:p>
    <w:p>
      <w:pPr>
        <w:jc w:val="both"/>
        <w:ind w:right="3899" w:firstLine="527"/>
        <w:spacing w:after="0" w:line="236" w:lineRule="auto"/>
        <w:rPr>
          <w:sz w:val="20"/>
          <w:szCs w:val="20"/>
          <w:color w:val="auto"/>
        </w:rPr>
      </w:pPr>
      <w:r>
        <w:rPr>
          <w:rFonts w:ascii="Courier New" w:cs="Courier New" w:eastAsia="Courier New" w:hAnsi="Courier New"/>
          <w:sz w:val="18"/>
          <w:szCs w:val="18"/>
          <w:color w:val="auto"/>
        </w:rPr>
        <w:t>2.04 Conversion and Continuation Elections. (a) The Company may, upon irrevocable written notice to the Agent in accordance with subsection 2.04(b):</w:t>
      </w:r>
    </w:p>
    <w:p>
      <w:pPr>
        <w:spacing w:after="0" w:line="209" w:lineRule="exact"/>
        <w:rPr>
          <w:sz w:val="20"/>
          <w:szCs w:val="20"/>
          <w:color w:val="auto"/>
        </w:rPr>
      </w:pPr>
    </w:p>
    <w:p>
      <w:pPr>
        <w:ind w:left="540" w:right="3359" w:firstLine="1048"/>
        <w:spacing w:after="0" w:line="237" w:lineRule="auto"/>
        <w:tabs>
          <w:tab w:leader="none" w:pos="21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 as of any Business Day, in the case of Base Rate Loans, or as of the last day of the applicable Interest Period, in the case of Offshore Rate Loans, to convert any such Loans (or any part thereof in an amount not less than $5,000,000, or that is in an integral multiple of $1,000,000 in excess thereof) into Loans of any other Type; or</w:t>
      </w:r>
    </w:p>
    <w:p>
      <w:pPr>
        <w:spacing w:after="0" w:line="211" w:lineRule="exact"/>
        <w:rPr>
          <w:rFonts w:ascii="Courier New" w:cs="Courier New" w:eastAsia="Courier New" w:hAnsi="Courier New"/>
          <w:sz w:val="18"/>
          <w:szCs w:val="18"/>
          <w:color w:val="auto"/>
        </w:rPr>
      </w:pPr>
    </w:p>
    <w:p>
      <w:pPr>
        <w:ind w:left="540" w:right="3479" w:firstLine="1048"/>
        <w:spacing w:after="0" w:line="273" w:lineRule="auto"/>
        <w:tabs>
          <w:tab w:leader="none" w:pos="222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as of the last day of the applicable Interest Period, to continue any Offshore Rate Loans having Interest Periods expiring on such day (or any part thereof in an amount not less than $5,000,000, or that is in an integral multiple of $1,000,000 in excess thereof);</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provided, that if at any time the aggregate amount of Offshore</w:t>
      </w:r>
    </w:p>
    <w:p>
      <w:pPr>
        <w:spacing w:after="0" w:line="238" w:lineRule="auto"/>
        <w:rPr>
          <w:sz w:val="20"/>
          <w:szCs w:val="20"/>
          <w:color w:val="auto"/>
        </w:rPr>
      </w:pPr>
      <w:r>
        <w:rPr>
          <w:rFonts w:ascii="Courier New" w:cs="Courier New" w:eastAsia="Courier New" w:hAnsi="Courier New"/>
          <w:sz w:val="18"/>
          <w:szCs w:val="18"/>
          <w:color w:val="auto"/>
        </w:rPr>
        <w:t>Rate Loans in respect of any Borrowing is reduced, by payment,</w:t>
      </w:r>
    </w:p>
    <w:p>
      <w:pPr>
        <w:spacing w:after="0"/>
        <w:rPr>
          <w:sz w:val="20"/>
          <w:szCs w:val="20"/>
          <w:color w:val="auto"/>
        </w:rPr>
      </w:pPr>
      <w:r>
        <w:rPr>
          <w:rFonts w:ascii="Courier New" w:cs="Courier New" w:eastAsia="Courier New" w:hAnsi="Courier New"/>
          <w:sz w:val="18"/>
          <w:szCs w:val="18"/>
          <w:color w:val="auto"/>
        </w:rPr>
        <w:t>prepayment or conversion of part thereof to be less than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$5,000,000, such Offshore Rate Loans shall automatically convert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into Base Rate Loans, and on and after such date the right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to continue such Loans as, and convert such Loans into,</w:t>
      </w:r>
    </w:p>
    <w:p>
      <w:pPr>
        <w:spacing w:after="0" w:line="238" w:lineRule="auto"/>
        <w:rPr>
          <w:sz w:val="20"/>
          <w:szCs w:val="20"/>
          <w:color w:val="auto"/>
        </w:rPr>
      </w:pPr>
      <w:r>
        <w:rPr>
          <w:rFonts w:ascii="Courier New" w:cs="Courier New" w:eastAsia="Courier New" w:hAnsi="Courier New"/>
          <w:sz w:val="18"/>
          <w:szCs w:val="18"/>
          <w:color w:val="auto"/>
        </w:rPr>
        <w:t>Offshore Rate Loans shall terminate.</w:t>
      </w:r>
    </w:p>
    <w:p>
      <w:pPr>
        <w:spacing w:after="0" w:line="207" w:lineRule="exact"/>
        <w:rPr>
          <w:sz w:val="20"/>
          <w:szCs w:val="20"/>
          <w:color w:val="auto"/>
        </w:rPr>
      </w:pPr>
    </w:p>
    <w:p>
      <w:pPr>
        <w:ind w:right="3359" w:firstLine="1061"/>
        <w:spacing w:after="0" w:line="268" w:lineRule="auto"/>
        <w:tabs>
          <w:tab w:leader="none" w:pos="15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deliver a Notice of Conversion/Continuation to be received by the Agent not later than (i) 9:00 a.m. (San Francisco time) at least three Business Days in advance of the Conversion/Continuation Date, if the Loans are to be converted into or continued as Offshore Rate Loans, and</w:t>
      </w:r>
    </w:p>
    <w:p>
      <w:pPr>
        <w:ind w:right="3579" w:firstLine="8"/>
        <w:spacing w:after="0" w:line="268" w:lineRule="auto"/>
        <w:tabs>
          <w:tab w:leader="none" w:pos="52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 9:00 a.m. (San Francisco time) at least one Business Day in advance of the Conversion/Continuation Date, or</w:t>
      </w:r>
    </w:p>
    <w:p>
      <w:pPr>
        <w:ind w:right="335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8:00 a.m. (San Francisco time) on the Conversion/Continuation Date, if the Loans are to be converted into Base Rate Loans, specifying: (I) the proposed Conversion/Continuation Date; (II) the aggregate amount of Loans to be converted or continued; (III) the Type of Loans resulting from the proposed conversion or continuation; and (IV) the duration of the requested Interest Period, if applicable.</w:t>
      </w:r>
    </w:p>
    <w:p>
      <w:pPr>
        <w:spacing w:after="0" w:line="388" w:lineRule="exact"/>
        <w:rPr>
          <w:rFonts w:ascii="Courier New" w:cs="Courier New" w:eastAsia="Courier New" w:hAnsi="Courier New"/>
          <w:sz w:val="16"/>
          <w:szCs w:val="16"/>
          <w:color w:val="auto"/>
        </w:rPr>
      </w:pPr>
    </w:p>
    <w:p>
      <w:pPr>
        <w:ind w:right="3359" w:firstLine="1061"/>
        <w:spacing w:after="0" w:line="237" w:lineRule="auto"/>
        <w:tabs>
          <w:tab w:leader="none" w:pos="15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existence of a Default or Event of Default, the Company may not elect to have a Loan converted into or continued as an Offshore Rate Loan. If upon the expiration of any Interest Period applicable to Offshore Rate Loans, the Company has failed to select timely a new Interest Period to be applicable to such Offshore Rate Loans, as the case may be, or if any Default or Event of Default then exists, the Company shall be deemed to have elected to convert such Offshore Rate Loans into Base Rate Loans effective as of the expiration date of such Interest Period.</w:t>
      </w:r>
    </w:p>
    <w:p>
      <w:pPr>
        <w:spacing w:after="0" w:line="214" w:lineRule="exact"/>
        <w:rPr>
          <w:rFonts w:ascii="Courier New" w:cs="Courier New" w:eastAsia="Courier New" w:hAnsi="Courier New"/>
          <w:sz w:val="18"/>
          <w:szCs w:val="18"/>
          <w:color w:val="auto"/>
        </w:rPr>
      </w:pPr>
    </w:p>
    <w:p>
      <w:pPr>
        <w:ind w:right="3359" w:firstLine="1061"/>
        <w:spacing w:after="0" w:line="270" w:lineRule="auto"/>
        <w:tabs>
          <w:tab w:leader="none" w:pos="15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will promptly notify each Bank of its receipt of a Notice of Conversion/Continuation, or, if no timely notice of conversion/continuation is provided by the Company, or if the Agent has received a notice of Default or Event of Default pursuant to Section (e) of Annex IX, the Agent will promptly notify each Bank of the details of any automatic conversion. All conversions and continuations shall be made ratably according to the respective outstanding principal amounts of the Loans held by each Bank with respect to which the notice was given. After giving effect to any conversion or continuation of Loans, unless the Agent shall otherwise consent, there may not be more than four different Interest Periods in effect.</w:t>
      </w:r>
    </w:p>
    <w:p>
      <w:pPr>
        <w:sectPr>
          <w:pgSz w:w="11900" w:h="16838" w:orient="portrait"/>
          <w:cols w:equalWidth="0" w:num="1">
            <w:col w:w="10219"/>
          </w:cols>
          <w:pgMar w:left="240" w:top="344" w:right="1440" w:bottom="0" w:gutter="0" w:footer="0" w:header="0"/>
        </w:sectPr>
      </w:pPr>
    </w:p>
    <w:bookmarkStart w:id="26" w:name="page27"/>
    <w:bookmarkEnd w:id="26"/>
    <w:p>
      <w:pPr>
        <w:ind w:left="540"/>
        <w:spacing w:after="0"/>
        <w:tabs>
          <w:tab w:leader="none" w:pos="1140" w:val="left"/>
        </w:tabs>
        <w:rPr>
          <w:sz w:val="20"/>
          <w:szCs w:val="20"/>
          <w:color w:val="auto"/>
        </w:rPr>
      </w:pPr>
      <w:r>
        <w:rPr>
          <w:rFonts w:ascii="Courier New" w:cs="Courier New" w:eastAsia="Courier New" w:hAnsi="Courier New"/>
          <w:sz w:val="18"/>
          <w:szCs w:val="18"/>
          <w:color w:val="auto"/>
        </w:rPr>
        <w:t>2.05</w:t>
      </w:r>
      <w:r>
        <w:rPr>
          <w:sz w:val="20"/>
          <w:szCs w:val="20"/>
          <w:color w:val="auto"/>
        </w:rPr>
        <w:tab/>
      </w:r>
      <w:r>
        <w:rPr>
          <w:rFonts w:ascii="Courier New" w:cs="Courier New" w:eastAsia="Courier New" w:hAnsi="Courier New"/>
          <w:sz w:val="16"/>
          <w:szCs w:val="16"/>
          <w:color w:val="auto"/>
        </w:rPr>
        <w:t>Voluntary Termination or Reduction of Commitments.</w:t>
      </w:r>
    </w:p>
    <w:p>
      <w:pPr>
        <w:spacing w:after="0" w:line="238" w:lineRule="auto"/>
        <w:rPr>
          <w:sz w:val="20"/>
          <w:szCs w:val="20"/>
          <w:color w:val="auto"/>
        </w:rPr>
      </w:pPr>
      <w:r>
        <w:rPr>
          <w:rFonts w:ascii="Courier New" w:cs="Courier New" w:eastAsia="Courier New" w:hAnsi="Courier New"/>
          <w:sz w:val="18"/>
          <w:szCs w:val="18"/>
          <w:color w:val="auto"/>
        </w:rPr>
        <w:t>The Company may, upon not less than five Business Days' prior</w:t>
      </w:r>
    </w:p>
    <w:p>
      <w:pPr>
        <w:spacing w:after="0"/>
        <w:rPr>
          <w:sz w:val="20"/>
          <w:szCs w:val="20"/>
          <w:color w:val="auto"/>
        </w:rPr>
      </w:pPr>
      <w:r>
        <w:rPr>
          <w:rFonts w:ascii="Courier New" w:cs="Courier New" w:eastAsia="Courier New" w:hAnsi="Courier New"/>
          <w:sz w:val="18"/>
          <w:szCs w:val="18"/>
          <w:color w:val="auto"/>
        </w:rPr>
        <w:t>notice to the Agent, terminate the Commitments, or permanently</w:t>
      </w:r>
    </w:p>
    <w:p>
      <w:pPr>
        <w:spacing w:after="0" w:line="237" w:lineRule="auto"/>
        <w:rPr>
          <w:sz w:val="20"/>
          <w:szCs w:val="20"/>
          <w:color w:val="auto"/>
        </w:rPr>
      </w:pPr>
      <w:r>
        <w:rPr>
          <w:rFonts w:ascii="Courier New" w:cs="Courier New" w:eastAsia="Courier New" w:hAnsi="Courier New"/>
          <w:sz w:val="18"/>
          <w:szCs w:val="18"/>
          <w:color w:val="auto"/>
        </w:rPr>
        <w:t>reduce the Commitments by an aggregate minimum amount of</w:t>
      </w:r>
    </w:p>
    <w:p>
      <w:pPr>
        <w:spacing w:after="0" w:line="238" w:lineRule="auto"/>
        <w:rPr>
          <w:sz w:val="20"/>
          <w:szCs w:val="20"/>
          <w:color w:val="auto"/>
        </w:rPr>
      </w:pPr>
      <w:r>
        <w:rPr>
          <w:rFonts w:ascii="Courier New" w:cs="Courier New" w:eastAsia="Courier New" w:hAnsi="Courier New"/>
          <w:sz w:val="18"/>
          <w:szCs w:val="18"/>
          <w:color w:val="auto"/>
        </w:rPr>
        <w:t>$5,000,000, or any multiple of $1,000,000 in excess thereof;</w:t>
      </w:r>
    </w:p>
    <w:p>
      <w:pPr>
        <w:spacing w:after="0"/>
        <w:rPr>
          <w:sz w:val="20"/>
          <w:szCs w:val="20"/>
          <w:color w:val="auto"/>
        </w:rPr>
      </w:pPr>
      <w:r>
        <w:rPr>
          <w:rFonts w:ascii="Courier New" w:cs="Courier New" w:eastAsia="Courier New" w:hAnsi="Courier New"/>
          <w:sz w:val="18"/>
          <w:szCs w:val="18"/>
          <w:color w:val="auto"/>
        </w:rPr>
        <w:t>unless, after giving effect thereto and to any prepayments of</w:t>
      </w:r>
    </w:p>
    <w:p>
      <w:pPr>
        <w:spacing w:after="0" w:line="237" w:lineRule="auto"/>
        <w:rPr>
          <w:sz w:val="20"/>
          <w:szCs w:val="20"/>
          <w:color w:val="auto"/>
        </w:rPr>
      </w:pPr>
      <w:r>
        <w:rPr>
          <w:rFonts w:ascii="Courier New" w:cs="Courier New" w:eastAsia="Courier New" w:hAnsi="Courier New"/>
          <w:sz w:val="18"/>
          <w:szCs w:val="18"/>
          <w:color w:val="auto"/>
        </w:rPr>
        <w:t>Loans made on the effective date thereof, the then-outstanding</w:t>
      </w:r>
    </w:p>
    <w:p>
      <w:pPr>
        <w:spacing w:after="0"/>
        <w:rPr>
          <w:sz w:val="20"/>
          <w:szCs w:val="20"/>
          <w:color w:val="auto"/>
        </w:rPr>
      </w:pPr>
      <w:r>
        <w:rPr>
          <w:rFonts w:ascii="Courier New" w:cs="Courier New" w:eastAsia="Courier New" w:hAnsi="Courier New"/>
          <w:sz w:val="18"/>
          <w:szCs w:val="18"/>
          <w:color w:val="auto"/>
        </w:rPr>
        <w:t>principal amount of the Loans would exceed the amount of the</w:t>
      </w:r>
    </w:p>
    <w:p>
      <w:pPr>
        <w:spacing w:after="0"/>
        <w:tabs>
          <w:tab w:leader="none" w:pos="4000" w:val="left"/>
        </w:tabs>
        <w:rPr>
          <w:sz w:val="20"/>
          <w:szCs w:val="20"/>
          <w:color w:val="auto"/>
        </w:rPr>
      </w:pPr>
      <w:r>
        <w:rPr>
          <w:rFonts w:ascii="Courier New" w:cs="Courier New" w:eastAsia="Courier New" w:hAnsi="Courier New"/>
          <w:sz w:val="18"/>
          <w:szCs w:val="18"/>
          <w:color w:val="auto"/>
        </w:rPr>
        <w:t>combined Commitments then in effect.</w:t>
      </w:r>
      <w:r>
        <w:rPr>
          <w:sz w:val="20"/>
          <w:szCs w:val="20"/>
          <w:color w:val="auto"/>
        </w:rPr>
        <w:tab/>
      </w:r>
      <w:r>
        <w:rPr>
          <w:rFonts w:ascii="Courier New" w:cs="Courier New" w:eastAsia="Courier New" w:hAnsi="Courier New"/>
          <w:sz w:val="16"/>
          <w:szCs w:val="16"/>
          <w:color w:val="auto"/>
        </w:rPr>
        <w:t>Once reduced in accordance</w:t>
      </w:r>
    </w:p>
    <w:p>
      <w:pPr>
        <w:spacing w:after="0"/>
        <w:tabs>
          <w:tab w:leader="none" w:pos="6100" w:val="left"/>
        </w:tabs>
        <w:rPr>
          <w:sz w:val="20"/>
          <w:szCs w:val="20"/>
          <w:color w:val="auto"/>
        </w:rPr>
      </w:pPr>
      <w:r>
        <w:rPr>
          <w:rFonts w:ascii="Courier New" w:cs="Courier New" w:eastAsia="Courier New" w:hAnsi="Courier New"/>
          <w:sz w:val="18"/>
          <w:szCs w:val="18"/>
          <w:color w:val="auto"/>
        </w:rPr>
        <w:t>with this Section, the Commitments may not be increased.</w:t>
      </w:r>
      <w:r>
        <w:rPr>
          <w:sz w:val="20"/>
          <w:szCs w:val="20"/>
          <w:color w:val="auto"/>
        </w:rPr>
        <w:tab/>
      </w:r>
      <w:r>
        <w:rPr>
          <w:rFonts w:ascii="Courier New" w:cs="Courier New" w:eastAsia="Courier New" w:hAnsi="Courier New"/>
          <w:sz w:val="16"/>
          <w:szCs w:val="16"/>
          <w:color w:val="auto"/>
        </w:rPr>
        <w:t>Any</w:t>
      </w:r>
    </w:p>
    <w:p>
      <w:pPr>
        <w:spacing w:after="0" w:line="237" w:lineRule="auto"/>
        <w:rPr>
          <w:sz w:val="20"/>
          <w:szCs w:val="20"/>
          <w:color w:val="auto"/>
        </w:rPr>
      </w:pPr>
      <w:r>
        <w:rPr>
          <w:rFonts w:ascii="Courier New" w:cs="Courier New" w:eastAsia="Courier New" w:hAnsi="Courier New"/>
          <w:sz w:val="18"/>
          <w:szCs w:val="18"/>
          <w:color w:val="auto"/>
        </w:rPr>
        <w:t>reduction of the Commitments shall be applied to each Bank</w:t>
      </w:r>
    </w:p>
    <w:p>
      <w:pPr>
        <w:spacing w:after="0"/>
        <w:tabs>
          <w:tab w:leader="none" w:pos="3560" w:val="left"/>
        </w:tabs>
        <w:rPr>
          <w:sz w:val="20"/>
          <w:szCs w:val="20"/>
          <w:color w:val="auto"/>
        </w:rPr>
      </w:pPr>
      <w:r>
        <w:rPr>
          <w:rFonts w:ascii="Courier New" w:cs="Courier New" w:eastAsia="Courier New" w:hAnsi="Courier New"/>
          <w:sz w:val="18"/>
          <w:szCs w:val="18"/>
          <w:color w:val="auto"/>
        </w:rPr>
        <w:t>according to its Pro Rata Share.</w:t>
      </w:r>
      <w:r>
        <w:rPr>
          <w:sz w:val="20"/>
          <w:szCs w:val="20"/>
          <w:color w:val="auto"/>
        </w:rPr>
        <w:tab/>
      </w:r>
      <w:r>
        <w:rPr>
          <w:rFonts w:ascii="Courier New" w:cs="Courier New" w:eastAsia="Courier New" w:hAnsi="Courier New"/>
          <w:sz w:val="16"/>
          <w:szCs w:val="16"/>
          <w:color w:val="auto"/>
        </w:rPr>
        <w:t>All accrued commitment fees to,</w:t>
      </w:r>
    </w:p>
    <w:p>
      <w:pPr>
        <w:spacing w:after="0"/>
        <w:rPr>
          <w:sz w:val="20"/>
          <w:szCs w:val="20"/>
          <w:color w:val="auto"/>
        </w:rPr>
      </w:pPr>
      <w:r>
        <w:rPr>
          <w:rFonts w:ascii="Courier New" w:cs="Courier New" w:eastAsia="Courier New" w:hAnsi="Courier New"/>
          <w:sz w:val="18"/>
          <w:szCs w:val="18"/>
          <w:color w:val="auto"/>
        </w:rPr>
        <w:t>but not including the effective date of any reduction or</w:t>
      </w:r>
    </w:p>
    <w:p>
      <w:pPr>
        <w:spacing w:after="0" w:line="237" w:lineRule="auto"/>
        <w:rPr>
          <w:sz w:val="20"/>
          <w:szCs w:val="20"/>
          <w:color w:val="auto"/>
        </w:rPr>
      </w:pPr>
      <w:r>
        <w:rPr>
          <w:rFonts w:ascii="Courier New" w:cs="Courier New" w:eastAsia="Courier New" w:hAnsi="Courier New"/>
          <w:sz w:val="18"/>
          <w:szCs w:val="18"/>
          <w:color w:val="auto"/>
        </w:rPr>
        <w:t>termination of Commitments, shall be paid on the effective date</w:t>
      </w:r>
    </w:p>
    <w:p>
      <w:pPr>
        <w:spacing w:after="0"/>
        <w:rPr>
          <w:sz w:val="20"/>
          <w:szCs w:val="20"/>
          <w:color w:val="auto"/>
        </w:rPr>
      </w:pPr>
      <w:r>
        <w:rPr>
          <w:rFonts w:ascii="Courier New" w:cs="Courier New" w:eastAsia="Courier New" w:hAnsi="Courier New"/>
          <w:sz w:val="18"/>
          <w:szCs w:val="18"/>
          <w:color w:val="auto"/>
        </w:rPr>
        <w:t>of such reduction or termination.</w:t>
      </w:r>
    </w:p>
    <w:p>
      <w:pPr>
        <w:spacing w:after="0" w:line="206"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2.06 Optional Prepayments. Subject to Section 3.04, the Company may, at any time or from time to time, upon not less than three Business Days' irrevocable notice to the Agent, in the case of Offshore Rate Loans, or one Business Day's irrevocable notice to the Agent, in the case of Base Rate Loans (unless such notice with respect to the prepayment of Base Rate Loans is given prior to 8:00 a.m. (San Francisco time), in which case such prepayment may be made on the same date as such notice), ratably prepay Loans in whole or in part, in minimum amounts of $5,000,000, or any multiple of $1,000,000 in excess thereof. Such notice of prepayment shall specify the date and amount of such prepayment and the Type(s) of Loans to be prepaid. The Agent will promptly notify each Bank of its receipt of any such notice, and of such Bank's Pro Rata Share of such prepayment. If such notice is given by the Company, the Company shall make such prepayment and the payment amount specified in such notice shall be due and payable on the date specified therein, together with accrued interest to each such date on the amount prepaid and any amounts required pursuant to Section 3.04.</w:t>
      </w:r>
    </w:p>
    <w:p>
      <w:pPr>
        <w:spacing w:after="0" w:line="200" w:lineRule="exact"/>
        <w:rPr>
          <w:sz w:val="20"/>
          <w:szCs w:val="20"/>
          <w:color w:val="auto"/>
        </w:rPr>
      </w:pPr>
    </w:p>
    <w:p>
      <w:pPr>
        <w:spacing w:after="0" w:line="398"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2.07 Mandatory Payment. The principal amount of the outstanding Loans, together with all interest accrued thereon and amounts required pursuant to Section 3.04, and all accrued and unpaid fees and other amounts outstanding hereunder, shall be immediately due and payable, and the Commitments shall terminate, automatically and without any further action by any party, upon the consummation of any capital raising event by the Company, including the issuance of any capital stock or the incurrence of any indebtedness for borrowed money; provided, however, that none of the following shall require a mandatory payment hereunder:</w:t>
      </w:r>
    </w:p>
    <w:p>
      <w:pPr>
        <w:spacing w:after="0" w:line="2" w:lineRule="exact"/>
        <w:rPr>
          <w:sz w:val="20"/>
          <w:szCs w:val="20"/>
          <w:color w:val="auto"/>
        </w:rPr>
      </w:pPr>
    </w:p>
    <w:p>
      <w:pPr>
        <w:ind w:right="3359" w:firstLine="8"/>
        <w:spacing w:after="0" w:line="270"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of goods, supplies, or merchandise on normal trade credit; (b) the execution of bonds or undertakings in the ordinary course of its business as presently conducted; (c) the endorsement of negotiable instruments received in the ordinary course of its business as presently conducted; (d) capital raised through the Company's employee stock purchase plan or stock incentive plans; (e) the receipt of customer deposits in connection with sale and purchase agreements entered into in the ordinary course of business; (f) equipment financings in an aggregate principal amount of up to $200,000,000; or (g) the assumption of any existing indebtedness, or the issuance of any capital stock, in connection with an acquisition permitted pursuant to Section 7.03.</w:t>
      </w:r>
    </w:p>
    <w:p>
      <w:pPr>
        <w:spacing w:after="0" w:line="389"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2.08 Repayment. The Company shall repay to the Banks on the Revolving Termination Date the aggregate principal amount of Loans outstanding on such date.</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2.09 Interest. (a) Each Loan shall bear interest on the outstanding principal amount thereof from the applicable Borrowing Date at a rate per annum equal to (i) the Offshore Rate plus 1.50% per annum, or (ii) the Base Rate, as the case may be (and subject to the Company's right to convert to other Types of Loans under Section 2.04).</w:t>
      </w:r>
    </w:p>
    <w:p>
      <w:pPr>
        <w:spacing w:after="0" w:line="210" w:lineRule="exact"/>
        <w:rPr>
          <w:sz w:val="20"/>
          <w:szCs w:val="20"/>
          <w:color w:val="auto"/>
        </w:rPr>
      </w:pPr>
    </w:p>
    <w:p>
      <w:pPr>
        <w:ind w:right="3359" w:firstLine="1061"/>
        <w:spacing w:after="0" w:line="237" w:lineRule="auto"/>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each Loan shall be paid in arrears on each Interest Payment Date. Interest shall also be paid on the date of any prepayment of Loans for the portion of the Loans so prepaid (whether mandatory or optional) and upon payment (including by reason of acceleration) in full thereof and, during the existence of any Event of Default, interest shall be paid on demand of the Agent at the request or with the consent of the Majority Banks.</w:t>
      </w:r>
    </w:p>
    <w:p>
      <w:pPr>
        <w:sectPr>
          <w:pgSz w:w="11900" w:h="16838" w:orient="portrait"/>
          <w:cols w:equalWidth="0" w:num="1">
            <w:col w:w="10219"/>
          </w:cols>
          <w:pgMar w:left="240" w:top="339" w:right="1440" w:bottom="0" w:gutter="0" w:footer="0" w:header="0"/>
        </w:sectPr>
      </w:pPr>
    </w:p>
    <w:bookmarkStart w:id="27" w:name="page28"/>
    <w:bookmarkEnd w:id="27"/>
    <w:p>
      <w:pPr>
        <w:ind w:right="3359" w:firstLine="1061"/>
        <w:spacing w:after="0" w:line="237"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subsection (a) of this Section, if any amount of principal of or interest on any Loan, or any other amount payable hereunder or under any other Loan Document is not paid in full when due (whether at stated maturity, by acceleration, demand or otherwise), the Company agrees to pay interest on such unpaid principal or other amount, from the date such amount becomes due until the date such amount is paid in full, and after as well as before any entry of judgment thereon to the extent permitted by law, payable on demand, at a fluctuating rate per annum equal to the Base Rate plus 2%.</w:t>
      </w:r>
    </w:p>
    <w:p>
      <w:pPr>
        <w:spacing w:after="0" w:line="214"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herein to the contrary notwithstanding, the obligations of the Company to any Bank hereunder shall be subject to the limitation that payments of interest shall not be required for any period for which interest is computed hereunder, to the extent (but only to the extent) that contracting for or receiving such payment by such Bank would be contrary to the provisions of any law applicable to such Bank limiting the highest rate of interest that may be lawfully contracted for, charged or received by such Bank, and in such event the Company shall pay such Bank interest at the highest rate permitted by applicable law.</w:t>
      </w:r>
    </w:p>
    <w:p>
      <w:pPr>
        <w:spacing w:after="0" w:line="21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2.10 Fees. (a) Arrangement Fee. The Company shall pay an arrangement fee to the Arranger for the Arranger's own account as required by the letter agreement ("Fee Letter") between the Company and the Arranger, BofA and Seattle First National Bank dated January 31, 1996.</w:t>
      </w:r>
    </w:p>
    <w:p>
      <w:pPr>
        <w:spacing w:after="0" w:line="209" w:lineRule="exact"/>
        <w:rPr>
          <w:sz w:val="20"/>
          <w:szCs w:val="20"/>
          <w:color w:val="auto"/>
        </w:rPr>
      </w:pPr>
    </w:p>
    <w:p>
      <w:pPr>
        <w:ind w:right="3359" w:firstLine="1061"/>
        <w:spacing w:after="0" w:line="237" w:lineRule="auto"/>
        <w:tabs>
          <w:tab w:leader="none" w:pos="15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Upfront Fee. The Company shall pay to the Agent, for the account of each Bank other than BofA and Seattle First National Bank, a non-refundable upfront fee equal to 0.075% of such Bank's Commitment, which fee shall be payable on the Closing Date.</w:t>
      </w:r>
    </w:p>
    <w:p>
      <w:pPr>
        <w:spacing w:after="0" w:line="208" w:lineRule="exact"/>
        <w:rPr>
          <w:rFonts w:ascii="Courier New" w:cs="Courier New" w:eastAsia="Courier New" w:hAnsi="Courier New"/>
          <w:sz w:val="18"/>
          <w:szCs w:val="18"/>
          <w:color w:val="auto"/>
        </w:rPr>
      </w:pPr>
    </w:p>
    <w:p>
      <w:pPr>
        <w:ind w:right="3479" w:firstLine="1061"/>
        <w:spacing w:after="0" w:line="270" w:lineRule="auto"/>
        <w:tabs>
          <w:tab w:leader="none" w:pos="15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 Fees. The Company shall pay to the Agent for the account of each Bank a commitment fee on the average daily unused portion of such Bank's Commitment, based upon the daily utilization as calculated by the Agent, equal to 0.20% per annum. Such commitment fee shall accrue from February 9, 1996 to the Revolving Termination Date and shall be due and payable on the Revolving Termination Date. The commitment fees provided in this subsection shall accrue at all times after the above-mentioned commencement date, including at any time during which one or more conditions in Article IV are not met.</w:t>
      </w:r>
    </w:p>
    <w:p>
      <w:pPr>
        <w:spacing w:after="0" w:line="189" w:lineRule="exact"/>
        <w:rPr>
          <w:sz w:val="20"/>
          <w:szCs w:val="20"/>
          <w:color w:val="auto"/>
        </w:rPr>
      </w:pPr>
    </w:p>
    <w:p>
      <w:pPr>
        <w:jc w:val="both"/>
        <w:ind w:right="3359" w:firstLine="527"/>
        <w:spacing w:after="0" w:line="268" w:lineRule="auto"/>
        <w:rPr>
          <w:sz w:val="20"/>
          <w:szCs w:val="20"/>
          <w:color w:val="auto"/>
        </w:rPr>
      </w:pPr>
      <w:r>
        <w:rPr>
          <w:rFonts w:ascii="Courier New" w:cs="Courier New" w:eastAsia="Courier New" w:hAnsi="Courier New"/>
          <w:sz w:val="16"/>
          <w:szCs w:val="16"/>
          <w:color w:val="auto"/>
        </w:rPr>
        <w:t>2.11 Computation of Fees and Interest. All computations of interest for Base Rate Loans shall be made on the basis of a year of 365 or 366 days, as the case may be, and actual days elapsed.</w:t>
      </w:r>
    </w:p>
    <w:p>
      <w:pPr>
        <w:spacing w:after="0" w:line="1"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All other computations of fees and interest shall be made on the basis of a 360-day year and actual days elapsed (which results in more interest being paid than if computed on the basis of a</w:t>
      </w:r>
    </w:p>
    <w:p>
      <w:pPr>
        <w:spacing w:after="0" w:line="1"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365-day year). Interest and fees shall accrue during each period during which interest or such fees are computed from the first day thereof to the last day thereof. Each determination of an interest rate by the Agent shall be conclusive and binding on the Company and the Banks in the absence of manifest error.</w:t>
      </w:r>
    </w:p>
    <w:p>
      <w:pPr>
        <w:spacing w:after="0" w:line="185"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2.12 Payments by the Company. (a) All payments to be made by the Company shall be made without set-off, recoupment or counterclaim. Except as otherwise expressly provided herein, all payments by the Company shall be made to the Agent for the account of the Banks at the Agent's payment office, and shall be made in dollars and in immediately available funds, no later than 10:00 a.m. (San Francisco time) on the date specified herein.</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Agent will promptly distribute to each Bank its Pro Rata Share (or other applicable share as expressly provided herein) of such payment in like funds as received. Any payment received by the Agent later than 10:00 a.m. (San Francisco time) shall be deemed to have been received on the following Business Day and any applicable interest or fee shall continue to accrue.</w:t>
      </w:r>
    </w:p>
    <w:p>
      <w:pPr>
        <w:spacing w:after="0" w:line="210" w:lineRule="exact"/>
        <w:rPr>
          <w:sz w:val="20"/>
          <w:szCs w:val="20"/>
          <w:color w:val="auto"/>
        </w:rPr>
      </w:pPr>
    </w:p>
    <w:p>
      <w:pPr>
        <w:ind w:right="3479" w:firstLine="1061"/>
        <w:spacing w:after="0" w:line="237" w:lineRule="auto"/>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set forth in the definition of "Interest Period" herein, whenever any payment is due on a day other than a Business Day, such payment shall be made on the following Business Day, and such extension of time shall in such case be included in the computation of interest or fees, as the case may be.</w:t>
      </w:r>
    </w:p>
    <w:p>
      <w:pPr>
        <w:spacing w:after="0" w:line="209" w:lineRule="exact"/>
        <w:rPr>
          <w:rFonts w:ascii="Courier New" w:cs="Courier New" w:eastAsia="Courier New" w:hAnsi="Courier New"/>
          <w:sz w:val="18"/>
          <w:szCs w:val="18"/>
          <w:color w:val="auto"/>
        </w:rPr>
      </w:pPr>
    </w:p>
    <w:p>
      <w:pPr>
        <w:ind w:right="3479" w:firstLine="1061"/>
        <w:spacing w:after="0" w:line="290" w:lineRule="auto"/>
        <w:tabs>
          <w:tab w:leader="none" w:pos="15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Agent receives notice from the Company prior to the date on which any payment is due to the Banks that</w:t>
      </w:r>
    </w:p>
    <w:p>
      <w:pPr>
        <w:sectPr>
          <w:pgSz w:w="11900" w:h="16838" w:orient="portrait"/>
          <w:cols w:equalWidth="0" w:num="1">
            <w:col w:w="10219"/>
          </w:cols>
          <w:pgMar w:left="240" w:top="142" w:right="1440" w:bottom="0" w:gutter="0" w:footer="0" w:header="0"/>
        </w:sectPr>
      </w:pPr>
    </w:p>
    <w:bookmarkStart w:id="28" w:name="page29"/>
    <w:bookmarkEnd w:id="28"/>
    <w:p>
      <w:pPr>
        <w:ind w:right="3359"/>
        <w:spacing w:after="0" w:line="270" w:lineRule="auto"/>
        <w:rPr>
          <w:sz w:val="20"/>
          <w:szCs w:val="20"/>
          <w:color w:val="auto"/>
        </w:rPr>
      </w:pPr>
      <w:r>
        <w:rPr>
          <w:rFonts w:ascii="Courier New" w:cs="Courier New" w:eastAsia="Courier New" w:hAnsi="Courier New"/>
          <w:sz w:val="16"/>
          <w:szCs w:val="16"/>
          <w:color w:val="auto"/>
        </w:rPr>
        <w:t>the Company will not make such payment in full as and when required, the Agent may assume that the Company has made such payment in full to the Agent on such date in immediately available funds and the Agent may (but shall not be so required), in reliance upon such assumption, distribute to each Bank on such due date an amount equal to the amount then due such Bank. If and to the extent the Company has not made such payment in full to the Agent, each Bank shall repay to the Agent on demand such amount distributed to such Bank, together with interest thereon at the Federal Funds Rate for each day from the date such amount is distributed to such Bank until the date repaid.</w:t>
      </w:r>
    </w:p>
    <w:p>
      <w:pPr>
        <w:spacing w:after="0" w:line="392"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2.13 Payments by the Banks to the Agent. Unless the Agent receives notice from a Bank on or prior to the Closing Date or, with respect to any Borrowing after the Closing Date, at least one Business Day prior to the date of such Borrowing, that such Bank will not make available as and when required hereunder to the Agent for the account of the Company the amount of that Bank's Pro Rata Share of the Borrowing, the Agent may assume that each Bank has made such amount available to the Agent in immediately available funds on the Borrowing Date and the Agent may (but shall not be so required), in reliance upon such assumption, make available to the Company on such date a corresponding amount. If and to the extent any Bank shall not have made its full amount available to the Agent in immediately available funds and the Agent in such circumstances has made available to the Company such amount, that Bank shall on the Business Day following such Borrowing Date make such amount available to the Agent, together with interest at the Federal Funds Rate for each day during such period. A notice of the Agent submitted to any Bank with respect to amounts owing under this Section shall be conclusive, absent manifest error. If such amount is so made available, such payment to the Agent shall constitute such Bank's Loan on the date of Borrowing for all purposes of this Agreement. If such amount is not made available to the Agent on the Business Day following the Borrowing Date, the Agent will notify the Company of such failure to fund and, upon demand by the Agent, the Company shall pay such amount to the Agent for the Agent's account, together with interest thereon for each day elapsed since the date of such Borrowing, at a rate per annum equal to the interest rate applicable at the time to the Loans comprising such Borrowing. The failure of any Bank to make any Loan on any Borrowing Date shall not relieve any other Bank of any obligation hereunder to make a Loan on such Borrowing Date, but no Bank shall be responsible for the failure of any other Bank to make the Loan to be made by such other Bank on any Borrowing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2.14 Sharing of Payments, Etc. If, other than as expressly provided elsewhere herein, any Bank shall obtain on account of the Loans made by it any payment (whether voluntary, involuntary, through the exercise of any right of set-off, or otherwise) in excess of its ratable share (or other share contemplated hereunder), such Bank shall immediately (a) notify the Agent of such fact, and (b) purchase from the other Banks such participations in the Loans made by them as shall be necessary to cause such purchasing Bank to share the excess payment pro rata with each of them; provided, however, that if all or any portion of such excess payment is thereafter recovered from the purchasing Bank, such purchase shall to that extent be rescinded and each other Bank shall repay to the purchasing Bank the purchase price paid therefor, together with an amount equal to such paying Bank's ratable share (according to the proportion of</w:t>
      </w:r>
    </w:p>
    <w:p>
      <w:pPr>
        <w:spacing w:after="0" w:line="184" w:lineRule="exact"/>
        <w:rPr>
          <w:sz w:val="20"/>
          <w:szCs w:val="20"/>
          <w:color w:val="auto"/>
        </w:rPr>
      </w:pPr>
    </w:p>
    <w:p>
      <w:pPr>
        <w:ind w:right="3359" w:firstLine="8"/>
        <w:spacing w:after="0" w:line="238"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such paying Bank's required repayment to (ii) the total amount so recovered from the purchasing Bank) of any interest or other amount paid or payable by the purchasing Bank in respect of the total amount so recovered. The Company agrees that any Bank so purchasing a participation from another Bank may, to the fullest extent permitted by law, exercise all its rights of payment (including the right of set-off) with respect to such participation as fully as if such Bank were the direct creditor of the Company in the amount of such participation. The Agent will keep records (which shall be conclusive and binding in the absence of manifest error) of participations purchased under this Section and will in each case notify the Banks following any such purchases or repayments.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ARTICLE III - TAXES, YIELD PROTECTION AND ILLEGALITY</w:t>
      </w:r>
    </w:p>
    <w:p>
      <w:pPr>
        <w:spacing w:after="0" w:line="207"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3.01 Taxes. If any payments to the Agent or any Bank under this Agreement are made from outside the United States, the</w:t>
      </w:r>
    </w:p>
    <w:p>
      <w:pPr>
        <w:sectPr>
          <w:pgSz w:w="11900" w:h="16838" w:orient="portrait"/>
          <w:cols w:equalWidth="0" w:num="1">
            <w:col w:w="10219"/>
          </w:cols>
          <w:pgMar w:left="240" w:top="142" w:right="1440" w:bottom="0" w:gutter="0" w:footer="0" w:header="0"/>
        </w:sectPr>
      </w:pPr>
    </w:p>
    <w:bookmarkStart w:id="29" w:name="page30"/>
    <w:bookmarkEnd w:id="29"/>
    <w:p>
      <w:pPr>
        <w:ind w:right="3479"/>
        <w:spacing w:after="0" w:line="237" w:lineRule="auto"/>
        <w:rPr>
          <w:sz w:val="20"/>
          <w:szCs w:val="20"/>
          <w:color w:val="auto"/>
        </w:rPr>
      </w:pPr>
      <w:r>
        <w:rPr>
          <w:rFonts w:ascii="Courier New" w:cs="Courier New" w:eastAsia="Courier New" w:hAnsi="Courier New"/>
          <w:sz w:val="18"/>
          <w:szCs w:val="18"/>
          <w:color w:val="auto"/>
        </w:rPr>
        <w:t>Company will not deduct any foreign taxes from any such payments it makes to the Agent or Bank. If any such taxes are imposed on any such payments made by the Company (including payments under this Section), the Company will pay the taxes and will also pay to the Agent or such Bank, at the time interest is paid, any additional amount which the Agent or such Bank specifies as necessary to preserve the after-tax yield the Agent or such Bank would have received if such taxes had not been imposed. The Company will confirm that it has paid the taxes by giving the Agent official tax receipts (or notarized copies) within 30 days after the due date.</w:t>
      </w:r>
    </w:p>
    <w:p>
      <w:pPr>
        <w:spacing w:after="0" w:line="216"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3.02 Illegality. If any Bank determines that the introduction of any requirement of law, or any change in any requirement of law, or in the interpretation or administration of any requirement of law, has made it unlawful, or that any central bank or other governmental authority has asserted that it is unlawful, for such Bank or any applicable lending office of such Bank to make Offshore Rate Loans, then, on notice thereof by such Bank to the Company (with a copy to the Agent), any obligation of that Bank to make Offshore Rate Loans shall be suspended until the Bank notifies the Company that the circumstances giving rise to such determination no longer exist, and (a) if the Bank may lawfully continue to maintain such Offshore Rate Loans to the last day of the Interest Period with respect thereto, the Company shall repay in full such Offshore Rate Loans, together with interest accrued thereon, on the last day of the Interest Period thereof, or (b) if the Bank may not lawfully continue to maintain such Offshore Rate Loans to the last day of the Interest Period with respect thereto, such Offshore Rate Loans shall automatically be converted into Base Rate Loans and the Company shall pay, within five Business Days of such conversion, all interest accrued on such Offshore Rate Loans prior to such conversion and all amounts required under Section 3.04 in connection with such conversion.</w:t>
      </w:r>
    </w:p>
    <w:p>
      <w:pPr>
        <w:spacing w:after="0" w:line="211"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3.03 Increased Costs and Reduction of Return. The Company shall pay to each Bank, on demand, any increased costs or losses incurred by such Bank, in connection with its Commitment or any Loan hereunder, arising from any change in law or regulation, or any request or requirement of a regulatory agency, including with respect to any reserve or deposit requirements applicable to the Bank, or any capital requirements relating to such Bank's assets and commitments for credit.</w:t>
      </w:r>
    </w:p>
    <w:p>
      <w:pPr>
        <w:spacing w:after="0" w:line="385"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3.04 Funding Losses. The Company shall reimburse each Bank and hold each Bank harmless from any loss or expense which such Bank may sustain or incur as a consequence of (a) the failure of the Company to make on a timely basis any payment of principal of any Offshore Rate Loan, (b) the failure of the Company to borrow, continue or convert an Offshore Rate Loan after the Company has given (or is deemed to have given) a Notice of Borrowing or a Notice of Conversion/Continuation, (c) the failure of the Company to make any prepayment in accordance with any notice delivered under Section 2.06, (d) the prepayment (mandatory or optional) or other payment (including after acceleration thereof) of an Offshore Rate Loan on a day that is not the last day of the relevant Interest Period, (e) the automatic conversion under Section 2.04 or Section 3.02 of any Offshore Rate Loan to a Base Rate Loan on a day that is not the last day of the relevant Interest Period; including any such loss or expense arising from the liquidation or reemployment of funds obtained by it to maintain its Offshore Rate Loans or from fees payable to terminate the deposits from which such funds were obtained.</w:t>
      </w:r>
    </w:p>
    <w:p>
      <w:pPr>
        <w:spacing w:after="0" w:line="395" w:lineRule="exact"/>
        <w:rPr>
          <w:sz w:val="20"/>
          <w:szCs w:val="20"/>
          <w:color w:val="auto"/>
        </w:rPr>
      </w:pPr>
    </w:p>
    <w:p>
      <w:pPr>
        <w:ind w:right="3479" w:firstLine="527"/>
        <w:spacing w:after="0" w:line="272" w:lineRule="auto"/>
        <w:rPr>
          <w:sz w:val="20"/>
          <w:szCs w:val="20"/>
          <w:color w:val="auto"/>
        </w:rPr>
      </w:pPr>
      <w:r>
        <w:rPr>
          <w:rFonts w:ascii="Courier New" w:cs="Courier New" w:eastAsia="Courier New" w:hAnsi="Courier New"/>
          <w:sz w:val="16"/>
          <w:szCs w:val="16"/>
          <w:color w:val="auto"/>
        </w:rPr>
        <w:t>3.05 Inability to Determine Rates. Neither the Agent nor any Bank is obligated to accept an election for an Offshore Rate Loan if (a) dollar deposits in the principal amount, and for the period equal to the applicable Interest Period for such Loan are not available in the applicable funding market, or (b) the Offshore Rate does not accurately reflect the cost of such Loan.</w:t>
      </w:r>
    </w:p>
    <w:p>
      <w:pPr>
        <w:spacing w:after="0" w:line="186" w:lineRule="exact"/>
        <w:rPr>
          <w:sz w:val="20"/>
          <w:szCs w:val="20"/>
          <w:color w:val="auto"/>
        </w:rPr>
      </w:pPr>
    </w:p>
    <w:p>
      <w:pPr>
        <w:jc w:val="both"/>
        <w:ind w:right="3899" w:firstLine="527"/>
        <w:spacing w:after="0" w:line="236" w:lineRule="auto"/>
        <w:rPr>
          <w:sz w:val="20"/>
          <w:szCs w:val="20"/>
          <w:color w:val="auto"/>
        </w:rPr>
      </w:pPr>
      <w:r>
        <w:rPr>
          <w:rFonts w:ascii="Courier New" w:cs="Courier New" w:eastAsia="Courier New" w:hAnsi="Courier New"/>
          <w:sz w:val="18"/>
          <w:szCs w:val="18"/>
          <w:color w:val="auto"/>
        </w:rPr>
        <w:t>3.06 Survival. The agreements and obligations of the Company in this Article III shall survive the payment of all other Obligations.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ARTICLE IV - CONDITIONS PRECEDENT</w:t>
      </w:r>
    </w:p>
    <w:p>
      <w:pPr>
        <w:spacing w:after="0" w:line="207" w:lineRule="exact"/>
        <w:rPr>
          <w:sz w:val="20"/>
          <w:szCs w:val="20"/>
          <w:color w:val="auto"/>
        </w:rPr>
      </w:pPr>
    </w:p>
    <w:p>
      <w:pPr>
        <w:ind w:right="3679" w:firstLine="527"/>
        <w:spacing w:after="0" w:line="279" w:lineRule="auto"/>
        <w:rPr>
          <w:sz w:val="20"/>
          <w:szCs w:val="20"/>
          <w:color w:val="auto"/>
        </w:rPr>
      </w:pPr>
      <w:r>
        <w:rPr>
          <w:rFonts w:ascii="Courier New" w:cs="Courier New" w:eastAsia="Courier New" w:hAnsi="Courier New"/>
          <w:sz w:val="16"/>
          <w:szCs w:val="16"/>
          <w:color w:val="auto"/>
        </w:rPr>
        <w:t>4.01 Conditions of Initial Loans. The obligation of each Bank to make its initial Loan hereunder is subject to the condition that the Agent shall have received on or before the</w:t>
      </w:r>
    </w:p>
    <w:p>
      <w:pPr>
        <w:sectPr>
          <w:pgSz w:w="11900" w:h="16838" w:orient="portrait"/>
          <w:cols w:equalWidth="0" w:num="1">
            <w:col w:w="10219"/>
          </w:cols>
          <w:pgMar w:left="240" w:top="142" w:right="1440" w:bottom="0" w:gutter="0" w:footer="0" w:header="0"/>
        </w:sectPr>
      </w:pPr>
    </w:p>
    <w:bookmarkStart w:id="30" w:name="page31"/>
    <w:bookmarkEnd w:id="30"/>
    <w:p>
      <w:pPr>
        <w:ind w:right="3359"/>
        <w:spacing w:after="0" w:line="236" w:lineRule="auto"/>
        <w:rPr>
          <w:sz w:val="20"/>
          <w:szCs w:val="20"/>
          <w:color w:val="auto"/>
        </w:rPr>
      </w:pPr>
      <w:r>
        <w:rPr>
          <w:rFonts w:ascii="Courier New" w:cs="Courier New" w:eastAsia="Courier New" w:hAnsi="Courier New"/>
          <w:sz w:val="18"/>
          <w:szCs w:val="18"/>
          <w:color w:val="auto"/>
        </w:rPr>
        <w:t>Closing Date all of the following, in form and substance satisfactory to the Agent and each Bank, and in sufficient copies for each Bank:</w:t>
      </w:r>
    </w:p>
    <w:p>
      <w:pPr>
        <w:spacing w:after="0" w:line="203" w:lineRule="exact"/>
        <w:rPr>
          <w:sz w:val="20"/>
          <w:szCs w:val="20"/>
          <w:color w:val="auto"/>
        </w:rPr>
      </w:pPr>
    </w:p>
    <w:p>
      <w:pPr>
        <w:ind w:left="1580" w:hanging="519"/>
        <w:spacing w:after="0"/>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Notes, executed by each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party thereto;</w:t>
      </w:r>
    </w:p>
    <w:p>
      <w:pPr>
        <w:spacing w:after="0" w:line="207"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Satisfactory evidence of due authorization of the execution, delivery and performance by the Company of this Agreement, including certified board resolutions, officer incumbency certificate, articles of incorporation and bylaws;</w:t>
      </w:r>
    </w:p>
    <w:p>
      <w:pPr>
        <w:spacing w:after="0" w:line="207" w:lineRule="exact"/>
        <w:rPr>
          <w:rFonts w:ascii="Courier New" w:cs="Courier New" w:eastAsia="Courier New" w:hAnsi="Courier New"/>
          <w:sz w:val="18"/>
          <w:szCs w:val="18"/>
          <w:color w:val="auto"/>
        </w:rPr>
      </w:pPr>
    </w:p>
    <w:p>
      <w:pPr>
        <w:ind w:right="3359" w:firstLine="1061"/>
        <w:spacing w:after="0" w:line="236"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counsel for the Company with respect to such legal matters relating hereto as the Agent and Banks may reasonably request;</w:t>
      </w:r>
    </w:p>
    <w:p>
      <w:pPr>
        <w:spacing w:after="0" w:line="208" w:lineRule="exact"/>
        <w:rPr>
          <w:rFonts w:ascii="Courier New" w:cs="Courier New" w:eastAsia="Courier New" w:hAnsi="Courier New"/>
          <w:sz w:val="18"/>
          <w:szCs w:val="18"/>
          <w:color w:val="auto"/>
        </w:rPr>
      </w:pPr>
    </w:p>
    <w:p>
      <w:pPr>
        <w:ind w:right="3999" w:firstLine="1061"/>
        <w:spacing w:after="0" w:line="275" w:lineRule="auto"/>
        <w:tabs>
          <w:tab w:leader="none" w:pos="15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recent date showing that the Company is in good standing under the laws of the state of Delaware and is qualified to conduct business as a foreign corporation under the laws of the state of Idaho;</w:t>
      </w:r>
    </w:p>
    <w:p>
      <w:pPr>
        <w:spacing w:after="0" w:line="182" w:lineRule="exact"/>
        <w:rPr>
          <w:rFonts w:ascii="Courier New" w:cs="Courier New" w:eastAsia="Courier New" w:hAnsi="Courier New"/>
          <w:sz w:val="16"/>
          <w:szCs w:val="16"/>
          <w:color w:val="auto"/>
        </w:rPr>
      </w:pPr>
    </w:p>
    <w:p>
      <w:pPr>
        <w:ind w:right="3579" w:firstLine="1061"/>
        <w:spacing w:after="0" w:line="290" w:lineRule="auto"/>
        <w:tabs>
          <w:tab w:leader="none" w:pos="15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an appropriate officer of the Company as to the matters set forth in Section 4.02(b) and (c);</w:t>
      </w:r>
    </w:p>
    <w:p>
      <w:pPr>
        <w:spacing w:after="0" w:line="169" w:lineRule="exact"/>
        <w:rPr>
          <w:rFonts w:ascii="Courier New" w:cs="Courier New" w:eastAsia="Courier New" w:hAnsi="Courier New"/>
          <w:sz w:val="16"/>
          <w:szCs w:val="16"/>
          <w:color w:val="auto"/>
        </w:rPr>
      </w:pPr>
    </w:p>
    <w:p>
      <w:pPr>
        <w:ind w:right="3899" w:firstLine="1061"/>
        <w:spacing w:after="0" w:line="235"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any fee or expense due and payable hereunder or under the Fee Letter; and</w:t>
      </w:r>
    </w:p>
    <w:p>
      <w:pPr>
        <w:spacing w:after="0" w:line="208" w:lineRule="exact"/>
        <w:rPr>
          <w:sz w:val="20"/>
          <w:szCs w:val="20"/>
          <w:color w:val="auto"/>
        </w:rPr>
      </w:pPr>
    </w:p>
    <w:p>
      <w:pPr>
        <w:ind w:right="3779" w:firstLine="1061"/>
        <w:spacing w:after="0" w:line="290" w:lineRule="auto"/>
        <w:tabs>
          <w:tab w:leader="none" w:pos="168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approvals, opinions, documents or instruments as the Agent or the Banks may reasonably request.</w:t>
      </w:r>
    </w:p>
    <w:p>
      <w:pPr>
        <w:spacing w:after="0" w:line="17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4.02 Conditions to All Borrowings. The obligation of each Bank to make any Loan hereunder (including its initial Loan), or to continue or convert any Loan under Section 2.04, is subject to the satisfaction of the following conditions precedent on the relevant Borrowing Date or Conversion/ Continuation Date:</w:t>
      </w:r>
    </w:p>
    <w:p>
      <w:pPr>
        <w:spacing w:after="0" w:line="210" w:lineRule="exact"/>
        <w:rPr>
          <w:sz w:val="20"/>
          <w:szCs w:val="20"/>
          <w:color w:val="auto"/>
        </w:rPr>
      </w:pPr>
    </w:p>
    <w:p>
      <w:pPr>
        <w:ind w:right="3479" w:firstLine="1061"/>
        <w:spacing w:after="0" w:line="290" w:lineRule="auto"/>
        <w:tabs>
          <w:tab w:leader="none" w:pos="15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shall have received a Notice of Borrowing or a Notice of Conversion/Continuation, as applicable;</w:t>
      </w:r>
    </w:p>
    <w:p>
      <w:pPr>
        <w:spacing w:after="0" w:line="169" w:lineRule="exact"/>
        <w:rPr>
          <w:rFonts w:ascii="Courier New" w:cs="Courier New" w:eastAsia="Courier New" w:hAnsi="Courier New"/>
          <w:sz w:val="16"/>
          <w:szCs w:val="16"/>
          <w:color w:val="auto"/>
        </w:rPr>
      </w:pPr>
    </w:p>
    <w:p>
      <w:pPr>
        <w:ind w:right="3359" w:firstLine="1061"/>
        <w:spacing w:after="0" w:line="237" w:lineRule="auto"/>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in Article V shall be true and correct on and as of such Borrowing Date or Conversion/Continuation Date with the same effect as if made on and as of such Borrowing Date or Conversion/Continuation Date, as applicable; and</w:t>
      </w:r>
    </w:p>
    <w:p>
      <w:pPr>
        <w:spacing w:after="0" w:line="208" w:lineRule="exact"/>
        <w:rPr>
          <w:rFonts w:ascii="Courier New" w:cs="Courier New" w:eastAsia="Courier New" w:hAnsi="Courier New"/>
          <w:sz w:val="18"/>
          <w:szCs w:val="18"/>
          <w:color w:val="auto"/>
        </w:rPr>
      </w:pPr>
    </w:p>
    <w:p>
      <w:pPr>
        <w:ind w:right="3579" w:firstLine="1061"/>
        <w:spacing w:after="0" w:line="290" w:lineRule="auto"/>
        <w:tabs>
          <w:tab w:leader="none" w:pos="15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shall exist or shall result from such Borrowing or continuation or conversion.</w:t>
      </w:r>
    </w:p>
    <w:p>
      <w:pPr>
        <w:spacing w:after="0" w:line="170"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Each Notice of Borrowing and Notice of Conversion/Continuation submitted by the Company hereunder shall constitute a representation and warranty by the Company hereunder, as of the date of each such notice and as of each Borrowing Date or Conversion/Continuation Date, as applicable, that the conditions in this Section 4.02 are satisfied.</w:t>
      </w: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ARTICLE V - REPRESENTATIONS AND WARRANTIES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represents and warrants to the Agent and each</w:t>
      </w:r>
    </w:p>
    <w:p>
      <w:pPr>
        <w:spacing w:after="0" w:line="238" w:lineRule="auto"/>
        <w:rPr>
          <w:sz w:val="20"/>
          <w:szCs w:val="20"/>
          <w:color w:val="auto"/>
        </w:rPr>
      </w:pPr>
      <w:r>
        <w:rPr>
          <w:rFonts w:ascii="Courier New" w:cs="Courier New" w:eastAsia="Courier New" w:hAnsi="Courier New"/>
          <w:sz w:val="18"/>
          <w:szCs w:val="18"/>
          <w:color w:val="auto"/>
        </w:rPr>
        <w:t>Bank that:</w:t>
      </w:r>
    </w:p>
    <w:p>
      <w:pPr>
        <w:spacing w:after="0" w:line="207"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5.01 Corporate Existence and Power. The Company and each of its Subsidiaries: (a) is a corporation duly organized and existing under the laws of the state of its organization; (b) has the power and authority and all governmental licenses, authorizations, consents, and approvals to own its assets and to carry on its business; (c) in the case of the Company, has the power and authority and all governmental licenses, authorizations, consents, and approvals to execute, deliver and perform its obligations hereunder; and (d) is duly qualified and properly licensed and in good standing under the laws of each jurisdiction where its ownership, lease, or operation of property or the conduct of its business requires such license or qualification; except, in each case referred to in clause (b) or clause (d), to the extent that the failure to do so could not reasonably be expected to have a Material Adverse Effect.</w:t>
      </w:r>
    </w:p>
    <w:p>
      <w:pPr>
        <w:spacing w:after="0" w:line="387" w:lineRule="exact"/>
        <w:rPr>
          <w:sz w:val="20"/>
          <w:szCs w:val="20"/>
          <w:color w:val="auto"/>
        </w:rPr>
      </w:pPr>
    </w:p>
    <w:p>
      <w:pPr>
        <w:ind w:right="3359" w:firstLine="527"/>
        <w:spacing w:after="0" w:line="275" w:lineRule="auto"/>
        <w:rPr>
          <w:sz w:val="20"/>
          <w:szCs w:val="20"/>
          <w:color w:val="auto"/>
        </w:rPr>
      </w:pPr>
      <w:r>
        <w:rPr>
          <w:rFonts w:ascii="Courier New" w:cs="Courier New" w:eastAsia="Courier New" w:hAnsi="Courier New"/>
          <w:sz w:val="16"/>
          <w:szCs w:val="16"/>
          <w:color w:val="auto"/>
        </w:rPr>
        <w:t>5.02 Authorization. The execution, delivery, and performance by the Company of this Agreement have been duly authorized by all necessary corporate action, and do not and will not: (a) contravene the terms of any organizational or charter</w:t>
      </w:r>
    </w:p>
    <w:p>
      <w:pPr>
        <w:sectPr>
          <w:pgSz w:w="11900" w:h="16838" w:orient="portrait"/>
          <w:cols w:equalWidth="0" w:num="1">
            <w:col w:w="10219"/>
          </w:cols>
          <w:pgMar w:left="240" w:top="142" w:right="1440" w:bottom="0" w:gutter="0" w:footer="0" w:header="0"/>
        </w:sectPr>
      </w:pPr>
    </w:p>
    <w:bookmarkStart w:id="31" w:name="page32"/>
    <w:bookmarkEnd w:id="31"/>
    <w:p>
      <w:pPr>
        <w:ind w:right="3359"/>
        <w:spacing w:after="0" w:line="237" w:lineRule="auto"/>
        <w:rPr>
          <w:sz w:val="20"/>
          <w:szCs w:val="20"/>
          <w:color w:val="auto"/>
        </w:rPr>
      </w:pPr>
      <w:r>
        <w:rPr>
          <w:rFonts w:ascii="Courier New" w:cs="Courier New" w:eastAsia="Courier New" w:hAnsi="Courier New"/>
          <w:sz w:val="18"/>
          <w:szCs w:val="18"/>
          <w:color w:val="auto"/>
        </w:rPr>
        <w:t>documents; (b) conflict with or result in any breach or contravention of, or the creation of any lien, security interest, or charge under, any material agreement, contract, indenture, document or instrument to which the Company is a party or by which any property is bound, or any order, injunction, writ, or decree of any governmental authority to which the Company or any property is subject; or (c) violate any law, rule, regulation, or determination of an arbitrator or of a court or other governmental authority, in each case applicable to or binding upon the Company or any property.</w:t>
      </w:r>
    </w:p>
    <w:p>
      <w:pPr>
        <w:spacing w:after="0" w:line="21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5.03 Enforceability. This Agreement constitutes the legal, valid and binding obligation of the Company, enforceable against the Company in accordance with its terms, except as enforceability may be limited by applicable bankruptcy, insolvency or similar laws affecting the enforcement of creditors' rights generally or by equitable principles relating to enforceability.</w:t>
      </w:r>
    </w:p>
    <w:p>
      <w:pPr>
        <w:spacing w:after="0" w:line="211"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5.04 Compliance with Laws. The Company and each of its Subsidiaries is in compliance in all material respects with all foreign, federal, state and local laws, rules, regulations and determinations of arbitrators, courts and other governmental authorities materially affecting the business, operations or property of the Company and its Subsidiaries, including environmental laws.</w:t>
      </w:r>
    </w:p>
    <w:p>
      <w:pPr>
        <w:spacing w:after="0" w:line="211"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5.05 Permits, Franchises. Except as set forth in the Company's and its Subsidiaries' filings with the Securities and Exchange Commission under the Securities Exchange Act of 1934, the Company or its Subsidiaries possess all governmental or regulatory permits and licenses required, and all trademark rights, trade name rights, patent rights and fictitious name rights reasonably necessary, to enable the Company and its Subsidiaries to conduct the businesses in which they are now engaged in all material respects.</w:t>
      </w:r>
    </w:p>
    <w:p>
      <w:pPr>
        <w:spacing w:after="0" w:line="214"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5.06 Litigation. There is no litigation, tax claim, proceeding, governmental or administrative action, arbitration proceeding or dispute pending, or, to the best knowledge of the Company, threatened, against or affecting the Company or any of its Subsidiaries or any of their properties, the adverse determination of which could reasonably be expected to have a Material Adverse Effect.</w:t>
      </w:r>
    </w:p>
    <w:p>
      <w:pPr>
        <w:spacing w:after="0" w:line="21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5.07 No Event of Default; Other Obligations. There exists no Default or Event of Default. As of the Closing Date, the Company is not in default in any material respect under any other material agreement involving the borrowing of money, the extension of credit, or the lease of real or personal property, to which the Company is a party as borrower, guarantor, installment purchaser, or lessee.</w:t>
      </w:r>
    </w:p>
    <w:p>
      <w:pPr>
        <w:spacing w:after="0" w:line="211"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5.08 Information; Tax Returns; Material Adverse Effect. All financial and other information that has been submitted by the Company to the Agent and the Banks, including the Company's financial statement delivered most recently prior to the Closing Date: (a) in the case of financial statements, is prepared in accordance with generally accepted accounting principles consistently applied; and (b) is true and correct in all material respects. As of the date of the financial statements most recently delivered to the Banks pursuant to Section 6.01, the Company has no knowledge of any material pending assessments or adjustments not disclosed in such financial statements with respect to its income tax liabilities for any year. Since November 30, 1995, there has been no Material Adverse Effect, other than the material adverse changes, if any, as may have been disclosed in the written projections dated January 15, 1996 delivered to the Agent and the Banks prior to the date hereof.</w:t>
      </w:r>
    </w:p>
    <w:p>
      <w:pPr>
        <w:spacing w:after="0" w:line="39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ARTICLE VI - AFFIRMATIVE COVENANTS</w:t>
      </w:r>
    </w:p>
    <w:p>
      <w:pPr>
        <w:spacing w:after="0" w:line="207" w:lineRule="exact"/>
        <w:rPr>
          <w:sz w:val="20"/>
          <w:szCs w:val="20"/>
          <w:color w:val="auto"/>
        </w:rPr>
      </w:pPr>
    </w:p>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So long as any Bank shall have any Commitment hereunder, or any Loan or other Obligation shall remain unpaid or unsatisfied, unless all the Banks waive compliance in writing:</w:t>
      </w:r>
    </w:p>
    <w:p>
      <w:pPr>
        <w:spacing w:after="0" w:line="209" w:lineRule="exact"/>
        <w:rPr>
          <w:sz w:val="20"/>
          <w:szCs w:val="20"/>
          <w:color w:val="auto"/>
        </w:rPr>
      </w:pPr>
    </w:p>
    <w:p>
      <w:pPr>
        <w:ind w:right="3679" w:firstLine="527"/>
        <w:spacing w:after="0" w:line="236" w:lineRule="auto"/>
        <w:rPr>
          <w:sz w:val="20"/>
          <w:szCs w:val="20"/>
          <w:color w:val="auto"/>
        </w:rPr>
      </w:pPr>
      <w:r>
        <w:rPr>
          <w:rFonts w:ascii="Courier New" w:cs="Courier New" w:eastAsia="Courier New" w:hAnsi="Courier New"/>
          <w:sz w:val="18"/>
          <w:szCs w:val="18"/>
          <w:color w:val="auto"/>
        </w:rPr>
        <w:t>6.01 Financial and Other Information. The Company shall deliver to the Agent, in form and detail satisfactory to the Agent and the Banks, with sufficient copies for each Bank:</w:t>
      </w:r>
    </w:p>
    <w:p>
      <w:pPr>
        <w:spacing w:after="0" w:line="203"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(a)</w:t>
        <w:tab/>
        <w:t>Within 45 days after February 29, 1996, the</w:t>
      </w:r>
    </w:p>
    <w:p>
      <w:pPr>
        <w:sectPr>
          <w:pgSz w:w="11900" w:h="16838" w:orient="portrait"/>
          <w:cols w:equalWidth="0" w:num="1">
            <w:col w:w="10219"/>
          </w:cols>
          <w:pgMar w:left="240" w:top="142" w:right="1440" w:bottom="0" w:gutter="0" w:footer="0" w:header="0"/>
        </w:sectPr>
      </w:pPr>
    </w:p>
    <w:bookmarkStart w:id="32" w:name="page33"/>
    <w:bookmarkEnd w:id="32"/>
    <w:p>
      <w:pPr>
        <w:ind w:right="3359"/>
        <w:spacing w:after="0" w:line="272" w:lineRule="auto"/>
        <w:rPr>
          <w:sz w:val="20"/>
          <w:szCs w:val="20"/>
          <w:color w:val="auto"/>
        </w:rPr>
      </w:pPr>
      <w:r>
        <w:rPr>
          <w:rFonts w:ascii="Courier New" w:cs="Courier New" w:eastAsia="Courier New" w:hAnsi="Courier New"/>
          <w:sz w:val="16"/>
          <w:szCs w:val="16"/>
          <w:color w:val="auto"/>
        </w:rPr>
        <w:t>Company's consolidated financial statements for the fiscal quarter ending on such date (including, at a minimum, the Company's balance sheet and statements of income, retained earnings, and cash flow), together with a compliance certificate, in form and substance satisfactory to the Agent and the Banks, executed by a responsible officer of the Company;</w:t>
      </w:r>
    </w:p>
    <w:p>
      <w:pPr>
        <w:spacing w:after="0" w:line="186" w:lineRule="exact"/>
        <w:rPr>
          <w:sz w:val="20"/>
          <w:szCs w:val="20"/>
          <w:color w:val="auto"/>
        </w:rPr>
      </w:pPr>
    </w:p>
    <w:p>
      <w:pPr>
        <w:ind w:right="3359" w:firstLine="1061"/>
        <w:spacing w:after="0" w:line="237"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10 days after the date of filing thereof, copies of all financial statements and regular, periodical or special reports (including Form 8K) that the Company may make to, or file with, the Securities and Exchange Commission; and</w:t>
      </w:r>
    </w:p>
    <w:p>
      <w:pPr>
        <w:spacing w:after="0" w:line="207" w:lineRule="exact"/>
        <w:rPr>
          <w:rFonts w:ascii="Courier New" w:cs="Courier New" w:eastAsia="Courier New" w:hAnsi="Courier New"/>
          <w:sz w:val="18"/>
          <w:szCs w:val="18"/>
          <w:color w:val="auto"/>
        </w:rPr>
      </w:pPr>
    </w:p>
    <w:p>
      <w:pPr>
        <w:jc w:val="both"/>
        <w:ind w:right="3679" w:firstLine="1061"/>
        <w:spacing w:after="0" w:line="279" w:lineRule="auto"/>
        <w:tabs>
          <w:tab w:leader="none" w:pos="15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upon request, such other materials and information relating to the Company or its Subsidiaries as the Agent, at the request of any Bank, may reasonably request.</w:t>
      </w:r>
    </w:p>
    <w:p>
      <w:pPr>
        <w:spacing w:after="0" w:line="17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6.02 Notices of Certain Events. The Company shall promptly give written notice to the Agent and each Bank of: (a) all litigation, proceedings or actions affecting the Company or its Subsidiaries where the amount claimed is $20,000,000 or more; (b) any substantial dispute which may exist between the Company or its Subsidiaries and any governmental regulatory body or law enforcement authority; (c) any Default or Event of Default; (d) any of the representations and warranties in Article V that ceases to be true and correct; and (e) any other matter which has resulted or could reasonably be expected to result in a Material Adverse Effect.</w:t>
      </w:r>
    </w:p>
    <w:p>
      <w:pPr>
        <w:spacing w:after="0" w:line="216"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6.03 Financial Books, Records, Audits and Inspections. The Company shall, and shall cause its Subsidiaries to (a) maintain adequate financial books, accounts and records, and prepare all financial statements required hereunder in accordance with generally accepted accounting principles consistently applied, and in compliance in all material respects with the regulations of any governmental regulatory body having jurisdiction over the Company or its Subsidiaries, or the Company's or its Subsidiaries' businesses, and (b) permit employees or agents of the Agent or any Bank at any reasonable time with advance written notice to inspect the Company's and its Subsidiaries' properties, and to examine or audit the Company's and its Subsidiaries' financial books, accounts, and records and make copies and memoranda thereof.</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6.04 Compliance with Laws. The Company shall at all times comply with, and cause its Subsidiaries to comply in all material respects with, all laws, statutes, rules, regulations, orders, and directions of any governmental authority having jurisdiction over the Company or any of its Subsidiaries or the business of the Company or any of its Subsidiaries, including environmental laws.</w:t>
      </w:r>
    </w:p>
    <w:p>
      <w:pPr>
        <w:spacing w:after="0" w:line="211"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6.05 Payment of Obligations. The Company shall, and shall cause its Subsidiaries to, pay and discharge as the same shall either become due and payable or within any applicable grace period, all their respective material obligations and liabilities, including (in the case of the Company) the Obligations.</w:t>
      </w:r>
    </w:p>
    <w:p>
      <w:pPr>
        <w:spacing w:after="0" w:line="2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6.06 Existence and Properties. The Company and each of its Subsidiaries shall maintain and preserve its corporate existence and all rights, privileges, and franchises now enjoyed, conduct its business in an orderly, efficient, and customary manner, keep all the its properties in good working order and condition and fully insured, including self-insurance and self-retention limits, and from time to time make all reasonably needed repairs, renewals, or replacements thereto and thereof so that the efficiency of such property shall be fully maintained and preserved.</w:t>
      </w:r>
    </w:p>
    <w:p>
      <w:pPr>
        <w:spacing w:after="0" w:line="215"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6.07 Use of Facility. The Company shall use the credit facility provided herein solely for working capital and other general corporate purposes not in contravention of any requirement of law.</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6.08 Ranking. The Company shall take, or cause to be taken, all actions necessary to ensure that the Obligations are and continue to rank at least pari passu in right of payment with all other unsecured indebtedness of the Company.</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VII - NEGATIVE COVENANTS</w:t>
      </w:r>
    </w:p>
    <w:p>
      <w:pPr>
        <w:sectPr>
          <w:pgSz w:w="11900" w:h="16838" w:orient="portrait"/>
          <w:cols w:equalWidth="0" w:num="1">
            <w:col w:w="10219"/>
          </w:cols>
          <w:pgMar w:left="240" w:top="142" w:right="1440" w:bottom="0" w:gutter="0" w:footer="0" w:header="0"/>
        </w:sectPr>
      </w:pPr>
    </w:p>
    <w:bookmarkStart w:id="33" w:name="page34"/>
    <w:bookmarkEnd w:id="33"/>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So long as any Bank shall have any Commitment hereunder, or any Loan or other Obligation shall remain unpaid or unsatisfied, unless all the Banks waive compliance in writing:</w:t>
      </w:r>
    </w:p>
    <w:p>
      <w:pPr>
        <w:spacing w:after="0" w:line="209"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7.01 Liens. (a) The Company shall not, and shall not suffer or permit any of its Subsidiaries to, create, assume or suffer to exist any security interest, deed of trust, mortgage, lien (including the lien of an attachment, judgment or execution) or encumbrance, securing a charge or obligation, on or of any of its or their property, real or personal, whether now owned or hereafter acquired, except: (a) security interests and deeds of trust in favor of the Agent for the benefit of the Banks; (b) liens, security interests, deeds of trust, mortgages and other encumbrances in existence as of the date of this Agreement (including any such lien securing indebtedness that is renewed, extended or refunded, provided that the principal amount of such indebtedness outstanding at the time of such renewal, extension or refunding is not increased and such lien is not extended to any other property) and, in the case of any material lien, security interest, deed of trust, mortgage and other encumbrance, which are disclosed to the Agent and the Banks in writing on or prior to the Closing Date; (c) liens for current taxes, assessments or other governmental charges which are not delinquent or remain payable without any penalty; (d) liens in connection with workers' compensation, unemployment insurance or other social security obligations; (e) mechanics', worker's, materialmen's, landlords', carriers' or other like liens arising in the ordinary and normal course of business with respect to obligations which are not due; (f) purchase money and other security interests in personal or real property where the security interests do not extend beyond the property, any replacements and accessions thereto, and the proceeds thereof and the amount of indebtedness does not materially exceed the value of the property and, in the aggregate, the amount of all indebtedness so secured does not exceed, at any time, 15% of the Company's consolidated tangible fixed assets; (g) liens on assets of corporations which become Subsidiaries after the date of this Agreement, provided, however, that such liens existed at the time the respective corporations became Subsidiaries and were not created in anticipation thereof; (h) liens on assets of the Company's Subsidiaries in favor of the Company in connection with extensions of credit made available by the Company to its Subsidiaries as permitted by Section 7.03; (i) liens on assets of the Company granted after the date hereof pursuant existing documentation in favor of United States National Bank of Oregon in connection with letters of credit issued for the Company's account in a maximum aggregate principal amount of $15,000,000; and (j) liens on assets, other than current assets (except for customary rights of set-off and bankers' liens with respect to amounts on deposit), of the Company or its Subsidiaries incurred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359" w:firstLine="1061"/>
        <w:spacing w:after="0" w:line="269" w:lineRule="auto"/>
        <w:tabs>
          <w:tab w:leader="none" w:pos="15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and will not permit any of its Subsidiaries to, enter into any contractual obligation which prohibits the creation or assumption of any lien, security interest or encumbrance upon or with respect to any part of its properties or assets (including intangible assets, such as patents and trademarks), whether now owned or hereafter acquired, other than: (i) this Agreement and any other Loan Document; (ii) in connection with extensions of credit by the Company to its Subsidiaries (including Micron Electronics, Inc.) in an aggregate principal amount not to exceed $100,000,000; (iii) in connection with extensions of credit (whether or not guaranteed by the Company) made available by persons other than the Company to the Company's Subsidiaries (including Micron Electronics, Inc.) in an aggregate principal amount not to exceed $100,000,000; and (iv) in connection with equipment financing otherwise permitted by this Agreement, pursuant to which the Company or Subsidiary, as applicable, agrees not to create or assume any lien, security interest or encumbrance (other than in favor of the person providing such financing) upon or with respect to the equipment being financed.</w:t>
      </w:r>
    </w:p>
    <w:p>
      <w:pPr>
        <w:spacing w:after="0" w:line="200" w:lineRule="exact"/>
        <w:rPr>
          <w:sz w:val="20"/>
          <w:szCs w:val="20"/>
          <w:color w:val="auto"/>
        </w:rPr>
      </w:pPr>
    </w:p>
    <w:p>
      <w:pPr>
        <w:spacing w:after="0" w:line="39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7.02 Sale of Assets; Mergers. Neither the Company nor any of its Subsidiaries shall: (a) sell, lease or otherwise dispose of all or substantially all of the business or assets of the Company and its Subsidiaries taken as a whole; or (b) sell, transfer, lease or dispose of its material assets (greater than $1,000,000 individually) outside the ordinary course of business, provided that the Company and its Subsidiaries may sell, transfer, lease or dispose of assets (other than accounts</w:t>
      </w:r>
    </w:p>
    <w:p>
      <w:pPr>
        <w:sectPr>
          <w:pgSz w:w="11900" w:h="16838" w:orient="portrait"/>
          <w:cols w:equalWidth="0" w:num="1">
            <w:col w:w="10219"/>
          </w:cols>
          <w:pgMar w:left="240" w:top="142" w:right="1440" w:bottom="0" w:gutter="0" w:footer="0" w:header="0"/>
        </w:sectPr>
      </w:pPr>
    </w:p>
    <w:bookmarkStart w:id="34" w:name="page35"/>
    <w:bookmarkEnd w:id="34"/>
    <w:p>
      <w:pPr>
        <w:ind w:right="3359"/>
        <w:spacing w:after="0" w:line="268" w:lineRule="auto"/>
        <w:rPr>
          <w:sz w:val="20"/>
          <w:szCs w:val="20"/>
          <w:color w:val="auto"/>
        </w:rPr>
      </w:pPr>
      <w:r>
        <w:rPr>
          <w:rFonts w:ascii="Courier New" w:cs="Courier New" w:eastAsia="Courier New" w:hAnsi="Courier New"/>
          <w:sz w:val="16"/>
          <w:szCs w:val="16"/>
          <w:color w:val="auto"/>
        </w:rPr>
        <w:t>receivable) with value, in the cumulative aggregate for the Company and its Subsidiaries, of up to 10% of the Company's consolidated tangible assets as of the most recently ended fiscal quarter. The Company shall not liquidate or dissolve or enter into any consolidation, reorganization or merger; except that:</w:t>
      </w:r>
    </w:p>
    <w:p>
      <w:pPr>
        <w:spacing w:after="0" w:line="1" w:lineRule="exact"/>
        <w:rPr>
          <w:sz w:val="20"/>
          <w:szCs w:val="20"/>
          <w:color w:val="auto"/>
        </w:rPr>
      </w:pPr>
    </w:p>
    <w:p>
      <w:pPr>
        <w:ind w:right="3359" w:firstLine="8"/>
        <w:spacing w:after="0" w:line="237"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may merge with the Company, provided that the Company shall be the continuing or surviving corporation; and (b) the Company or any Subsidiary may enter into a consolidation, reorganization or merger to the extent required in connection with an acquisition permitted pursuant to Section 7.03, provided that the Company or such Subsidiary shall be the continuing or surviving corporation.</w:t>
      </w:r>
    </w:p>
    <w:p>
      <w:pPr>
        <w:spacing w:after="0" w:line="211"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7.03 Loans and Investments. Neither the Company nor any of its Subsidiaries shall make any loans, advances or other extensions of credit to, or agree to be liable for the obligations of, or invest in any other person, firm, corporation or other entity, other than: (a) investments in cash equivalents and liquid investments; (b) extensions of credit in the nature of accounts receivable or notes receivable arising from the sale or lease of goods or services in the ordinary course of business;</w:t>
      </w:r>
    </w:p>
    <w:p>
      <w:pPr>
        <w:spacing w:after="0" w:line="1" w:lineRule="exact"/>
        <w:rPr>
          <w:sz w:val="20"/>
          <w:szCs w:val="20"/>
          <w:color w:val="auto"/>
        </w:rPr>
      </w:pPr>
    </w:p>
    <w:p>
      <w:pPr>
        <w:ind w:right="3359" w:firstLine="8"/>
        <w:spacing w:after="0" w:line="238"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extensions of credit by the Company to any of its Subsidiaries or by any of its Subsidiaries to another of its Subsidiaries; (d) incidental loans to employees in the ordinary course of business and as part of their overall compensation package, and (e) equity investments in or loans to another person, firm, corporation or other entity, provided, that (in the case of clause (e) only): (i) the investment or loan is made in the ordinary course of business, (ii) the cumulative aggregate principal amount (in the case of a loan) or the aggregate consideration paid (including the assumption of debt) or assets contributed (in the case of an investment) in all such investements or loans after the Closing Date (including the proposed investment or loan) does not exceed 25% of the consolidated tangible assets of the Company as of the fiscal quarter immediately preceding the proposed investment or loan,</w:t>
      </w:r>
    </w:p>
    <w:p>
      <w:pPr>
        <w:spacing w:after="0" w:line="5" w:lineRule="exact"/>
        <w:rPr>
          <w:rFonts w:ascii="Courier New" w:cs="Courier New" w:eastAsia="Courier New" w:hAnsi="Courier New"/>
          <w:sz w:val="18"/>
          <w:szCs w:val="18"/>
          <w:color w:val="auto"/>
        </w:rPr>
      </w:pPr>
    </w:p>
    <w:p>
      <w:pPr>
        <w:ind w:right="3359" w:firstLine="8"/>
        <w:spacing w:after="0" w:line="237" w:lineRule="auto"/>
        <w:tabs>
          <w:tab w:leader="none" w:pos="6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has occurred or would occur as a result of such investment or loan on a pro forma basis, (iv) such investment or loan is undertaken in accordance with all applicable requirements of law, and (v) in connection with any investment or loan that constitutes the acquisition or purchase of control of another person, firm, corporation or other entity, the prior, effective written consent or approval to such acquisition of the board of directors or equivalent governing body of the acquiree is obtained.</w:t>
      </w:r>
    </w:p>
    <w:p>
      <w:pPr>
        <w:spacing w:after="0" w:line="214"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7.04 Restricted Payments. Neither the Company nor any of its Subsidiaries shall declare or pay any dividends or distributions on any of its shares now or hereafter existing, or purchase, redeem or otherwise acquire for value any of its shares, or create any sinking fund in relation thereto, except that the Company may declare and pay dividends payable from earnings available therefor; provided, that the aggregate amount of such dividends does not exceed 25% of the Company's consolidated net income for the most recently ended fiscal quarter and the three fiscal quarters immediately preceding such quarter.</w:t>
      </w:r>
    </w:p>
    <w:p>
      <w:pPr>
        <w:spacing w:after="0" w:line="216"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7.05 Business Activities. The Company shall not engage in any material business activities or operations substantially different from or unrelated to present business activities and operations.</w:t>
      </w:r>
    </w:p>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7.06 Regulations G, T, U, and X. The Company shall not, and shall not permit any of its Subsidiaries to, use any portion of the proceeds of any Loans, directly or indirectly, (a) to purchase or carry margin stock (within the meanings of Regulations G, T, U, and X of the Board of Governors of the Federal Reserve System), (b) to repay or otherwise refinance indebtedness of the Company or others incurred to purchase or carry any such margin stock, (c) to extend credit for the purpose of purchasing or carrying any such margin stock, or (d) to acquire any security in any transaction that is subject to Section 13 or 14 of the Securities Exchange Act of 1934, as amended.</w:t>
      </w:r>
    </w:p>
    <w:p>
      <w:pPr>
        <w:spacing w:after="0" w:line="207" w:lineRule="exact"/>
        <w:rPr>
          <w:sz w:val="20"/>
          <w:szCs w:val="20"/>
          <w:color w:val="auto"/>
        </w:rPr>
      </w:pPr>
    </w:p>
    <w:p>
      <w:pPr>
        <w:ind w:right="3479" w:firstLine="527"/>
        <w:spacing w:after="0" w:line="273" w:lineRule="auto"/>
        <w:rPr>
          <w:sz w:val="20"/>
          <w:szCs w:val="20"/>
          <w:color w:val="auto"/>
        </w:rPr>
      </w:pPr>
      <w:r>
        <w:rPr>
          <w:rFonts w:ascii="Courier New" w:cs="Courier New" w:eastAsia="Courier New" w:hAnsi="Courier New"/>
          <w:sz w:val="16"/>
          <w:szCs w:val="16"/>
          <w:color w:val="auto"/>
        </w:rPr>
        <w:t>7.07 Adjusted Quick Ratio. The Company shall not permit, as of the last day of any fiscal quarter, the ratio of (a) the sum of (i) cash equivalents and liquid investments, and (ii) net trade accounts receivable of the Company and its Subsidiaries on a consolidated basis, to (b) current liabilities of the Company</w:t>
      </w:r>
    </w:p>
    <w:p>
      <w:pPr>
        <w:sectPr>
          <w:pgSz w:w="11900" w:h="16838" w:orient="portrait"/>
          <w:cols w:equalWidth="0" w:num="1">
            <w:col w:w="10219"/>
          </w:cols>
          <w:pgMar w:left="240" w:top="142" w:right="1440" w:bottom="0" w:gutter="0" w:footer="0" w:header="0"/>
        </w:sectPr>
      </w:pPr>
    </w:p>
    <w:bookmarkStart w:id="35" w:name="page36"/>
    <w:bookmarkEnd w:id="35"/>
    <w:p>
      <w:pPr>
        <w:ind w:right="3679"/>
        <w:spacing w:after="0" w:line="236" w:lineRule="auto"/>
        <w:rPr>
          <w:sz w:val="20"/>
          <w:szCs w:val="20"/>
          <w:color w:val="auto"/>
        </w:rPr>
      </w:pPr>
      <w:r>
        <w:rPr>
          <w:rFonts w:ascii="Courier New" w:cs="Courier New" w:eastAsia="Courier New" w:hAnsi="Courier New"/>
          <w:sz w:val="18"/>
          <w:szCs w:val="18"/>
          <w:color w:val="auto"/>
        </w:rPr>
        <w:t>and its Subsidiaries on a consolidated basis (plus long-term liabilities related to customer deposits and any Loans), to be less than 0.50 to 1.00.</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VIII - EVENTS OF DEFAULT</w:t>
      </w:r>
    </w:p>
    <w:p>
      <w:pPr>
        <w:spacing w:after="0" w:line="207" w:lineRule="exact"/>
        <w:rPr>
          <w:sz w:val="20"/>
          <w:szCs w:val="20"/>
          <w:color w:val="auto"/>
        </w:rPr>
      </w:pPr>
    </w:p>
    <w:p>
      <w:pPr>
        <w:ind w:right="4319" w:firstLine="527"/>
        <w:spacing w:after="0" w:line="235" w:lineRule="auto"/>
        <w:rPr>
          <w:sz w:val="20"/>
          <w:szCs w:val="20"/>
          <w:color w:val="auto"/>
        </w:rPr>
      </w:pPr>
      <w:r>
        <w:rPr>
          <w:rFonts w:ascii="Courier New" w:cs="Courier New" w:eastAsia="Courier New" w:hAnsi="Courier New"/>
          <w:sz w:val="18"/>
          <w:szCs w:val="18"/>
          <w:color w:val="auto"/>
        </w:rPr>
        <w:t>8.01 Event of Default. Any of the following shall constitute an "Event of Default":</w:t>
      </w:r>
    </w:p>
    <w:p>
      <w:pPr>
        <w:spacing w:after="0" w:line="208" w:lineRule="exact"/>
        <w:rPr>
          <w:sz w:val="20"/>
          <w:szCs w:val="20"/>
          <w:color w:val="auto"/>
        </w:rPr>
      </w:pPr>
    </w:p>
    <w:p>
      <w:pPr>
        <w:ind w:right="3359" w:firstLine="1061"/>
        <w:spacing w:after="0" w:line="237"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Non-Payment. The Company fails to pay, (i) any amount of principal of any Loan when due, (ii) any interest or commitment fee payable hereunder within five days after the same becomes due, or (iii) any other amount payable hereunder or under any other Loan Document within 30 days after the same becomes due; or</w:t>
      </w:r>
    </w:p>
    <w:p>
      <w:pPr>
        <w:spacing w:after="0" w:line="209"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or Warranty. Any representation or warranty made herein or in any other Loan Document is incorrect in any material respect on or as of the date made or deemed made; or</w:t>
      </w:r>
    </w:p>
    <w:p>
      <w:pPr>
        <w:spacing w:after="0" w:line="207" w:lineRule="exact"/>
        <w:rPr>
          <w:rFonts w:ascii="Courier New" w:cs="Courier New" w:eastAsia="Courier New" w:hAnsi="Courier New"/>
          <w:sz w:val="18"/>
          <w:szCs w:val="18"/>
          <w:color w:val="auto"/>
        </w:rPr>
      </w:pPr>
    </w:p>
    <w:p>
      <w:pPr>
        <w:ind w:right="3579" w:firstLine="1061"/>
        <w:spacing w:after="0" w:line="279" w:lineRule="auto"/>
        <w:tabs>
          <w:tab w:leader="none" w:pos="15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Defaults. The Company fails to perform or observe any term, covenant or agreement contained in any of Sections 6.02, 6.03(b) or 6.08 or in Article VII; or</w:t>
      </w:r>
    </w:p>
    <w:p>
      <w:pPr>
        <w:spacing w:after="0" w:line="178" w:lineRule="exact"/>
        <w:rPr>
          <w:rFonts w:ascii="Courier New" w:cs="Courier New" w:eastAsia="Courier New" w:hAnsi="Courier New"/>
          <w:sz w:val="16"/>
          <w:szCs w:val="16"/>
          <w:color w:val="auto"/>
        </w:rPr>
      </w:pPr>
    </w:p>
    <w:p>
      <w:pPr>
        <w:ind w:right="3359" w:firstLine="1061"/>
        <w:spacing w:after="0" w:line="237"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Defaults. The Company fails to perform or observe any other term or covenant contained in this Agreement or any other Loan Document, and such default shall continue unremedied for a period of 20 days after the earlier of (i) the date upon which a responsible officer knew or reasonably should have known of such failure, and (ii) the date upon which written notice thereof is given to the Company by the Agent or any Bank; or</w:t>
      </w:r>
    </w:p>
    <w:p>
      <w:pPr>
        <w:spacing w:after="0" w:line="212"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Cross-Acceleration. Any default occurs under any single agreement involving the borrowing of money or the extension of credit having an aggregate principal amount of more than $10,000,000, or any group of such agreements having an aggregate principal amount of more than $20,000,000, to which the Company or any Subsidiary is a party as borrower, guarantor or installment purchaser, if such default consists of the failure to pay any principal obligation when due at maturity or, as a result of such default, the holder of the obligation concerned accelerates such obligation; or</w:t>
      </w:r>
    </w:p>
    <w:p>
      <w:pPr>
        <w:spacing w:after="0" w:line="214"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Insolvency. The Company or any Subsidiary (i) ceases to become solvent, (ii) fails to pay the its debts generally as they come due, or (iii) files any petition, proceeding, case, or action for relief under any bankruptcy, reorganization, insolvency, or moratorium law, or any other law or laws for the relief of, or relating to, debtors; or an involuntary petition is filed under any bankruptcy or similar statute against the Company or any Subsidiary, or a receiver, trustee, liquidator, assignee, custodian, sequestrator, or other similar official is appointed to take possession of the properties of the Company or any Subsidiary.</w:t>
      </w:r>
    </w:p>
    <w:p>
      <w:pPr>
        <w:spacing w:after="0" w:line="215" w:lineRule="exact"/>
        <w:rPr>
          <w:rFonts w:ascii="Courier New" w:cs="Courier New" w:eastAsia="Courier New" w:hAnsi="Courier New"/>
          <w:sz w:val="18"/>
          <w:szCs w:val="18"/>
          <w:color w:val="auto"/>
        </w:rPr>
      </w:pPr>
    </w:p>
    <w:p>
      <w:pPr>
        <w:ind w:right="3359" w:firstLine="1061"/>
        <w:spacing w:after="0" w:line="238"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Judgments. One or more non-interlocutory judgments or arbitration awards are entered against the Company or any of its Subsidiaries, or the Company or any of its Subsidiaries enters into any settlement agreement with respect to any litigation or arbitration, in the aggregate amount of $20,000,000 or more, and the same shall remain unsatisfied, unvacated and unstayed pending appeal for a period of 30 days after the entry thereof; or any non-monetary judgment, order or decree is entered against the Company or any Subsidiary which does or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207" w:lineRule="exact"/>
        <w:rPr>
          <w:rFonts w:ascii="Courier New" w:cs="Courier New" w:eastAsia="Courier New" w:hAnsi="Courier New"/>
          <w:sz w:val="18"/>
          <w:szCs w:val="18"/>
          <w:color w:val="auto"/>
        </w:rPr>
      </w:pPr>
    </w:p>
    <w:p>
      <w:pPr>
        <w:ind w:right="3479" w:firstLine="1061"/>
        <w:spacing w:after="0" w:line="271" w:lineRule="auto"/>
        <w:tabs>
          <w:tab w:leader="none" w:pos="15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If any person or two or more persons acting in concert, other than J.R. Simplot, J.R. Simplot Company, Simplot Canada Limited and any other persons under common control of any of the foregoing, or a member of J.R. Simplot's immediate family, shall either acquire beneficial ownership, directly or indirectly, of, or acquire by contract or otherwise, or enter into a contract or arrangement which upon consummation will result in its or their acquisition of, or control over, securities of the Company (or other securities</w:t>
      </w:r>
    </w:p>
    <w:p>
      <w:pPr>
        <w:sectPr>
          <w:pgSz w:w="11900" w:h="16838" w:orient="portrait"/>
          <w:cols w:equalWidth="0" w:num="1">
            <w:col w:w="10219"/>
          </w:cols>
          <w:pgMar w:left="240" w:top="142" w:right="1440" w:bottom="0" w:gutter="0" w:footer="0" w:header="0"/>
        </w:sectPr>
      </w:pPr>
    </w:p>
    <w:bookmarkStart w:id="36" w:name="page37"/>
    <w:bookmarkEnd w:id="36"/>
    <w:p>
      <w:pPr>
        <w:ind w:right="3359"/>
        <w:spacing w:after="0" w:line="236" w:lineRule="auto"/>
        <w:rPr>
          <w:sz w:val="20"/>
          <w:szCs w:val="20"/>
          <w:color w:val="auto"/>
        </w:rPr>
      </w:pPr>
      <w:r>
        <w:rPr>
          <w:rFonts w:ascii="Courier New" w:cs="Courier New" w:eastAsia="Courier New" w:hAnsi="Courier New"/>
          <w:sz w:val="18"/>
          <w:szCs w:val="18"/>
          <w:color w:val="auto"/>
        </w:rPr>
        <w:t>convertible into such securities) representing 30% or more of the combined voting power of all securities of the Company entitled to vote in the election of directors.</w:t>
      </w:r>
    </w:p>
    <w:p>
      <w:pPr>
        <w:spacing w:after="0" w:line="209"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8.02 Remedies. If any Event of Default occurs, the Agent shall, at the request of, or may, with the consent of, the Majority Banks: (a) declare the commitment of each Bank to make Loans to be terminated, whereupon such commitments shall be terminated; (b)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Company; and (c) exercise on behalf of itself and the Banks all rights and remedies available to it and the Banks under the Loan Documents or applicable law; provided, however, that upon the occurrence of any event specified in subsection 8.01(f), the obligation of each Bank to make Loans shall automatically terminate and the unpaid principal amount of all outstanding Loans and all interest and other amounts as aforesaid shall automatically become due and payable without further act of the Agent or any Bank.</w:t>
      </w:r>
    </w:p>
    <w:p>
      <w:pPr>
        <w:spacing w:after="0" w:line="200" w:lineRule="exact"/>
        <w:rPr>
          <w:sz w:val="20"/>
          <w:szCs w:val="20"/>
          <w:color w:val="auto"/>
        </w:rPr>
      </w:pPr>
    </w:p>
    <w:p>
      <w:pPr>
        <w:spacing w:after="0" w:line="399" w:lineRule="exact"/>
        <w:rPr>
          <w:sz w:val="20"/>
          <w:szCs w:val="20"/>
          <w:color w:val="auto"/>
        </w:rPr>
      </w:pPr>
    </w:p>
    <w:p>
      <w:pPr>
        <w:ind w:right="3359" w:firstLine="527"/>
        <w:spacing w:after="0" w:line="273" w:lineRule="auto"/>
        <w:rPr>
          <w:sz w:val="20"/>
          <w:szCs w:val="20"/>
          <w:color w:val="auto"/>
        </w:rPr>
      </w:pPr>
      <w:r>
        <w:rPr>
          <w:rFonts w:ascii="Courier New" w:cs="Courier New" w:eastAsia="Courier New" w:hAnsi="Courier New"/>
          <w:sz w:val="16"/>
          <w:szCs w:val="16"/>
          <w:color w:val="auto"/>
        </w:rPr>
        <w:t>8.03 Rights Not Exclusive.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7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IX - AGENCY</w:t>
      </w:r>
    </w:p>
    <w:p>
      <w:pPr>
        <w:spacing w:after="0" w:line="207"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Certain agreements between the Agent and the Banks are set forth in Annex IX hereto.</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ARTICLE X - MISCELLANEOUS</w:t>
      </w:r>
    </w:p>
    <w:p>
      <w:pPr>
        <w:spacing w:after="0" w:line="207" w:lineRule="exact"/>
        <w:rPr>
          <w:sz w:val="20"/>
          <w:szCs w:val="20"/>
          <w:color w:val="auto"/>
        </w:rPr>
      </w:pPr>
    </w:p>
    <w:p>
      <w:pPr>
        <w:ind w:right="3479" w:firstLine="527"/>
        <w:spacing w:after="0" w:line="238" w:lineRule="auto"/>
        <w:rPr>
          <w:sz w:val="20"/>
          <w:szCs w:val="20"/>
          <w:color w:val="auto"/>
        </w:rPr>
      </w:pPr>
      <w:r>
        <w:rPr>
          <w:rFonts w:ascii="Courier New" w:cs="Courier New" w:eastAsia="Courier New" w:hAnsi="Courier New"/>
          <w:sz w:val="18"/>
          <w:szCs w:val="18"/>
          <w:color w:val="auto"/>
        </w:rPr>
        <w:t>10.01 Amendments and Waivers. No amendment or waiver of any provision of this Agreement or any other Loan Document, and no consent with respect to any departure by the Company or any applicable Subsidiary therefrom, shall be effective unless the same shall be in writing and signed by all the Banks (or by the Agent at the written request of all the Banks) and the Company and acknowledged by the Agent, and then any such waiver or consent shall be effective only in the specific instance and for the specific purpose for which given; provided, that (i) no amendment, waiver or consent shall, unless in writing and signed by the Agent in addition to all the Banks, affect the rights or duties of the Agent under this Agreement or any other Loan Document, and (ii) the Fee Letter may be amended, or rights or privileges thereunder waived, in a writing executed by the parties thereto.</w:t>
      </w:r>
    </w:p>
    <w:p>
      <w:pPr>
        <w:spacing w:after="0" w:line="208"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10.02 Notices. All notices, requests, consents, approvals, waivers and other communications shall be in writing and mailed, faxed or delivered to the address or facsimile number designated from time to time by each party in a written notice to the other parties. All such notices, requests and communications shall, when transmitted by overnight delivery or faxed, be effective when delivered for overnight (next-day) delivery or transmitted in legible form by facsimile machine, respectively, or if mailed, upon the third Business Day after the date deposited into the U.S. mail, or if delivered, upon delivery; except that notices pursuant to Article II or Annex IX to the Agent shall not be effective until actually received by the Agent. Any agreement of the Agent and the Banks herein to receive certain notices by telephone or facsimile is solely for the convenience and at the request of the Company. The Agent and the Banks shall be entitled to rely on the authority of any person purporting to be a person authorized by the Company to give such notice and the Agent and the Banks shall not have any liability to the Company or other person on account of any action taken or not taken by the Agent or the Banks in reliance upon such telephonic or facsimile notice. The obligation of the Company to repay the Loans shall not be affected in any way or to any extent by any failure by the Agent and the Banks to receive written confirmation of any telephonic or facsimile notice or the receipt by the Agent and the Banks of a confirmation which is at variance with the terms understood by the Agent and the Banks to be contained in the telephonic or facsimile notice.</w:t>
      </w:r>
    </w:p>
    <w:p>
      <w:pPr>
        <w:spacing w:after="0" w:line="200" w:lineRule="exact"/>
        <w:rPr>
          <w:sz w:val="20"/>
          <w:szCs w:val="20"/>
          <w:color w:val="auto"/>
        </w:rPr>
      </w:pPr>
    </w:p>
    <w:p>
      <w:pPr>
        <w:spacing w:after="0" w:line="388" w:lineRule="exact"/>
        <w:rPr>
          <w:sz w:val="20"/>
          <w:szCs w:val="20"/>
          <w:color w:val="auto"/>
        </w:rPr>
      </w:pPr>
    </w:p>
    <w:p>
      <w:pPr>
        <w:ind w:left="540"/>
        <w:spacing w:after="0"/>
        <w:tabs>
          <w:tab w:leader="none" w:pos="1260" w:val="left"/>
          <w:tab w:leader="none" w:pos="4720" w:val="left"/>
        </w:tabs>
        <w:rPr>
          <w:sz w:val="20"/>
          <w:szCs w:val="20"/>
          <w:color w:val="auto"/>
        </w:rPr>
      </w:pPr>
      <w:r>
        <w:rPr>
          <w:rFonts w:ascii="Courier New" w:cs="Courier New" w:eastAsia="Courier New" w:hAnsi="Courier New"/>
          <w:sz w:val="18"/>
          <w:szCs w:val="18"/>
          <w:color w:val="auto"/>
        </w:rPr>
        <w:t>10.03</w:t>
        <w:tab/>
        <w:t>No Waiver; Cumulative Remedies.</w:t>
      </w:r>
      <w:r>
        <w:rPr>
          <w:sz w:val="20"/>
          <w:szCs w:val="20"/>
          <w:color w:val="auto"/>
        </w:rPr>
        <w:tab/>
      </w:r>
      <w:r>
        <w:rPr>
          <w:rFonts w:ascii="Courier New" w:cs="Courier New" w:eastAsia="Courier New" w:hAnsi="Courier New"/>
          <w:sz w:val="16"/>
          <w:szCs w:val="16"/>
          <w:color w:val="auto"/>
        </w:rPr>
        <w:t>No failure to</w:t>
      </w:r>
    </w:p>
    <w:p>
      <w:pPr>
        <w:sectPr>
          <w:pgSz w:w="11900" w:h="16838" w:orient="portrait"/>
          <w:cols w:equalWidth="0" w:num="1">
            <w:col w:w="10219"/>
          </w:cols>
          <w:pgMar w:left="240" w:top="142" w:right="1440" w:bottom="0" w:gutter="0" w:footer="0" w:header="0"/>
        </w:sectPr>
      </w:pPr>
    </w:p>
    <w:bookmarkStart w:id="37" w:name="page38"/>
    <w:bookmarkEnd w:id="37"/>
    <w:p>
      <w:pPr>
        <w:ind w:right="3359"/>
        <w:spacing w:after="0" w:line="237" w:lineRule="auto"/>
        <w:rPr>
          <w:sz w:val="20"/>
          <w:szCs w:val="20"/>
          <w:color w:val="auto"/>
        </w:rPr>
      </w:pPr>
      <w:r>
        <w:rPr>
          <w:rFonts w:ascii="Courier New" w:cs="Courier New" w:eastAsia="Courier New" w:hAnsi="Courier New"/>
          <w:sz w:val="18"/>
          <w:szCs w:val="18"/>
          <w:color w:val="auto"/>
        </w:rPr>
        <w:t>exercise and no delay in exercising, on the part of the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210"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10.04 Costs and Expenses. The Company shall: (a) whether or not the transactions contemplated hereby are consummated, pay or reimburse BofA, including in its capacity as Agent, and the Arranger for all reasonable costs and expenses incurred by such persons in connection with the development, preparation, delivery, administration and execution of, and any amendment, supplement, waiver or modification to (in each case, whether or not consummated), this Agreement, any Loan Document and any other documents prepared in connection herewith or therewith, and the consummation of the transactions contemplated hereby and thereby, including reasonable Attorney Costs incurred by such person with respect thereto; and (b) pay or reimburse the Agent and each Bank for all costs and expenses (including Attorney Costs) incurred by it in connection with the enforcement, attempted enforcement, or preservation of any rights or remedies under this Agreement or any other Loan Document during the existence of an Event of Default or after acceleration of the Loans (including in connection with any "workout" or restructuring regarding the Loans, and including in any insolvency proceeding or appellate proceeding).</w:t>
      </w:r>
    </w:p>
    <w:p>
      <w:pPr>
        <w:spacing w:after="0" w:line="210"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10.05 Company Indemnification. Whether or not the transactions contemplated hereby are consummated, the Company shall indemnify, defend and hold the Agent-Related Persons and each Bank, and each of their respective officers, directors, employees, counsel, agents and attorneys-in-fact (each, an "Indemnified Person"), harmless from and against any and all liabilities, obligations, losses, damages, penalties, actions, judgments, suits, costs, charges, expenses and disbursements (including reasonable Attorney Costs) of any kind or nature whatsoever which may at any time (including at any time following repayment of the Loans and the termination, resignation or replacement of the Agent or replacement of any Bank) be imposed on, incurred by or asserted against any such person in favor of any third-party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insolvency proceeding or appellate proceeding) related to or arising out of this Agreement or the Loans or the use of the proceeds thereof, whether or not any Indemnified Person is a party thereto (all the foregoing, collectively, the "Indemnified Liabilities"); provided, that the Company shall have no obligation hereunder to any Indemnified Person with respect to Indemnified Liabilities resulting solely from the gross negligence or willful misconduct of such Indemnified Person. The agreements in this Section shall survive payment of all other Obligations.</w:t>
      </w:r>
    </w:p>
    <w:p>
      <w:pPr>
        <w:spacing w:after="0" w:line="200" w:lineRule="exact"/>
        <w:rPr>
          <w:sz w:val="20"/>
          <w:szCs w:val="20"/>
          <w:color w:val="auto"/>
        </w:rPr>
      </w:pPr>
    </w:p>
    <w:p>
      <w:pPr>
        <w:spacing w:after="0" w:line="393"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10.06 Payments Set Aside. To the extent that the Company makes a payment to the Agent or the Banks, or the Agent or the Banks exercise their right of set-off, and such payment or the proceeds of such set-off or any part thereof are subsequently invalidated, declared to be fraudulent or preferential, set aside or required (including pursuant to any settlement entered into by the Agent or such Bank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Bank severally agrees to pay to the Agent upon demand its pro rata share of any amount so recovered from or repaid by the Agent.</w:t>
      </w:r>
    </w:p>
    <w:p>
      <w:pPr>
        <w:spacing w:after="0" w:line="208"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10.07 Successors and Assigns; Participations. The provisions of this Agreement shall be binding upon and inure to the benefit of the parties hereto and their respective successors and assigns, except that neither the Company nor any Bank may assign or transfer (including by participation) any of its rights or obligations under this Agreement without the prior written consent of the Agent. Notwithstanding the foregoing, any Bank may at any time create a security interest in, or pledge, all or</w:t>
      </w:r>
    </w:p>
    <w:p>
      <w:pPr>
        <w:sectPr>
          <w:pgSz w:w="11900" w:h="16838" w:orient="portrait"/>
          <w:cols w:equalWidth="0" w:num="1">
            <w:col w:w="10219"/>
          </w:cols>
          <w:pgMar w:left="240" w:top="142" w:right="1440" w:bottom="0" w:gutter="0" w:footer="0" w:header="0"/>
        </w:sectPr>
      </w:pPr>
    </w:p>
    <w:bookmarkStart w:id="38" w:name="page39"/>
    <w:bookmarkEnd w:id="38"/>
    <w:p>
      <w:pPr>
        <w:ind w:right="3359"/>
        <w:spacing w:after="0" w:line="272" w:lineRule="auto"/>
        <w:rPr>
          <w:sz w:val="20"/>
          <w:szCs w:val="20"/>
          <w:color w:val="auto"/>
        </w:rPr>
      </w:pPr>
      <w:r>
        <w:rPr>
          <w:rFonts w:ascii="Courier New" w:cs="Courier New" w:eastAsia="Courier New" w:hAnsi="Courier New"/>
          <w:sz w:val="16"/>
          <w:szCs w:val="16"/>
          <w:color w:val="auto"/>
        </w:rPr>
        <w:t>any portion of its rights under and interest in this Agreement held by it in favor of any Federal Reserve Bank in accordance with Regulation A of the Board of Governors of the Federal Reserve Board or U.S. Treasury Regulation 31 CFR Section 203.14, and such Federal Reserve Bank may enforce such pledge or security interest in any manner permitted under applicable law.</w:t>
      </w:r>
    </w:p>
    <w:p>
      <w:pPr>
        <w:spacing w:after="0" w:line="186"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10.08 Set-off. In addition to any rights and remedies of the Banks provided by law, if an Event of Default exists or the Loans have been accelerated, each Bank is authorized at any time and from time to time, without prior notice to the Company, any such notice being waived by the Company to the fullest extent permitted by law, to set off and apply any and all deposits (general or special, time or demand, provisional or final) at any time held by, and other indebtedness at any time owing by, such Bank to or for the credit or the account of the Company against any and all Obligations owing to such Bank, now or hereafter existing, irrespective of whether or not the Agent or such Bank shall have made demand under this Agreement or any Loan Document and although such Obligations may be contingent or unmatured. Each Bank agrees promptly to notify the Company and the Agent after any such set-off and application made by such Bank; provided, however, that the failure to give such notice shall not affect the validity of such set-off and application.</w:t>
      </w:r>
    </w:p>
    <w:p>
      <w:pPr>
        <w:spacing w:after="0" w:line="390" w:lineRule="exact"/>
        <w:rPr>
          <w:sz w:val="20"/>
          <w:szCs w:val="20"/>
          <w:color w:val="auto"/>
        </w:rPr>
      </w:pPr>
    </w:p>
    <w:p>
      <w:pPr>
        <w:jc w:val="center"/>
        <w:ind w:right="3359"/>
        <w:spacing w:after="0"/>
        <w:tabs>
          <w:tab w:leader="none" w:pos="200" w:val="left"/>
        </w:tabs>
        <w:rPr>
          <w:sz w:val="20"/>
          <w:szCs w:val="20"/>
          <w:color w:val="auto"/>
        </w:rPr>
      </w:pPr>
      <w:r>
        <w:rPr>
          <w:rFonts w:ascii="Courier New" w:cs="Courier New" w:eastAsia="Courier New" w:hAnsi="Courier New"/>
          <w:sz w:val="18"/>
          <w:szCs w:val="18"/>
          <w:color w:val="auto"/>
        </w:rPr>
        <w:t>10.09</w:t>
      </w:r>
      <w:r>
        <w:rPr>
          <w:sz w:val="20"/>
          <w:szCs w:val="20"/>
          <w:color w:val="auto"/>
        </w:rPr>
        <w:tab/>
      </w:r>
      <w:r>
        <w:rPr>
          <w:rFonts w:ascii="Courier New" w:cs="Courier New" w:eastAsia="Courier New" w:hAnsi="Courier New"/>
          <w:sz w:val="16"/>
          <w:szCs w:val="16"/>
          <w:color w:val="auto"/>
        </w:rPr>
        <w:t>Notification of Addresses, Lending Offices, Etc.</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Each Bank shall notify the Agent in writing of any changes in the address to which notices to the Bank should be directed, of addresses of any lending office, of payment instructions in respect of all payments to be made to it hereunder and of such other administrative information as the Agent shall reasonably request.</w:t>
      </w:r>
    </w:p>
    <w:p>
      <w:pPr>
        <w:spacing w:after="0" w:line="2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10.10 Counterparts. This Agreement may be executed in any number of separate counterparts, each of which, when so executed, shall be deemed an original, and all of said counterparts taken together shall be deemed to constitute but one and the same instrument.</w:t>
      </w:r>
    </w:p>
    <w:p>
      <w:pPr>
        <w:spacing w:after="0" w:line="209"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10.11 Severability. 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209"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10.12 No Third Parties Benefitted. This Agreement is made and entered into for the sole protection and legal benefit of the Company, the Banks, the Agent and the Agent-Related Persons, and their permitted successors and assigns, and no other person shall be a direct or indirect legal beneficiary of, or have any direct or indirect cause of action or claim in connection with, this Agreement or any of the other Loan Documents.</w:t>
      </w:r>
    </w:p>
    <w:p>
      <w:pPr>
        <w:spacing w:after="0" w:line="188"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10.13 Governing Law and Jurisdiction. THIS AGREEMENT AND THE NOTES SHALL BE GOVERNED BY, AND CONSTRUED IN ACCORDANCE WITH, THE LAW OF THE STATE OF CALIFORNIA; PROVIDED THAT THE AGENT AND THE BANKS SHALL RETAIN ALL RIGHTS ARISING UNDER FEDERAL LAW. ANY LEGAL ACTION OR PROCEEDING WITH RESPECT TO THIS AGREEMENT OR ANY OTHER LOAN DOCUMENT MAY BE BROUGHT IN THE COURTS OF THE STATE OF CALIFORNIA OR OF THE UNITED STATES FOR THE NORTHERN DISTRICT OF CALIFORNIA, AND BY EXECUTION AND DELIVERY OF THIS AGREEMENT, EACH OF THE COMPANY, THE AGENT AND THE BANKS CONSENTS, FOR ITSELF AND IN RESPECT OF ITS PROPERTY, TO THE NON-EXCLUSIVE JURISDICTION OF THOSE COURTS. EACH OF THE COMPANY, THE AGENT AND THE BANKS IRREVOCABLY WAIVES ANY OBJECTION, INCLUDING ANY OBJECTION TO THE LAYING OF VENUE OR BASED ON THE GROUNDS OF FORUM NON CONVENIENS, WHICH IT MAY NOW OR HEREAFTER HAVE TO THE BRINGING OF ANY ACTION OR PROCEEDING IN SUCH JURISDICTION IN RESPECT OF THIS AGREEMENT OR ANY DOCUMENT RELATED HERETO. THE COMPANY, THE AGENT AND THE BANKS EACH WAIVE PERSONAL SERVICE OF ANY SUMMONS, COMPLAINT OR OTHER PROCESS, WHICH MAY BE MADE BY ANY OTHER MEANS PERMITTED BY CALIFORNIA LAW.</w:t>
      </w:r>
    </w:p>
    <w:p>
      <w:pPr>
        <w:spacing w:after="0" w:line="200" w:lineRule="exact"/>
        <w:rPr>
          <w:sz w:val="20"/>
          <w:szCs w:val="20"/>
          <w:color w:val="auto"/>
        </w:rPr>
      </w:pPr>
    </w:p>
    <w:p>
      <w:pPr>
        <w:spacing w:after="0" w:line="398" w:lineRule="exact"/>
        <w:rPr>
          <w:sz w:val="20"/>
          <w:szCs w:val="20"/>
          <w:color w:val="auto"/>
        </w:rPr>
      </w:pPr>
    </w:p>
    <w:p>
      <w:pPr>
        <w:ind w:right="3159" w:firstLine="527"/>
        <w:spacing w:after="0" w:line="271" w:lineRule="auto"/>
        <w:rPr>
          <w:sz w:val="20"/>
          <w:szCs w:val="20"/>
          <w:color w:val="auto"/>
        </w:rPr>
      </w:pPr>
      <w:r>
        <w:rPr>
          <w:rFonts w:ascii="Courier New" w:cs="Courier New" w:eastAsia="Courier New" w:hAnsi="Courier New"/>
          <w:sz w:val="16"/>
          <w:szCs w:val="16"/>
          <w:color w:val="auto"/>
        </w:rPr>
        <w:t>10.14 Waiver of Jury Trial. THE COMPANY, THE BANKS AND THE AGENT EACH WAIVE THEIR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 OTHER PARTY OR ANY AGENT-RELATED PERSON, WHETHER WITH RESPECT TO CONTRACT CLAIMS, TORT CLAIMS, OR OTHERWISE.</w:t>
      </w:r>
    </w:p>
    <w:p>
      <w:pPr>
        <w:sectPr>
          <w:pgSz w:w="11900" w:h="16838" w:orient="portrait"/>
          <w:cols w:equalWidth="0" w:num="1">
            <w:col w:w="10219"/>
          </w:cols>
          <w:pgMar w:left="240" w:top="142" w:right="1440" w:bottom="0" w:gutter="0" w:footer="0" w:header="0"/>
        </w:sectPr>
      </w:pPr>
    </w:p>
    <w:bookmarkStart w:id="39" w:name="page40"/>
    <w:bookmarkEnd w:id="39"/>
    <w:p>
      <w:pPr>
        <w:ind w:right="3159"/>
        <w:spacing w:after="0" w:line="237" w:lineRule="auto"/>
        <w:rPr>
          <w:sz w:val="20"/>
          <w:szCs w:val="20"/>
          <w:color w:val="auto"/>
        </w:rPr>
      </w:pPr>
      <w:r>
        <w:rPr>
          <w:rFonts w:ascii="Courier New" w:cs="Courier New" w:eastAsia="Courier New" w:hAnsi="Courier New"/>
          <w:sz w:val="18"/>
          <w:szCs w:val="18"/>
          <w:color w:val="auto"/>
        </w:rPr>
        <w:t>THE COMPANY, THE BANKS AND THE AGENT EACH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w:t>
      </w:r>
    </w:p>
    <w:p>
      <w:pPr>
        <w:spacing w:after="0" w:line="215"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10.15 Entire Agreement. This Agreement, together with the other Loan Documents, embodies the entire agreement and understanding among the Company, the Banks and the Agent, and supersedes all prior or contemporaneous agreements and understandings of such persons, verbal or written, relating to the subject matter hereof and thereof.</w:t>
      </w:r>
    </w:p>
    <w:p>
      <w:pPr>
        <w:spacing w:after="0" w:line="210"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and delivered by their proper and duly authorized officers as of the day and year first above written.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51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MICRON TECHNOLOGY, INC.</w:t>
            </w:r>
          </w:p>
        </w:tc>
      </w:tr>
      <w:tr>
        <w:trPr>
          <w:trHeight w:val="810"/>
        </w:trPr>
        <w:tc>
          <w:tcPr>
            <w:tcW w:w="2160" w:type="dxa"/>
            <w:vAlign w:val="bottom"/>
          </w:tcPr>
          <w:p>
            <w:pPr>
              <w:spacing w:after="0"/>
              <w:rPr>
                <w:sz w:val="24"/>
                <w:szCs w:val="24"/>
                <w:color w:val="auto"/>
              </w:rPr>
            </w:pPr>
          </w:p>
        </w:tc>
        <w:tc>
          <w:tcPr>
            <w:tcW w:w="51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By: W. G. Stover Jr.</w:t>
            </w:r>
          </w:p>
        </w:tc>
      </w:tr>
      <w:tr>
        <w:trPr>
          <w:trHeight w:val="203"/>
        </w:trPr>
        <w:tc>
          <w:tcPr>
            <w:tcW w:w="2160" w:type="dxa"/>
            <w:vAlign w:val="bottom"/>
          </w:tcPr>
          <w:p>
            <w:pPr>
              <w:spacing w:after="0"/>
              <w:rPr>
                <w:sz w:val="17"/>
                <w:szCs w:val="17"/>
                <w:color w:val="auto"/>
              </w:rPr>
            </w:pPr>
          </w:p>
        </w:tc>
        <w:tc>
          <w:tcPr>
            <w:tcW w:w="51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Title:</w:t>
            </w:r>
          </w:p>
        </w:tc>
        <w:tc>
          <w:tcPr>
            <w:tcW w:w="3480" w:type="dxa"/>
            <w:vAlign w:val="bottom"/>
          </w:tcPr>
          <w:p>
            <w:pPr>
              <w:spacing w:after="0"/>
              <w:rPr>
                <w:sz w:val="17"/>
                <w:szCs w:val="17"/>
                <w:color w:val="auto"/>
              </w:rPr>
            </w:pPr>
          </w:p>
        </w:tc>
      </w:tr>
      <w:tr>
        <w:trPr>
          <w:trHeight w:val="608"/>
        </w:trPr>
        <w:tc>
          <w:tcPr>
            <w:tcW w:w="2160" w:type="dxa"/>
            <w:vAlign w:val="bottom"/>
          </w:tcPr>
          <w:p>
            <w:pPr>
              <w:spacing w:after="0"/>
              <w:rPr>
                <w:sz w:val="24"/>
                <w:szCs w:val="24"/>
                <w:color w:val="auto"/>
              </w:rPr>
            </w:pPr>
          </w:p>
        </w:tc>
        <w:tc>
          <w:tcPr>
            <w:tcW w:w="51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BANK OF AMERICA NATIONAL TRUST</w:t>
            </w:r>
          </w:p>
        </w:tc>
      </w:tr>
      <w:tr>
        <w:trPr>
          <w:trHeight w:val="203"/>
        </w:trPr>
        <w:tc>
          <w:tcPr>
            <w:tcW w:w="2160" w:type="dxa"/>
            <w:vAlign w:val="bottom"/>
          </w:tcPr>
          <w:p>
            <w:pPr>
              <w:spacing w:after="0"/>
              <w:rPr>
                <w:sz w:val="17"/>
                <w:szCs w:val="17"/>
                <w:color w:val="auto"/>
              </w:rPr>
            </w:pPr>
          </w:p>
        </w:tc>
        <w:tc>
          <w:tcPr>
            <w:tcW w:w="512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AND SAVINGS ASSOCIATION, as Agent</w:t>
            </w:r>
          </w:p>
        </w:tc>
      </w:tr>
      <w:tr>
        <w:trPr>
          <w:trHeight w:val="608"/>
        </w:trPr>
        <w:tc>
          <w:tcPr>
            <w:tcW w:w="2160" w:type="dxa"/>
            <w:vAlign w:val="bottom"/>
          </w:tcPr>
          <w:p>
            <w:pPr>
              <w:spacing w:after="0"/>
              <w:rPr>
                <w:sz w:val="24"/>
                <w:szCs w:val="24"/>
                <w:color w:val="auto"/>
              </w:rPr>
            </w:pPr>
          </w:p>
        </w:tc>
        <w:tc>
          <w:tcPr>
            <w:tcW w:w="51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By: Wendy M. Young</w:t>
            </w:r>
          </w:p>
        </w:tc>
      </w:tr>
      <w:tr>
        <w:trPr>
          <w:trHeight w:val="203"/>
        </w:trPr>
        <w:tc>
          <w:tcPr>
            <w:tcW w:w="2160" w:type="dxa"/>
            <w:vAlign w:val="bottom"/>
          </w:tcPr>
          <w:p>
            <w:pPr>
              <w:spacing w:after="0"/>
              <w:rPr>
                <w:sz w:val="17"/>
                <w:szCs w:val="17"/>
                <w:color w:val="auto"/>
              </w:rPr>
            </w:pPr>
          </w:p>
        </w:tc>
        <w:tc>
          <w:tcPr>
            <w:tcW w:w="51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Title:</w:t>
            </w: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w:t>
            </w:r>
          </w:p>
        </w:tc>
        <w:tc>
          <w:tcPr>
            <w:tcW w:w="16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$62,500,000</w:t>
            </w:r>
          </w:p>
        </w:tc>
        <w:tc>
          <w:tcPr>
            <w:tcW w:w="51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BANK OF AMERICA NATIONAL TRUST</w:t>
            </w:r>
          </w:p>
        </w:tc>
      </w:tr>
      <w:tr>
        <w:trPr>
          <w:trHeight w:val="203"/>
        </w:trPr>
        <w:tc>
          <w:tcPr>
            <w:tcW w:w="2160" w:type="dxa"/>
            <w:vAlign w:val="bottom"/>
          </w:tcPr>
          <w:p>
            <w:pPr>
              <w:spacing w:after="0"/>
              <w:rPr>
                <w:sz w:val="17"/>
                <w:szCs w:val="17"/>
                <w:color w:val="auto"/>
              </w:rPr>
            </w:pPr>
          </w:p>
        </w:tc>
        <w:tc>
          <w:tcPr>
            <w:tcW w:w="512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AND SAVINGS ASSOCIATION, as a Bank</w:t>
            </w:r>
          </w:p>
        </w:tc>
      </w:tr>
      <w:tr>
        <w:trPr>
          <w:trHeight w:val="608"/>
        </w:trPr>
        <w:tc>
          <w:tcPr>
            <w:tcW w:w="2160" w:type="dxa"/>
            <w:vAlign w:val="bottom"/>
          </w:tcPr>
          <w:p>
            <w:pPr>
              <w:spacing w:after="0"/>
              <w:rPr>
                <w:sz w:val="24"/>
                <w:szCs w:val="24"/>
                <w:color w:val="auto"/>
              </w:rPr>
            </w:pPr>
          </w:p>
        </w:tc>
        <w:tc>
          <w:tcPr>
            <w:tcW w:w="51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By: Michael Mccutchin</w:t>
            </w:r>
          </w:p>
        </w:tc>
      </w:tr>
      <w:tr>
        <w:trPr>
          <w:trHeight w:val="203"/>
        </w:trPr>
        <w:tc>
          <w:tcPr>
            <w:tcW w:w="2160" w:type="dxa"/>
            <w:vAlign w:val="bottom"/>
          </w:tcPr>
          <w:p>
            <w:pPr>
              <w:spacing w:after="0"/>
              <w:rPr>
                <w:sz w:val="17"/>
                <w:szCs w:val="17"/>
                <w:color w:val="auto"/>
              </w:rPr>
            </w:pPr>
          </w:p>
        </w:tc>
        <w:tc>
          <w:tcPr>
            <w:tcW w:w="51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Title:</w:t>
            </w: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$62,500,000</w:t>
            </w:r>
          </w:p>
        </w:tc>
        <w:tc>
          <w:tcPr>
            <w:tcW w:w="51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SEATTLE FIRST NATIONAL BANK</w:t>
            </w:r>
          </w:p>
        </w:tc>
      </w:tr>
      <w:tr>
        <w:trPr>
          <w:trHeight w:val="608"/>
        </w:trPr>
        <w:tc>
          <w:tcPr>
            <w:tcW w:w="2160" w:type="dxa"/>
            <w:vAlign w:val="bottom"/>
          </w:tcPr>
          <w:p>
            <w:pPr>
              <w:spacing w:after="0"/>
              <w:rPr>
                <w:sz w:val="24"/>
                <w:szCs w:val="24"/>
                <w:color w:val="auto"/>
              </w:rPr>
            </w:pPr>
          </w:p>
        </w:tc>
        <w:tc>
          <w:tcPr>
            <w:tcW w:w="51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By: Thomas P. Rook</w:t>
            </w:r>
          </w:p>
        </w:tc>
      </w:tr>
      <w:tr>
        <w:trPr>
          <w:trHeight w:val="203"/>
        </w:trPr>
        <w:tc>
          <w:tcPr>
            <w:tcW w:w="2160" w:type="dxa"/>
            <w:vAlign w:val="bottom"/>
          </w:tcPr>
          <w:p>
            <w:pPr>
              <w:spacing w:after="0"/>
              <w:rPr>
                <w:sz w:val="17"/>
                <w:szCs w:val="17"/>
                <w:color w:val="auto"/>
              </w:rPr>
            </w:pPr>
          </w:p>
        </w:tc>
        <w:tc>
          <w:tcPr>
            <w:tcW w:w="51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Title:</w:t>
            </w: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$62,500,000</w:t>
            </w:r>
          </w:p>
        </w:tc>
        <w:tc>
          <w:tcPr>
            <w:tcW w:w="51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BANK OF MONTREAL</w:t>
            </w:r>
          </w:p>
        </w:tc>
      </w:tr>
      <w:tr>
        <w:trPr>
          <w:trHeight w:val="608"/>
        </w:trPr>
        <w:tc>
          <w:tcPr>
            <w:tcW w:w="2160" w:type="dxa"/>
            <w:vAlign w:val="bottom"/>
          </w:tcPr>
          <w:p>
            <w:pPr>
              <w:spacing w:after="0"/>
              <w:rPr>
                <w:sz w:val="24"/>
                <w:szCs w:val="24"/>
                <w:color w:val="auto"/>
              </w:rPr>
            </w:pPr>
          </w:p>
        </w:tc>
        <w:tc>
          <w:tcPr>
            <w:tcW w:w="5120" w:type="dxa"/>
            <w:vAlign w:val="bottom"/>
            <w:gridSpan w:val="2"/>
          </w:tcPr>
          <w:p>
            <w:pPr>
              <w:ind w:left="900"/>
              <w:spacing w:after="0"/>
              <w:rPr>
                <w:sz w:val="20"/>
                <w:szCs w:val="20"/>
                <w:color w:val="auto"/>
              </w:rPr>
            </w:pPr>
            <w:r>
              <w:rPr>
                <w:rFonts w:ascii="Courier New" w:cs="Courier New" w:eastAsia="Courier New" w:hAnsi="Courier New"/>
                <w:sz w:val="18"/>
                <w:szCs w:val="18"/>
                <w:color w:val="auto"/>
                <w:w w:val="97"/>
              </w:rPr>
              <w:t>By: J. Donald Higgins, Managing Director</w:t>
            </w:r>
          </w:p>
        </w:tc>
      </w:tr>
      <w:tr>
        <w:trPr>
          <w:trHeight w:val="203"/>
        </w:trPr>
        <w:tc>
          <w:tcPr>
            <w:tcW w:w="2160" w:type="dxa"/>
            <w:vAlign w:val="bottom"/>
          </w:tcPr>
          <w:p>
            <w:pPr>
              <w:spacing w:after="0"/>
              <w:rPr>
                <w:sz w:val="17"/>
                <w:szCs w:val="17"/>
                <w:color w:val="auto"/>
              </w:rPr>
            </w:pPr>
          </w:p>
        </w:tc>
        <w:tc>
          <w:tcPr>
            <w:tcW w:w="51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Title:</w:t>
            </w: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$62,500,000</w:t>
            </w:r>
          </w:p>
        </w:tc>
        <w:tc>
          <w:tcPr>
            <w:tcW w:w="51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UNITED STATES NATIONAL BANK OF</w:t>
            </w:r>
          </w:p>
        </w:tc>
      </w:tr>
      <w:tr>
        <w:trPr>
          <w:trHeight w:val="203"/>
        </w:trPr>
        <w:tc>
          <w:tcPr>
            <w:tcW w:w="216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OREGON</w:t>
            </w:r>
          </w:p>
        </w:tc>
        <w:tc>
          <w:tcPr>
            <w:tcW w:w="3480" w:type="dxa"/>
            <w:vAlign w:val="bottom"/>
          </w:tcPr>
          <w:p>
            <w:pPr>
              <w:spacing w:after="0"/>
              <w:rPr>
                <w:sz w:val="17"/>
                <w:szCs w:val="17"/>
                <w:color w:val="auto"/>
              </w:rPr>
            </w:pPr>
          </w:p>
        </w:tc>
      </w:tr>
      <w:tr>
        <w:trPr>
          <w:trHeight w:val="608"/>
        </w:trPr>
        <w:tc>
          <w:tcPr>
            <w:tcW w:w="2160" w:type="dxa"/>
            <w:vAlign w:val="bottom"/>
          </w:tcPr>
          <w:p>
            <w:pPr>
              <w:spacing w:after="0"/>
              <w:rPr>
                <w:sz w:val="24"/>
                <w:szCs w:val="24"/>
                <w:color w:val="auto"/>
              </w:rPr>
            </w:pPr>
          </w:p>
        </w:tc>
        <w:tc>
          <w:tcPr>
            <w:tcW w:w="51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By: Jeff A. Killian</w:t>
            </w:r>
          </w:p>
        </w:tc>
      </w:tr>
      <w:tr>
        <w:trPr>
          <w:trHeight w:val="203"/>
        </w:trPr>
        <w:tc>
          <w:tcPr>
            <w:tcW w:w="2160" w:type="dxa"/>
            <w:vAlign w:val="bottom"/>
          </w:tcPr>
          <w:p>
            <w:pPr>
              <w:spacing w:after="0"/>
              <w:rPr>
                <w:sz w:val="17"/>
                <w:szCs w:val="17"/>
                <w:color w:val="auto"/>
              </w:rPr>
            </w:pPr>
          </w:p>
        </w:tc>
        <w:tc>
          <w:tcPr>
            <w:tcW w:w="51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Title:</w:t>
            </w: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w:t>
            </w:r>
          </w:p>
        </w:tc>
      </w:tr>
    </w:tbl>
    <w:p>
      <w:pPr>
        <w:spacing w:after="0" w:line="200" w:lineRule="exact"/>
        <w:rPr>
          <w:sz w:val="20"/>
          <w:szCs w:val="20"/>
          <w:color w:val="auto"/>
        </w:rPr>
      </w:pPr>
    </w:p>
    <w:p>
      <w:pPr>
        <w:spacing w:after="0" w:line="379"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ANNEX I</w:t>
      </w:r>
    </w:p>
    <w:p>
      <w:pPr>
        <w:spacing w:after="0" w:line="201"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DEFINITIONS; OTHER INTERPRETIVE PROVISIONS;</w:t>
      </w:r>
    </w:p>
    <w:p>
      <w:pPr>
        <w:jc w:val="center"/>
        <w:ind w:right="3559"/>
        <w:spacing w:after="0" w:line="238" w:lineRule="auto"/>
        <w:rPr>
          <w:sz w:val="20"/>
          <w:szCs w:val="20"/>
          <w:color w:val="auto"/>
        </w:rPr>
      </w:pPr>
      <w:r>
        <w:rPr>
          <w:rFonts w:ascii="Courier New" w:cs="Courier New" w:eastAsia="Courier New" w:hAnsi="Courier New"/>
          <w:sz w:val="18"/>
          <w:szCs w:val="18"/>
          <w:color w:val="auto"/>
        </w:rPr>
        <w:t>ACCOUNTING PRINCIPLES</w:t>
      </w:r>
    </w:p>
    <w:p>
      <w:pPr>
        <w:sectPr>
          <w:pgSz w:w="11900" w:h="16838" w:orient="portrait"/>
          <w:cols w:equalWidth="0" w:num="1">
            <w:col w:w="10219"/>
          </w:cols>
          <w:pgMar w:left="240" w:top="142" w:right="1440" w:bottom="0" w:gutter="0" w:footer="0" w:header="0"/>
        </w:sectPr>
      </w:pPr>
    </w:p>
    <w:bookmarkStart w:id="40" w:name="page41"/>
    <w:bookmarkEnd w:id="40"/>
    <w:p>
      <w:pPr>
        <w:ind w:right="3899" w:firstLine="535"/>
        <w:spacing w:after="0" w:line="235" w:lineRule="auto"/>
        <w:tabs>
          <w:tab w:leader="none" w:pos="9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The following terms have the meanings assigned to them:</w:t>
      </w:r>
    </w:p>
    <w:p>
      <w:pPr>
        <w:spacing w:after="0" w:line="208" w:lineRule="exact"/>
        <w:rPr>
          <w:sz w:val="20"/>
          <w:szCs w:val="20"/>
          <w:color w:val="auto"/>
        </w:rPr>
      </w:pPr>
    </w:p>
    <w:p>
      <w:pPr>
        <w:ind w:right="3359" w:firstLine="527"/>
        <w:spacing w:after="0" w:line="279" w:lineRule="auto"/>
        <w:rPr>
          <w:sz w:val="20"/>
          <w:szCs w:val="20"/>
          <w:color w:val="auto"/>
        </w:rPr>
      </w:pPr>
      <w:r>
        <w:rPr>
          <w:rFonts w:ascii="Courier New" w:cs="Courier New" w:eastAsia="Courier New" w:hAnsi="Courier New"/>
          <w:sz w:val="16"/>
          <w:szCs w:val="16"/>
          <w:color w:val="auto"/>
        </w:rPr>
        <w:t>"Agent-Related Persons" means BofA, together with its affiliates (including the Arranger), and the officers, directors, employees, agents and attorneys-in-fact of such persons.</w:t>
      </w:r>
    </w:p>
    <w:p>
      <w:pPr>
        <w:spacing w:after="0" w:line="178" w:lineRule="exact"/>
        <w:rPr>
          <w:sz w:val="20"/>
          <w:szCs w:val="20"/>
          <w:color w:val="auto"/>
        </w:rPr>
      </w:pPr>
    </w:p>
    <w:p>
      <w:pPr>
        <w:ind w:right="4619" w:firstLine="527"/>
        <w:spacing w:after="0" w:line="235" w:lineRule="auto"/>
        <w:rPr>
          <w:sz w:val="20"/>
          <w:szCs w:val="20"/>
          <w:color w:val="auto"/>
        </w:rPr>
      </w:pPr>
      <w:r>
        <w:rPr>
          <w:rFonts w:ascii="Courier New" w:cs="Courier New" w:eastAsia="Courier New" w:hAnsi="Courier New"/>
          <w:sz w:val="18"/>
          <w:szCs w:val="18"/>
          <w:color w:val="auto"/>
        </w:rPr>
        <w:t>"Arranger" means BA Securities, Inc., a Delaware corporation.</w:t>
      </w:r>
    </w:p>
    <w:p>
      <w:pPr>
        <w:spacing w:after="0" w:line="20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"Attorney Costs" means and includes all reasonable fees and disbursements of any law firm or other external counsel, the reasonable allocated cost of internal legal services and all reasonable disbursements of internal counsel.</w:t>
      </w:r>
    </w:p>
    <w:p>
      <w:pPr>
        <w:spacing w:after="0" w:line="207" w:lineRule="exact"/>
        <w:rPr>
          <w:sz w:val="20"/>
          <w:szCs w:val="20"/>
          <w:color w:val="auto"/>
        </w:rPr>
      </w:pPr>
    </w:p>
    <w:p>
      <w:pPr>
        <w:ind w:right="3579" w:firstLine="527"/>
        <w:spacing w:after="0" w:line="238" w:lineRule="auto"/>
        <w:rPr>
          <w:sz w:val="20"/>
          <w:szCs w:val="20"/>
          <w:color w:val="auto"/>
        </w:rPr>
      </w:pPr>
      <w:r>
        <w:rPr>
          <w:rFonts w:ascii="Courier New" w:cs="Courier New" w:eastAsia="Courier New" w:hAnsi="Courier New"/>
          <w:sz w:val="18"/>
          <w:szCs w:val="18"/>
          <w:color w:val="auto"/>
        </w:rPr>
        <w:t>"Base Rate" means, for any day, the higher of: (a) 0.50% per annum above the latest Federal Funds Rate; and (b) the rate of interest in effect for such day as publicly announced from time to time by BofA in San Francisco, California, as its "reference rate." (The "reference rate" is a rate set by BofA based upon various factors including BofA's costs and desired return, general economic conditions and other factors, and is used as a reference point for pricing some loans, which may be priced at, above, or below such announced rate.) Any change in the reference rate announced by BofA shall take effect at the opening of business on the day specified in the public announcement of such change.</w:t>
      </w:r>
    </w:p>
    <w:p>
      <w:pPr>
        <w:spacing w:after="0" w:line="207"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"Base Rate Loan" means a Loan that bears interest based on the Base Rate.</w:t>
      </w:r>
    </w:p>
    <w:p>
      <w:pPr>
        <w:spacing w:after="0" w:line="208"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"BofA" means Bank of America National Trust and Savings Association, a national banking association.</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"Borrowing" means a borrowing hereunder consisting of Loans of the same Type made to the Company on the same day by the Banks under Article II and, in the case of Offshore Rate Loans, having the same Interest Period.</w:t>
      </w:r>
    </w:p>
    <w:p>
      <w:pPr>
        <w:spacing w:after="0" w:line="207"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"Borrowing Date" means any date on which a Borrowing occurs under Section 2.03.</w:t>
      </w:r>
    </w:p>
    <w:p>
      <w:pPr>
        <w:spacing w:after="0" w:line="20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"Business Day" means any day other than a Saturday, Sunday or other day on which commercial banks in New York City or San Francisco are authorized or required by law to close and, if the applicable Business Day relates to any Offshore Rate Loan, means such a day on which dealings are carried on in the applicable offshore dollar interbank market.</w:t>
      </w:r>
    </w:p>
    <w:p>
      <w:pPr>
        <w:spacing w:after="0" w:line="210"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"Closing Date" means the date on which all conditions precedent set forth in Section 4.01 are satisfied or waived by all Banks (or, in the case of subsection 4.01(f), waived by the person entitled to receive such payment).</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"Conversion/Continuation Date" means any date on which, under Section 2.04, the Company (a) converts Loans of one Type to another Type, or (b) continues as Loans of the same Type, but with a new Interest Period, Loans having Interest Periods expiring on such date.</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"Default" means any event or circumstance which, with the giving of notice, the lapse of time, or both, would (if not cured or otherwise remedied during such time) constitute an Event of Default.</w:t>
      </w:r>
    </w:p>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"Federal Funds Rate" means, for any day, the rate set forth in the weekly statistical release designated as H.15(519), or any successor publication, published by the Federal Reserve Bank of New York (including any such successor, "H.15(519)") on the preceding Business Day opposite the caption "Federal Funds (Effective)"; or, if for any relevant day such rate is not so published on any such preceding Business Day, the rate for such day will be the arithmetic mean as determined by the Agent of the rates for the last transaction in overnight Federal funds arranged prior to 9:00 a.m. (New York City time) on that day by each of three leading brokers of Federal funds transactions in New York City selected by the Agent.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"Interest Payment Date" means, as to any Offshore Rate Loan,</w:t>
      </w:r>
    </w:p>
    <w:p>
      <w:pPr>
        <w:sectPr>
          <w:pgSz w:w="11900" w:h="16838" w:orient="portrait"/>
          <w:cols w:equalWidth="0" w:num="1">
            <w:col w:w="10219"/>
          </w:cols>
          <w:pgMar w:left="240" w:top="547" w:right="1440" w:bottom="0" w:gutter="0" w:footer="0" w:header="0"/>
        </w:sectPr>
      </w:pPr>
    </w:p>
    <w:bookmarkStart w:id="41" w:name="page42"/>
    <w:bookmarkEnd w:id="41"/>
    <w:p>
      <w:pPr>
        <w:ind w:right="3359"/>
        <w:spacing w:after="0" w:line="237" w:lineRule="auto"/>
        <w:rPr>
          <w:sz w:val="20"/>
          <w:szCs w:val="20"/>
          <w:color w:val="auto"/>
        </w:rPr>
      </w:pPr>
      <w:r>
        <w:rPr>
          <w:rFonts w:ascii="Courier New" w:cs="Courier New" w:eastAsia="Courier New" w:hAnsi="Courier New"/>
          <w:sz w:val="18"/>
          <w:szCs w:val="18"/>
          <w:color w:val="auto"/>
        </w:rPr>
        <w:t>the last day of each Interest Period applicable to such Loan and, as to any Base Rate Loan, the last Business Day of each calendar quarter and each date such Loan is converted into an Offshore Rate Loan.</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"Interest Period" means, as to any Offshore Rate Loan, the period commencing on the Borrowing Date of such Loan or on the Conversion/Continuation Date on which the Loan is converted into or continued as an Offshore Rate Loan, and ending on the date either one week or one month thereafter as selected by the Company in its Notice of Borrowing or Notice of Conversion/Continuation; provided, that:</w:t>
      </w:r>
    </w:p>
    <w:p>
      <w:pPr>
        <w:spacing w:after="0" w:line="211" w:lineRule="exact"/>
        <w:rPr>
          <w:sz w:val="20"/>
          <w:szCs w:val="20"/>
          <w:color w:val="auto"/>
        </w:rPr>
      </w:pPr>
    </w:p>
    <w:p>
      <w:pPr>
        <w:ind w:left="540" w:right="3359" w:firstLine="521"/>
        <w:spacing w:after="0" w:line="237" w:lineRule="auto"/>
        <w:tabs>
          <w:tab w:leader="none" w:pos="159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Interest Period would otherwise end on a day that is not a Business Day, that Interest Period shall be extended to the following Business Day, unless the result of such extension would be to carry such Interest Period into another calendar month, in which event such Interest Period shall end on the preceding Business Day;</w:t>
      </w:r>
    </w:p>
    <w:p>
      <w:pPr>
        <w:spacing w:after="0" w:line="209" w:lineRule="exact"/>
        <w:rPr>
          <w:rFonts w:ascii="Courier New" w:cs="Courier New" w:eastAsia="Courier New" w:hAnsi="Courier New"/>
          <w:sz w:val="18"/>
          <w:szCs w:val="18"/>
          <w:color w:val="auto"/>
        </w:rPr>
      </w:pPr>
    </w:p>
    <w:p>
      <w:pPr>
        <w:ind w:left="540" w:right="3359" w:firstLine="521"/>
        <w:spacing w:after="0" w:line="272" w:lineRule="auto"/>
        <w:tabs>
          <w:tab w:leader="none" w:pos="159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pertaining to an Offshore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5" w:lineRule="exact"/>
        <w:rPr>
          <w:rFonts w:ascii="Courier New" w:cs="Courier New" w:eastAsia="Courier New" w:hAnsi="Courier New"/>
          <w:sz w:val="16"/>
          <w:szCs w:val="16"/>
          <w:color w:val="auto"/>
        </w:rPr>
      </w:pPr>
    </w:p>
    <w:p>
      <w:pPr>
        <w:ind w:left="540" w:right="3999" w:firstLine="521"/>
        <w:spacing w:after="0" w:line="235" w:lineRule="auto"/>
        <w:tabs>
          <w:tab w:leader="none" w:pos="159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Interest Period for any Loan shall extend beyond the Revolving Termination Date.</w:t>
      </w:r>
    </w:p>
    <w:p>
      <w:pPr>
        <w:spacing w:after="0" w:line="208" w:lineRule="exact"/>
        <w:rPr>
          <w:sz w:val="20"/>
          <w:szCs w:val="20"/>
          <w:color w:val="auto"/>
        </w:rPr>
      </w:pPr>
    </w:p>
    <w:p>
      <w:pPr>
        <w:jc w:val="both"/>
        <w:ind w:right="3359" w:firstLine="527"/>
        <w:spacing w:after="0" w:line="236" w:lineRule="auto"/>
        <w:rPr>
          <w:sz w:val="20"/>
          <w:szCs w:val="20"/>
          <w:color w:val="auto"/>
        </w:rPr>
      </w:pPr>
      <w:r>
        <w:rPr>
          <w:rFonts w:ascii="Courier New" w:cs="Courier New" w:eastAsia="Courier New" w:hAnsi="Courier New"/>
          <w:sz w:val="18"/>
          <w:szCs w:val="18"/>
          <w:color w:val="auto"/>
        </w:rPr>
        <w:t>"Loan" means an extension of credit by a Bank to the Company under Article II, and may be a Base Rate Loan or an Offshore Rate Loan (each, a "Type" of Loan).</w:t>
      </w:r>
    </w:p>
    <w:p>
      <w:pPr>
        <w:spacing w:after="0" w:line="209"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"Loan Documents" means this Agreement, the Notes, the Fee Letter and all other documents delivered to the Agent or any Bank in connection herewith.</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"Majority Banks" means at any time Banks then holding at least 75% of the then aggregate unpaid principal amount of the Loans, or, if no such principal amount is then outstanding, Banks then having at least 75% of the Commitments.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"Material Adverse Effect" means (a) a material adverse change in, or a material adverse effect upon, the operations, business, properties or condition (financial or otherwise) of the Company or the Company and its Subsidiaries taken as a whole; (b) a material impairment of the ability of the Company to perform under any Loan Document and to avoid any Event of Default; or (c) a material adverse effect upon the legality, validity, binding effect or enforceability against the Company of any Loan Document.</w:t>
      </w:r>
    </w:p>
    <w:p>
      <w:pPr>
        <w:spacing w:after="0" w:line="214" w:lineRule="exact"/>
        <w:rPr>
          <w:sz w:val="20"/>
          <w:szCs w:val="20"/>
          <w:color w:val="auto"/>
        </w:rPr>
      </w:pPr>
    </w:p>
    <w:p>
      <w:pPr>
        <w:jc w:val="both"/>
        <w:ind w:right="3679" w:firstLine="527"/>
        <w:spacing w:after="0" w:line="236" w:lineRule="auto"/>
        <w:rPr>
          <w:sz w:val="20"/>
          <w:szCs w:val="20"/>
          <w:color w:val="auto"/>
        </w:rPr>
      </w:pPr>
      <w:r>
        <w:rPr>
          <w:rFonts w:ascii="Courier New" w:cs="Courier New" w:eastAsia="Courier New" w:hAnsi="Courier New"/>
          <w:sz w:val="18"/>
          <w:szCs w:val="18"/>
          <w:color w:val="auto"/>
        </w:rPr>
        <w:t>"Note" means a promissory note executed by the Company in favor of a Bank pursuant to Section 2.02, in substantially the form of Exhibit C.</w:t>
      </w:r>
    </w:p>
    <w:p>
      <w:pPr>
        <w:spacing w:after="0" w:line="209" w:lineRule="exact"/>
        <w:rPr>
          <w:sz w:val="20"/>
          <w:szCs w:val="20"/>
          <w:color w:val="auto"/>
        </w:rPr>
      </w:pPr>
    </w:p>
    <w:p>
      <w:pPr>
        <w:jc w:val="both"/>
        <w:ind w:right="3679" w:firstLine="527"/>
        <w:spacing w:after="0" w:line="235" w:lineRule="auto"/>
        <w:rPr>
          <w:sz w:val="20"/>
          <w:szCs w:val="20"/>
          <w:color w:val="auto"/>
        </w:rPr>
      </w:pPr>
      <w:r>
        <w:rPr>
          <w:rFonts w:ascii="Courier New" w:cs="Courier New" w:eastAsia="Courier New" w:hAnsi="Courier New"/>
          <w:sz w:val="18"/>
          <w:szCs w:val="18"/>
          <w:color w:val="auto"/>
        </w:rPr>
        <w:t>"Notice of Borrowing" means a notice in substantially the form of Exhibit A hereto.</w:t>
      </w:r>
    </w:p>
    <w:p>
      <w:pPr>
        <w:spacing w:after="0" w:line="208"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"Notice of Conversion/Continuation" means a notice in substantially the form of Exhibit B hereto.</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"Obligations" means all advances, debts, liabilities, obligations, covenants and duties arising under any Loan Document owing by the Company to any Bank, the Agent or any Indemnified Person, whether direct or indirect (including those acquired by assignment), absolute or contingent, due or to become due, now existing or hereafter arising.</w:t>
      </w:r>
    </w:p>
    <w:p>
      <w:pPr>
        <w:spacing w:after="0" w:line="210"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"Offshore Rate" means, for any Interest Period, with respect to Offshore Rate Loans comprising part of the same Borrowing, the rate of interest per annum (rounded upward to the next 1/16th of 1%) determined by the Agent as follows:</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Offshore Rate =</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LIBOR</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1.00 - Eurodollar Reserve Percentage</w:t>
      </w:r>
    </w:p>
    <w:p>
      <w:pPr>
        <w:spacing w:after="0" w:line="200" w:lineRule="exact"/>
        <w:rPr>
          <w:sz w:val="20"/>
          <w:szCs w:val="20"/>
          <w:color w:val="auto"/>
        </w:rPr>
      </w:pPr>
    </w:p>
    <w:p>
      <w:pPr>
        <w:sectPr>
          <w:pgSz w:w="11900" w:h="16838" w:orient="portrait"/>
          <w:cols w:equalWidth="0" w:num="2">
            <w:col w:w="2120" w:space="100"/>
            <w:col w:w="799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Where,</w:t>
      </w:r>
    </w:p>
    <w:p>
      <w:pPr>
        <w:sectPr>
          <w:pgSz w:w="11900" w:h="16838" w:orient="portrait"/>
          <w:cols w:equalWidth="0" w:num="1">
            <w:col w:w="10219"/>
          </w:cols>
          <w:pgMar w:left="240" w:top="142" w:right="1440" w:bottom="0" w:gutter="0" w:footer="0" w:header="0"/>
          <w:type w:val="continuous"/>
        </w:sectPr>
      </w:pPr>
    </w:p>
    <w:bookmarkStart w:id="42" w:name="page43"/>
    <w:bookmarkEnd w:id="42"/>
    <w:p>
      <w:pPr>
        <w:ind w:left="540" w:right="3479" w:firstLine="527"/>
        <w:spacing w:after="0" w:line="237" w:lineRule="auto"/>
        <w:rPr>
          <w:sz w:val="20"/>
          <w:szCs w:val="20"/>
          <w:color w:val="auto"/>
        </w:rPr>
      </w:pPr>
      <w:r>
        <w:rPr>
          <w:rFonts w:ascii="Courier New" w:cs="Courier New" w:eastAsia="Courier New" w:hAnsi="Courier New"/>
          <w:sz w:val="18"/>
          <w:szCs w:val="18"/>
          <w:color w:val="auto"/>
        </w:rPr>
        <w:t>"Eurodollar Reserve Percentage" means for any day in any Interest Period the maximum reserve percentage (expressed as a decimal, rounded upward to the next 1/100th of 1%) in effect on such day under regulations issued from time to time by the Board of Governors of the Federal Reserve Board for determining the maximum reserve requirement (including any emergency, supplemental or other marginal reserve requirement) with respect to Eurocurrency funding (currently referred to as "Eurocurrency liabilities"); and</w:t>
      </w:r>
    </w:p>
    <w:p>
      <w:pPr>
        <w:spacing w:after="0" w:line="215" w:lineRule="exact"/>
        <w:rPr>
          <w:sz w:val="20"/>
          <w:szCs w:val="20"/>
          <w:color w:val="auto"/>
        </w:rPr>
      </w:pPr>
    </w:p>
    <w:p>
      <w:pPr>
        <w:ind w:left="540" w:right="3359" w:firstLine="527"/>
        <w:spacing w:after="0" w:line="237" w:lineRule="auto"/>
        <w:rPr>
          <w:sz w:val="20"/>
          <w:szCs w:val="20"/>
          <w:color w:val="auto"/>
        </w:rPr>
      </w:pPr>
      <w:r>
        <w:rPr>
          <w:rFonts w:ascii="Courier New" w:cs="Courier New" w:eastAsia="Courier New" w:hAnsi="Courier New"/>
          <w:sz w:val="18"/>
          <w:szCs w:val="18"/>
          <w:color w:val="auto"/>
        </w:rPr>
        <w:t>"LIBOR" means, with respect to any Interest Period, the rate of interest per annum determined by the Agent (rounded upward to the next 1/16th of 1%) equal to the rate of interest per annum at which dollar deposits in the approximate amount of the amount of the Loan to be made or continued as, or converted into, an Offshore Rate Loan by BofA and having a maturity comparable to such Interest Period would be offered to major banks in the London interbank market at the Agent's request at approximately 11:00 a.m. (London time) two Business Days prior to the commencement of such Interest Period.</w:t>
      </w:r>
    </w:p>
    <w:p>
      <w:pPr>
        <w:spacing w:after="0" w:line="216" w:lineRule="exact"/>
        <w:rPr>
          <w:sz w:val="20"/>
          <w:szCs w:val="20"/>
          <w:color w:val="auto"/>
        </w:rPr>
      </w:pPr>
    </w:p>
    <w:p>
      <w:pPr>
        <w:jc w:val="both"/>
        <w:ind w:left="540" w:right="3359" w:firstLine="527"/>
        <w:spacing w:after="0" w:line="279" w:lineRule="auto"/>
        <w:rPr>
          <w:sz w:val="20"/>
          <w:szCs w:val="20"/>
          <w:color w:val="auto"/>
        </w:rPr>
      </w:pPr>
      <w:r>
        <w:rPr>
          <w:rFonts w:ascii="Courier New" w:cs="Courier New" w:eastAsia="Courier New" w:hAnsi="Courier New"/>
          <w:sz w:val="16"/>
          <w:szCs w:val="16"/>
          <w:color w:val="auto"/>
        </w:rPr>
        <w:t>The Offshore Rate shall be adjusted automatically as to all Offshore Rate Loans then outstanding as of the effective date of any change in the Eurodollar Reserve Percentage.</w:t>
      </w:r>
    </w:p>
    <w:p>
      <w:pPr>
        <w:spacing w:after="0" w:line="178"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"Offshore Rate Loan" means a Loan that bears interest based on the Offshore Rate.</w:t>
      </w:r>
    </w:p>
    <w:p>
      <w:pPr>
        <w:spacing w:after="0" w:line="208" w:lineRule="exact"/>
        <w:rPr>
          <w:sz w:val="20"/>
          <w:szCs w:val="20"/>
          <w:color w:val="auto"/>
        </w:rPr>
      </w:pPr>
    </w:p>
    <w:p>
      <w:pPr>
        <w:ind w:right="3779" w:firstLine="527"/>
        <w:spacing w:after="0" w:line="275" w:lineRule="auto"/>
        <w:rPr>
          <w:sz w:val="20"/>
          <w:szCs w:val="20"/>
          <w:color w:val="auto"/>
        </w:rPr>
      </w:pPr>
      <w:r>
        <w:rPr>
          <w:rFonts w:ascii="Courier New" w:cs="Courier New" w:eastAsia="Courier New" w:hAnsi="Courier New"/>
          <w:sz w:val="16"/>
          <w:szCs w:val="16"/>
          <w:color w:val="auto"/>
        </w:rPr>
        <w:t>"Pro Rata Share" means, as to any Bank at any time, the percentage equivalent (expressed as a decimal, rounded to the ninth decimal place) at such time of such Bank's Commitment divided by the combined Commitments of all Banks.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"Revolving Termination Date" means the earlier to occur of:</w:t>
      </w:r>
    </w:p>
    <w:p>
      <w:pPr>
        <w:spacing w:after="0" w:line="16" w:lineRule="exact"/>
        <w:rPr>
          <w:sz w:val="20"/>
          <w:szCs w:val="20"/>
          <w:color w:val="auto"/>
        </w:rPr>
      </w:pPr>
    </w:p>
    <w:p>
      <w:pPr>
        <w:ind w:left="420" w:hanging="412"/>
        <w:spacing w:after="0"/>
        <w:tabs>
          <w:tab w:leader="none" w:pos="4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9, 1996, and (b) the date on which the Commitments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in accordance with the provisions of this Agreement.</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"Subsidiary" of a person means any corporation, association, partnership, limited liability company, joint venture or other business entity of which more than 50% of the voting stock, membership interests or other equity interests (in the case of persons other than corporations), is owned or controlled directly or indirectly by the person, or one or more of the Subsidiaries of the person, or a combination thereof. Unless the context otherwise clearly requires, references herein to a "Subsidiary" refer to a Subsidiary of the Company.</w:t>
      </w:r>
    </w:p>
    <w:p>
      <w:pPr>
        <w:spacing w:after="0" w:line="208" w:lineRule="exact"/>
        <w:rPr>
          <w:sz w:val="20"/>
          <w:szCs w:val="20"/>
          <w:color w:val="auto"/>
        </w:rPr>
      </w:pPr>
    </w:p>
    <w:p>
      <w:pPr>
        <w:ind w:left="960" w:hanging="425"/>
        <w:spacing w:after="0"/>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Interpretive Provisions.</w:t>
      </w:r>
    </w:p>
    <w:p>
      <w:pPr>
        <w:spacing w:after="0" w:line="206" w:lineRule="exact"/>
        <w:rPr>
          <w:rFonts w:ascii="Courier New" w:cs="Courier New" w:eastAsia="Courier New" w:hAnsi="Courier New"/>
          <w:sz w:val="18"/>
          <w:szCs w:val="18"/>
          <w:color w:val="auto"/>
        </w:rPr>
      </w:pPr>
    </w:p>
    <w:p>
      <w:pPr>
        <w:ind w:right="3359" w:firstLine="1061"/>
        <w:spacing w:after="0" w:line="238" w:lineRule="auto"/>
        <w:tabs>
          <w:tab w:leader="none" w:pos="1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meanings of defined terms are equally applicable to the singular and plural forms of the defined terms. The words "hereof", "herein", "hereunder" and similar words refer to this Agreement as a whole and not to any particular provision of this Agreement; and subsection, Section, schedule, exhibit and annex references are to this Agreement unless otherwise specified. The term "documents" includes any and all instruments, documents, agreements, certificates, indentures, notices and other writings, however evidenced. The term "including" is not limiting and means "including without limitation." In the computation of periods of time from a specified date to a later specified date, the word "from" means "from and including"; the words "to" and "until" each mean "to but excluding", and the word "through" means "to and including." The captions and headings of this Agreement are for convenience of reference only and shall not affect the interpretation of this Agreement.</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expressly provided herein, (i) references to agreements (including this Agreement) and other contractual instruments shall be deemed to include all subsequent amendments and other modifications thereto, but only to the extent such amendments and other modifications are not prohibited by the terms of any Loan Document, and (ii) references to any statute or regulation are to be construed as including all statutory and regulatory provisions consolidating, amending, replacing, supplementing or interpreting the statute or regulation.</w:t>
      </w:r>
    </w:p>
    <w:p>
      <w:pPr>
        <w:spacing w:after="0" w:line="209"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other Loan Documents may use</w:t>
      </w:r>
    </w:p>
    <w:p>
      <w:pPr>
        <w:sectPr>
          <w:pgSz w:w="11900" w:h="16838" w:orient="portrait"/>
          <w:cols w:equalWidth="0" w:num="1">
            <w:col w:w="10219"/>
          </w:cols>
          <w:pgMar w:left="240" w:top="142" w:right="1440" w:bottom="0" w:gutter="0" w:footer="0" w:header="0"/>
        </w:sectPr>
      </w:pPr>
    </w:p>
    <w:bookmarkStart w:id="43" w:name="page44"/>
    <w:bookmarkEnd w:id="43"/>
    <w:p>
      <w:pPr>
        <w:ind w:right="3359"/>
        <w:spacing w:after="0" w:line="237" w:lineRule="auto"/>
        <w:rPr>
          <w:sz w:val="20"/>
          <w:szCs w:val="20"/>
          <w:color w:val="auto"/>
        </w:rPr>
      </w:pPr>
      <w:r>
        <w:rPr>
          <w:rFonts w:ascii="Courier New" w:cs="Courier New" w:eastAsia="Courier New" w:hAnsi="Courier New"/>
          <w:sz w:val="18"/>
          <w:szCs w:val="18"/>
          <w:color w:val="auto"/>
        </w:rPr>
        <w:t>several different limitations, tests or measurements to regulate the same or similar matters. All such limitations, tests and measurements are cumulative and shall each be performed in accordance with their terms. Unless otherwise expressly provided, any reference to any action of the Agent or the Banks by way of consent, approval or waiver shall be deemed modified by the phrase "in its/their sole discretion."</w:t>
      </w:r>
    </w:p>
    <w:p>
      <w:pPr>
        <w:spacing w:after="0" w:line="211" w:lineRule="exact"/>
        <w:rPr>
          <w:sz w:val="20"/>
          <w:szCs w:val="20"/>
          <w:color w:val="auto"/>
        </w:rPr>
      </w:pPr>
    </w:p>
    <w:p>
      <w:pPr>
        <w:ind w:right="3479" w:firstLine="1061"/>
        <w:spacing w:after="0" w:line="237" w:lineRule="auto"/>
        <w:tabs>
          <w:tab w:leader="none" w:pos="158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other Loan Documents are the result of negotiations among and have been reviewed by counsel to the Agent, the Company and the other parties, and are the products of all parties. Accordingly, they shall not be construed against the Banks or the Agent merely because of the Agent's or Banks' involvement in their preparation.</w:t>
      </w:r>
    </w:p>
    <w:p>
      <w:pPr>
        <w:spacing w:after="0" w:line="209" w:lineRule="exact"/>
        <w:rPr>
          <w:rFonts w:ascii="Courier New" w:cs="Courier New" w:eastAsia="Courier New" w:hAnsi="Courier New"/>
          <w:sz w:val="18"/>
          <w:szCs w:val="18"/>
          <w:color w:val="auto"/>
        </w:rPr>
      </w:pPr>
    </w:p>
    <w:p>
      <w:pPr>
        <w:ind w:right="3359" w:firstLine="535"/>
        <w:spacing w:after="0" w:line="237"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Principles. Unless otherwise specified in this Agreement, all accounting terms used in this Agreement shall be interpreted, all financial computations required under this Agreement shall be made, and all financial information required under this Agreement shall be prepared, in accordance with generally accepted accounting principles in effect from time to time in the United States, consistently applied.</w:t>
      </w:r>
    </w:p>
    <w:p>
      <w:pPr>
        <w:sectPr>
          <w:pgSz w:w="11900" w:h="16838" w:orient="portrait"/>
          <w:cols w:equalWidth="0" w:num="1">
            <w:col w:w="10219"/>
          </w:cols>
          <w:pgMar w:left="240" w:top="142" w:right="1440" w:bottom="1440" w:gutter="0" w:footer="0" w:header="0"/>
        </w:sectPr>
      </w:pPr>
    </w:p>
    <w:bookmarkStart w:id="44" w:name="page45"/>
    <w:bookmarkEnd w:id="44"/>
    <w:p>
      <w:pPr>
        <w:jc w:val="center"/>
        <w:ind w:right="3459"/>
        <w:spacing w:after="0"/>
        <w:rPr>
          <w:sz w:val="20"/>
          <w:szCs w:val="20"/>
          <w:color w:val="auto"/>
        </w:rPr>
      </w:pPr>
      <w:r>
        <w:rPr>
          <w:rFonts w:ascii="Courier New" w:cs="Courier New" w:eastAsia="Courier New" w:hAnsi="Courier New"/>
          <w:sz w:val="18"/>
          <w:szCs w:val="18"/>
          <w:color w:val="auto"/>
        </w:rPr>
        <w:t>ANNEX IX</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AGENCY</w:t>
      </w:r>
    </w:p>
    <w:p>
      <w:pPr>
        <w:spacing w:after="0" w:line="200" w:lineRule="exact"/>
        <w:rPr>
          <w:sz w:val="20"/>
          <w:szCs w:val="20"/>
          <w:color w:val="auto"/>
        </w:rPr>
      </w:pPr>
    </w:p>
    <w:p>
      <w:pPr>
        <w:spacing w:after="0" w:line="209" w:lineRule="exact"/>
        <w:rPr>
          <w:sz w:val="20"/>
          <w:szCs w:val="20"/>
          <w:color w:val="auto"/>
        </w:rPr>
      </w:pPr>
    </w:p>
    <w:p>
      <w:pPr>
        <w:ind w:right="4419" w:firstLine="527"/>
        <w:spacing w:after="0" w:line="235" w:lineRule="auto"/>
        <w:rPr>
          <w:sz w:val="20"/>
          <w:szCs w:val="20"/>
          <w:color w:val="auto"/>
        </w:rPr>
      </w:pPr>
      <w:r>
        <w:rPr>
          <w:rFonts w:ascii="Courier New" w:cs="Courier New" w:eastAsia="Courier New" w:hAnsi="Courier New"/>
          <w:sz w:val="18"/>
          <w:szCs w:val="18"/>
          <w:color w:val="auto"/>
        </w:rPr>
        <w:t>The Agent and each of the Banks hereby agree among themselves as follows:</w:t>
      </w:r>
    </w:p>
    <w:p>
      <w:pPr>
        <w:spacing w:after="0" w:line="208" w:lineRule="exact"/>
        <w:rPr>
          <w:sz w:val="20"/>
          <w:szCs w:val="20"/>
          <w:color w:val="auto"/>
        </w:rPr>
      </w:pPr>
    </w:p>
    <w:p>
      <w:pPr>
        <w:ind w:right="3359" w:firstLine="535"/>
        <w:spacing w:after="0" w:line="269" w:lineRule="auto"/>
        <w:tabs>
          <w:tab w:leader="none" w:pos="1053"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and Authorization; "Agent". Each Bank hereby irrevocably (subject to subsection (i) of this Annex IX) appoints, designates and authorizes the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in this Agreement or in any other Loan Document, the Agent shall not have any duties or responsibilities, except those expressly set forth herein, nor shall the Agent have or be deemed to have any fiduciary relationship with any Bank, and no implied covenants, functions, responsibilities, duties, obligations or liabilities shall be read into this Agreement or any other Loan Document or otherwise exist against the Agent. Without limiting the generality of the foregoing sentence, the use of the term "agent" in this Agreement with reference to the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3359" w:firstLine="535"/>
        <w:spacing w:after="0" w:line="237" w:lineRule="auto"/>
        <w:tabs>
          <w:tab w:leader="none" w:pos="1053"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Delegation of Duties. The Agent may execute any of its duties under this Agreement or any other Loan Document by or through agents, employees or attorneys-in-fact and shall be entitled to advice of counsel concerning all matters pertaining to such duties. The Agent shall not be responsible for the negligence or misconduct of any agent or attorney-in-fact that it selects with reasonable care.</w:t>
      </w:r>
    </w:p>
    <w:p>
      <w:pPr>
        <w:spacing w:after="0" w:line="211" w:lineRule="exact"/>
        <w:rPr>
          <w:rFonts w:ascii="Courier New" w:cs="Courier New" w:eastAsia="Courier New" w:hAnsi="Courier New"/>
          <w:sz w:val="18"/>
          <w:szCs w:val="18"/>
          <w:color w:val="auto"/>
        </w:rPr>
      </w:pPr>
    </w:p>
    <w:p>
      <w:pPr>
        <w:ind w:right="3479" w:firstLine="535"/>
        <w:spacing w:after="0" w:line="268" w:lineRule="auto"/>
        <w:tabs>
          <w:tab w:leader="none" w:pos="1053"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Liability of Agent. None of the Agent-Related Persons shall (i) be liable for any action taken or omitted to be taken by any of them under or in connection with this Agreement or any other Loan Document or the transactions contemplated hereby (except for its own gross negligence or willful misconduct), or</w:t>
      </w:r>
    </w:p>
    <w:p>
      <w:pPr>
        <w:ind w:right="3359" w:firstLine="8"/>
        <w:spacing w:after="0" w:line="238" w:lineRule="auto"/>
        <w:tabs>
          <w:tab w:leader="none" w:pos="52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responsible in any manner to any of the Banks for any recital, statement, representation or warranty made by the Company or any Subsidiary or affiliate of the Company, or any officer thereof, contained in this Agreement or in any other Loan Document, or in any certificate, report, statement or other document referred to or provided for in, or received by the Agent under or in connection with, this Agreement or any other Loan Document, or the validity, effectiveness, genuineness, enforceability or sufficiency of this Agreement or any other Loan Document, or for any failure of the Company or any other party to any Loan Document to perform its obligations hereunder or thereunder. No Agent-Related Person shall be under any obligation to any Bank to ascertain or to inquire as to the observance or performance of any of the agreements contained in, or conditions of, this Agreement or any other Loan Document, or to inspect the properties, books or records of the Company or any of the Company's Subsidiaries or affiliates.</w:t>
      </w:r>
    </w:p>
    <w:p>
      <w:pPr>
        <w:spacing w:after="0" w:line="208" w:lineRule="exact"/>
        <w:rPr>
          <w:rFonts w:ascii="Courier New" w:cs="Courier New" w:eastAsia="Courier New" w:hAnsi="Courier New"/>
          <w:sz w:val="18"/>
          <w:szCs w:val="18"/>
          <w:color w:val="auto"/>
        </w:rPr>
      </w:pPr>
    </w:p>
    <w:p>
      <w:pPr>
        <w:ind w:right="3359" w:firstLine="535"/>
        <w:spacing w:after="0" w:line="269" w:lineRule="auto"/>
        <w:tabs>
          <w:tab w:leader="none" w:pos="105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Reliance by Agent. The Agent shall be entitled to rely, and shall be fully protected in relying, upon any writing, resolution, notice, consent, certificate, affidavit, letter, telegram, facsimile, telex or telephone message, statement or other document or conversation believed by it to be genuine and correct and to have been signed, sent or made by the proper person or persons, and upon advice and statements of legal counsel (including counsel to the Company), independent accountants and other experts selected by the Agent. The Agent shall be fully justified in failing or refusing to take any action under this Agreement or any other Loan Document unless it shall first receive such advice or concurrence of the Majority Banks as it deems appropriate and, if it so requests, it shall first be indemnified to its satisfaction by the Banks against any and all liability and expense which may be incurred by it by reason of taking or continuing to take any such action. The</w:t>
      </w:r>
    </w:p>
    <w:p>
      <w:pPr>
        <w:sectPr>
          <w:pgSz w:w="11900" w:h="16838" w:orient="portrait"/>
          <w:cols w:equalWidth="0" w:num="1">
            <w:col w:w="10219"/>
          </w:cols>
          <w:pgMar w:left="240" w:top="514" w:right="1440" w:bottom="0" w:gutter="0" w:footer="0" w:header="0"/>
        </w:sectPr>
      </w:pPr>
    </w:p>
    <w:bookmarkStart w:id="45" w:name="page46"/>
    <w:bookmarkEnd w:id="45"/>
    <w:p>
      <w:pPr>
        <w:ind w:right="3359"/>
        <w:spacing w:after="0" w:line="270" w:lineRule="auto"/>
        <w:rPr>
          <w:sz w:val="20"/>
          <w:szCs w:val="20"/>
          <w:color w:val="auto"/>
        </w:rPr>
      </w:pPr>
      <w:r>
        <w:rPr>
          <w:rFonts w:ascii="Courier New" w:cs="Courier New" w:eastAsia="Courier New" w:hAnsi="Courier New"/>
          <w:sz w:val="16"/>
          <w:szCs w:val="16"/>
          <w:color w:val="auto"/>
        </w:rPr>
        <w:t>Agent shall in all cases be fully protected in acting, or in refraining from acting, under this Agreement or any other Loan Document in accordance with a request or consent of the Majority Banks and such request and any action taken or failure to act pursuant thereto shall be binding upon all of the Banks. For purposes of determining compliance with the conditions specified in Section 4.01, each Bank that has executed this Agreement shall be deemed to have consented to, approved or accepted or to be satisfied with, each document or other matter either sent by the Agent to such Bank for consent, approval, acceptance or satisfaction, or required thereunder to be consented to or approved by or acceptable or satisfactory to the Bank.</w:t>
      </w:r>
    </w:p>
    <w:p>
      <w:pPr>
        <w:spacing w:after="0" w:line="391" w:lineRule="exact"/>
        <w:rPr>
          <w:sz w:val="20"/>
          <w:szCs w:val="20"/>
          <w:color w:val="auto"/>
        </w:rPr>
      </w:pPr>
    </w:p>
    <w:p>
      <w:pPr>
        <w:ind w:right="3359" w:firstLine="535"/>
        <w:spacing w:after="0" w:line="238" w:lineRule="auto"/>
        <w:tabs>
          <w:tab w:leader="none" w:pos="105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Default. The Agent shall not be deemed to have knowledge or notice of the occurrence of any Default or Event of Default, except with respect to defaults in the payment of principal, interest and fees required to be paid to the Agent for the account of the Banks, unless the Agent shall have received written notice from a Bank or the Company referring to this Agreement, describing such Default or Event of Default and stating that such notice is a "notice of default". The Agent will notify the Banks of its receipt of any such notice. The Agent shall take such action with respect to such Default or Event of Default as may be requested by the Majority Banks in accordance with Article VIII; provided, however, that unless and until the Agent has received any such request, the Agent may (but shall not be obligated to) take such action, or refrain from taking such action, with respect to such Default or Event of Default as it shall deem advisable or in the best interest of the Banks.</w:t>
      </w:r>
    </w:p>
    <w:p>
      <w:pPr>
        <w:spacing w:after="0" w:line="208" w:lineRule="exact"/>
        <w:rPr>
          <w:rFonts w:ascii="Courier New" w:cs="Courier New" w:eastAsia="Courier New" w:hAnsi="Courier New"/>
          <w:sz w:val="18"/>
          <w:szCs w:val="18"/>
          <w:color w:val="auto"/>
        </w:rPr>
      </w:pPr>
    </w:p>
    <w:p>
      <w:pPr>
        <w:ind w:right="3359" w:firstLine="535"/>
        <w:spacing w:after="0" w:line="269" w:lineRule="auto"/>
        <w:tabs>
          <w:tab w:leader="none" w:pos="105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Decision. Each Bank acknowledges that none of the Agent-Related Persons has made any representation or warranty to it, and that no act by the Agent hereinafter taken, including any review of the affairs of the Company and its Subsidiaries, shall be deemed to constitute any representation or warranty by any Agent-Related Person to any Bank. Each Bank represents to the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 worthiness of the Company and its Subsidiaries, and all applicable bank regulatory laws relating to the transactions contemplated hereby, and made its own decision to enter into this Agreement and to extend credit to the Company hereunder. Each Bank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 worthiness of the Company. Except for notices, reports and other documents expressly herein required to be furnished to the Banks by the Agent, the Agent shall not have any duty or responsibility to provide any Bank with any credit or other information concerning the business, prospects, operations, property, financial and other condition or credit worthiness of the Company which may come into the possession of any of the Agent-Related Persons.</w:t>
      </w:r>
    </w:p>
    <w:p>
      <w:pPr>
        <w:spacing w:after="0" w:line="200" w:lineRule="exact"/>
        <w:rPr>
          <w:rFonts w:ascii="Courier New" w:cs="Courier New" w:eastAsia="Courier New" w:hAnsi="Courier New"/>
          <w:sz w:val="16"/>
          <w:szCs w:val="16"/>
          <w:color w:val="auto"/>
        </w:rPr>
      </w:pPr>
    </w:p>
    <w:p>
      <w:pPr>
        <w:spacing w:after="0" w:line="386"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Agent.  Whether or not the</w:t>
      </w:r>
    </w:p>
    <w:p>
      <w:pPr>
        <w:spacing w:after="0" w:line="4" w:lineRule="exact"/>
        <w:rPr>
          <w:rFonts w:ascii="Courier New" w:cs="Courier New" w:eastAsia="Courier New" w:hAnsi="Courier New"/>
          <w:sz w:val="18"/>
          <w:szCs w:val="18"/>
          <w:color w:val="auto"/>
        </w:rPr>
      </w:pPr>
    </w:p>
    <w:p>
      <w:pPr>
        <w:ind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transactions contemplated hereby are consummated, the Banks shall indemnify upon demand the Agent-Related Persons (to the extent not reimbursed by or on behalf of the Company and without limiting the obligation of the Company to do so), pro rata, from and against any and all Indemnified Liabilities; provided, however, that no Bank shall be liable for the payment to the Agent-Related Persons of any portion of such Indemnified Liabilities resulting solely from such person's gross negligence or willful misconduct. Without limitation of the foregoing, each Bank shall reimburse the Agent upon demand for its ratable share of any costs or out-of-pocket expenses (including Attorney Costs) incurred by the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Agent is not reimbursed for such expenses by or</w:t>
      </w:r>
    </w:p>
    <w:p>
      <w:pPr>
        <w:sectPr>
          <w:pgSz w:w="11900" w:h="16838" w:orient="portrait"/>
          <w:cols w:equalWidth="0" w:num="1">
            <w:col w:w="10219"/>
          </w:cols>
          <w:pgMar w:left="240" w:top="142" w:right="1440" w:bottom="0" w:gutter="0" w:footer="0" w:header="0"/>
        </w:sectPr>
      </w:pPr>
    </w:p>
    <w:bookmarkStart w:id="46" w:name="page47"/>
    <w:bookmarkEnd w:id="46"/>
    <w:p>
      <w:pPr>
        <w:ind w:right="3479"/>
        <w:spacing w:after="0" w:line="236" w:lineRule="auto"/>
        <w:rPr>
          <w:sz w:val="20"/>
          <w:szCs w:val="20"/>
          <w:color w:val="auto"/>
        </w:rPr>
      </w:pPr>
      <w:r>
        <w:rPr>
          <w:rFonts w:ascii="Courier New" w:cs="Courier New" w:eastAsia="Courier New" w:hAnsi="Courier New"/>
          <w:sz w:val="18"/>
          <w:szCs w:val="18"/>
          <w:color w:val="auto"/>
        </w:rPr>
        <w:t>on behalf of the Company. The undertaking in this Section shall survive the payment of all Obligations hereunder and the resignation or replacement of the Agent.</w:t>
      </w:r>
    </w:p>
    <w:p>
      <w:pPr>
        <w:spacing w:after="0" w:line="209" w:lineRule="exact"/>
        <w:rPr>
          <w:sz w:val="20"/>
          <w:szCs w:val="20"/>
          <w:color w:val="auto"/>
        </w:rPr>
      </w:pPr>
    </w:p>
    <w:p>
      <w:pPr>
        <w:ind w:right="3479" w:firstLine="535"/>
        <w:spacing w:after="0" w:line="238" w:lineRule="auto"/>
        <w:tabs>
          <w:tab w:leader="none" w:pos="105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Agent in Individual Capacity. BofA and its affiliates may make loans to, issue letters of credit for the account of, accept deposits from, acquire equity interests in and generally engage in any kind of banking, trust, financial advisory, underwriting or other business with the Company and its Subsidiaries and affiliates as though BofA were not the Agent hereunder and without notice to or consent of the Banks. The Banks acknowledge that, pursuant to such activities, BofA or its affiliates may receive information regarding the Company or its affiliates (including information that may be subject to confidentiality obligations in favor of the Company or such Subsidiary) and acknowledge that the Agent shall be under no obligation to provide such information to them. With respect to its Loans, BofA shall have the same rights and powers under this Agreement as any other Bank and may exercise the same as though it were not the Agent, and the terms "Bank" and "Banks" include BofA in its individual capacity.</w:t>
      </w:r>
    </w:p>
    <w:p>
      <w:pPr>
        <w:spacing w:after="0" w:line="208" w:lineRule="exact"/>
        <w:rPr>
          <w:rFonts w:ascii="Courier New" w:cs="Courier New" w:eastAsia="Courier New" w:hAnsi="Courier New"/>
          <w:sz w:val="18"/>
          <w:szCs w:val="18"/>
          <w:color w:val="auto"/>
        </w:rPr>
      </w:pPr>
    </w:p>
    <w:p>
      <w:pPr>
        <w:ind w:right="3359" w:firstLine="535"/>
        <w:spacing w:after="0" w:line="238" w:lineRule="auto"/>
        <w:tabs>
          <w:tab w:leader="none" w:pos="105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 Agent. The Agent may, and at the request of the Majority Banks shall, resign as Agent upon 30 days' notice to the Banks. If the Agent resigns under this Agreement, the Majority Banks shall appoint from among the Banks a successor agent for the Banks, which successor agent shall be approved by the Company. If no successor agent is appointed prior to the effective date of the resignation of the Agent, the Agent may appoint, after consulting with the Banks and the Company, a successor agent from among the Banks.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Annex IX and Sections 10.04 and 10.05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Banks shall perform all of the duties of the Agent hereunder until such time, if any, as the Majority Banks appoint a successor agent as provided for above.</w:t>
      </w:r>
    </w:p>
    <w:p>
      <w:pPr>
        <w:spacing w:after="0" w:line="211"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Tax. (i) If any Bank is a "foreign corporation, partnership or trust" within the meaning of the Code and such Bank claims exemption from, or a reduction of, U.S. withholding tax under Sections 1441 or 1442 of the Code, such Bank agrees with and in favor of the Agent, to deliver to the Agent:</w:t>
      </w:r>
    </w:p>
    <w:p>
      <w:pPr>
        <w:spacing w:after="0" w:line="209" w:lineRule="exact"/>
        <w:rPr>
          <w:rFonts w:ascii="Courier New" w:cs="Courier New" w:eastAsia="Courier New" w:hAnsi="Courier New"/>
          <w:sz w:val="18"/>
          <w:szCs w:val="18"/>
          <w:color w:val="auto"/>
        </w:rPr>
      </w:pPr>
    </w:p>
    <w:p>
      <w:pPr>
        <w:ind w:left="540" w:right="3359" w:firstLine="1048"/>
        <w:spacing w:after="0" w:line="237" w:lineRule="auto"/>
        <w:tabs>
          <w:tab w:leader="none" w:pos="2015"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Bank claims an exemption from, or a reduction of, withholding tax under a United States tax treaty, two properly completed and executed copies of IRS Form 1001 before the payment of any interest in the first calendar year and before the payment of any interest in each third succeeding calendar year during which interest may be paid under this Agreement;</w:t>
      </w:r>
    </w:p>
    <w:p>
      <w:pPr>
        <w:spacing w:after="0" w:line="211" w:lineRule="exact"/>
        <w:rPr>
          <w:rFonts w:ascii="Courier New" w:cs="Courier New" w:eastAsia="Courier New" w:hAnsi="Courier New"/>
          <w:sz w:val="18"/>
          <w:szCs w:val="18"/>
          <w:color w:val="auto"/>
        </w:rPr>
      </w:pPr>
    </w:p>
    <w:p>
      <w:pPr>
        <w:ind w:left="540" w:right="3479" w:firstLine="1048"/>
        <w:spacing w:after="0" w:line="271" w:lineRule="auto"/>
        <w:tabs>
          <w:tab w:leader="none" w:pos="2015"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Bank claims that interest paid under this Agreement is exempt from United States withholding tax because it is effectively connected with a United States trade or business of such Bank, two properly completed and executed copies of IRS Form 4224 before the payment of any interest is due in the first taxable year of such Bank and in each succeeding taxable year of such Bank during which interest may be paid under this Agreement; and</w:t>
      </w:r>
    </w:p>
    <w:p>
      <w:pPr>
        <w:spacing w:after="0" w:line="185" w:lineRule="exact"/>
        <w:rPr>
          <w:rFonts w:ascii="Courier New" w:cs="Courier New" w:eastAsia="Courier New" w:hAnsi="Courier New"/>
          <w:sz w:val="16"/>
          <w:szCs w:val="16"/>
          <w:color w:val="auto"/>
        </w:rPr>
      </w:pPr>
    </w:p>
    <w:p>
      <w:pPr>
        <w:ind w:left="540" w:right="3479" w:firstLine="1153"/>
        <w:spacing w:after="0" w:line="237" w:lineRule="auto"/>
        <w:tabs>
          <w:tab w:leader="none" w:pos="2120" w:val="left"/>
        </w:tabs>
        <w:numPr>
          <w:ilvl w:val="2"/>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form or forms as may be required under the Code or other laws of the United States as a condition to exemption from, or reduction of, United States withholding tax.</w:t>
      </w:r>
    </w:p>
    <w:p>
      <w:pPr>
        <w:spacing w:after="0" w:line="207" w:lineRule="exact"/>
        <w:rPr>
          <w:sz w:val="20"/>
          <w:szCs w:val="20"/>
          <w:color w:val="auto"/>
        </w:rPr>
      </w:pPr>
    </w:p>
    <w:p>
      <w:pPr>
        <w:jc w:val="both"/>
        <w:ind w:right="3679"/>
        <w:spacing w:after="0" w:line="236" w:lineRule="auto"/>
        <w:rPr>
          <w:sz w:val="20"/>
          <w:szCs w:val="20"/>
          <w:color w:val="auto"/>
        </w:rPr>
      </w:pPr>
      <w:r>
        <w:rPr>
          <w:rFonts w:ascii="Courier New" w:cs="Courier New" w:eastAsia="Courier New" w:hAnsi="Courier New"/>
          <w:sz w:val="18"/>
          <w:szCs w:val="18"/>
          <w:color w:val="auto"/>
        </w:rPr>
        <w:t>Such Bank agrees to promptly notify the Agent of any change in circumstances which would modify or render invalid any claimed exemption or reduction.</w:t>
      </w:r>
    </w:p>
    <w:p>
      <w:pPr>
        <w:spacing w:after="0" w:line="203"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If any Bank claims exemption from, or reduction</w:t>
      </w:r>
    </w:p>
    <w:p>
      <w:pPr>
        <w:sectPr>
          <w:pgSz w:w="11900" w:h="16838" w:orient="portrait"/>
          <w:cols w:equalWidth="0" w:num="1">
            <w:col w:w="10219"/>
          </w:cols>
          <w:pgMar w:left="240" w:top="142" w:right="1440" w:bottom="0" w:gutter="0" w:footer="0" w:header="0"/>
        </w:sectPr>
      </w:pPr>
    </w:p>
    <w:bookmarkStart w:id="47" w:name="page48"/>
    <w:bookmarkEnd w:id="47"/>
    <w:p>
      <w:pPr>
        <w:ind w:right="3359"/>
        <w:spacing w:after="0" w:line="237" w:lineRule="auto"/>
        <w:rPr>
          <w:sz w:val="20"/>
          <w:szCs w:val="20"/>
          <w:color w:val="auto"/>
        </w:rPr>
      </w:pPr>
      <w:r>
        <w:rPr>
          <w:rFonts w:ascii="Courier New" w:cs="Courier New" w:eastAsia="Courier New" w:hAnsi="Courier New"/>
          <w:sz w:val="18"/>
          <w:szCs w:val="18"/>
          <w:color w:val="auto"/>
        </w:rPr>
        <w:t>of, withholding tax under a United States tax treaty by providing IRS Form 1001 and such Bank sells, assigns, grants a participation in, or otherwise transfers all or part of the Obligations of the Company to such Bank, such Bank agrees to notify the Agent of the percentage amount in which it is no longer the beneficial owner of Obligations of the Company to such Bank. To the extent of such percentage amount, the Agent will treat such Bank's IRS Form 1001 as no longer valid.</w:t>
      </w:r>
    </w:p>
    <w:p>
      <w:pPr>
        <w:spacing w:after="0" w:line="212" w:lineRule="exact"/>
        <w:rPr>
          <w:sz w:val="20"/>
          <w:szCs w:val="20"/>
          <w:color w:val="auto"/>
        </w:rPr>
      </w:pPr>
    </w:p>
    <w:p>
      <w:pPr>
        <w:ind w:right="3359" w:firstLine="1061"/>
        <w:spacing w:after="0" w:line="237" w:lineRule="auto"/>
        <w:tabs>
          <w:tab w:leader="none" w:pos="179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Bank claiming exemption from United States withholding tax by filing IRS Form 4224 with the Agent sells, assigns, grants a participation in, or otherwise transfers all or part of the Obligations of the Company to such Bank, such Bank agrees to undertake sole responsibility for complying with the withholding tax requirements imposed by Sections 1441 and 1442 of the Code.</w:t>
      </w:r>
    </w:p>
    <w:p>
      <w:pPr>
        <w:spacing w:after="0" w:line="211" w:lineRule="exact"/>
        <w:rPr>
          <w:rFonts w:ascii="Courier New" w:cs="Courier New" w:eastAsia="Courier New" w:hAnsi="Courier New"/>
          <w:sz w:val="18"/>
          <w:szCs w:val="18"/>
          <w:color w:val="auto"/>
        </w:rPr>
      </w:pPr>
    </w:p>
    <w:p>
      <w:pPr>
        <w:ind w:right="3359" w:firstLine="1061"/>
        <w:spacing w:after="0" w:line="237" w:lineRule="auto"/>
        <w:tabs>
          <w:tab w:leader="none" w:pos="168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Bank is entitled to a reduction in the applicable withholding tax, the Agent may withhold from any interest payment to such Bank an amount equivalent to the applicable withholding tax after taking into account such reduction. However, if the forms or other documentation required by this Section are not delivered to the Agent, then the Agent may withhold from any interest payment to such Bank not providing such forms or other documentation an amount equivalent to the applicable withholding tax imposed by Sections 1441 and 1442 of the Code, without reduction.</w:t>
      </w:r>
    </w:p>
    <w:p>
      <w:pPr>
        <w:spacing w:after="0" w:line="214" w:lineRule="exact"/>
        <w:rPr>
          <w:rFonts w:ascii="Courier New" w:cs="Courier New" w:eastAsia="Courier New" w:hAnsi="Courier New"/>
          <w:sz w:val="18"/>
          <w:szCs w:val="18"/>
          <w:color w:val="auto"/>
        </w:rPr>
      </w:pPr>
    </w:p>
    <w:p>
      <w:pPr>
        <w:ind w:right="3479" w:firstLine="1061"/>
        <w:spacing w:after="0" w:line="238" w:lineRule="auto"/>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IRS or any other governmental authority of the United States or other jurisdiction asserts a claim that the Agent did not properly withhold tax from amounts paid to or for the account of any Bank (because the appropriate form was not delivered or was not properly executed, or because such Bank failed to notify the Agent of a change in circumstances which rendered the exemption from, or reduction of, withholding tax ineffective, or for any other reason) such Bank shall indemnify the Agent fully for all amounts paid, directly or indirectly, by the Agent as tax or otherwise, including penalties and interest, and including any taxes imposed by any jurisdiction on the amounts payable to the Agent under this Section, together with all costs and expenses (including Attorney Costs). The obligation of the Banks under this subsection shall survive the payment of all Obligations and the resignation or replacement of the Agent.</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Section, "Code" means the Internal Revenue Code of 1986, and regulations promulgated thereunder, and "IRS" means the Internal Revenue Service, and any governmental authority succeeding to any of its principal functions under the Code.</w:t>
      </w:r>
    </w:p>
    <w:p>
      <w:pPr>
        <w:sectPr>
          <w:pgSz w:w="11900" w:h="16838" w:orient="portrait"/>
          <w:cols w:equalWidth="0" w:num="1">
            <w:col w:w="10219"/>
          </w:cols>
          <w:pgMar w:left="240" w:top="142" w:right="1440" w:bottom="1440" w:gutter="0" w:footer="0" w:header="0"/>
        </w:sectPr>
      </w:pPr>
    </w:p>
    <w:bookmarkStart w:id="48" w:name="page49"/>
    <w:bookmarkEnd w:id="48"/>
    <w:p>
      <w:pPr>
        <w:jc w:val="center"/>
        <w:ind w:right="35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NOTICE OF BORROWING</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Date:</w:t>
        <w:tab/>
        <w:t>_____________, 199__</w:t>
      </w:r>
    </w:p>
    <w:p>
      <w:pPr>
        <w:spacing w:after="0" w:line="200" w:lineRule="exact"/>
        <w:rPr>
          <w:sz w:val="20"/>
          <w:szCs w:val="20"/>
          <w:color w:val="auto"/>
        </w:rPr>
      </w:pPr>
    </w:p>
    <w:p>
      <w:pPr>
        <w:spacing w:after="0" w:line="209" w:lineRule="exact"/>
        <w:rPr>
          <w:sz w:val="20"/>
          <w:szCs w:val="20"/>
          <w:color w:val="auto"/>
        </w:rPr>
      </w:pPr>
    </w:p>
    <w:p>
      <w:pPr>
        <w:ind w:left="540" w:right="3899" w:hanging="539"/>
        <w:spacing w:after="0" w:line="272" w:lineRule="auto"/>
        <w:tabs>
          <w:tab w:leader="none" w:pos="520" w:val="left"/>
        </w:tabs>
        <w:rPr>
          <w:sz w:val="20"/>
          <w:szCs w:val="20"/>
          <w:color w:val="auto"/>
        </w:rPr>
      </w:pPr>
      <w:r>
        <w:rPr>
          <w:rFonts w:ascii="Courier New" w:cs="Courier New" w:eastAsia="Courier New" w:hAnsi="Courier New"/>
          <w:sz w:val="16"/>
          <w:szCs w:val="16"/>
          <w:color w:val="auto"/>
        </w:rPr>
        <w:t>To:</w:t>
        <w:tab/>
        <w:t>Bank of America National Trust and Savings Association, as Agent for the Banks party to the Revolving Credit Agreement dated as of February 12, 1996 (as amended, the "Credit Agreement") among Micron Technology, Inc., the several financial institutions party thereto (the "Banks"), and Bank of America National Trust and Savings Association, as Agent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undersigned, Micron Technology, Inc. (the "Company"), refers to the Credit Agreement, the terms defined therein being used herein as therein defined, and hereby gives you notice irrevocably, pursuant to Section 2.03 of the Credit Agreement, of the Borrowing specified below:</w:t>
      </w:r>
    </w:p>
    <w:p>
      <w:pPr>
        <w:spacing w:after="0" w:line="203" w:lineRule="exact"/>
        <w:rPr>
          <w:sz w:val="20"/>
          <w:szCs w:val="20"/>
          <w:color w:val="auto"/>
        </w:rPr>
      </w:pPr>
    </w:p>
    <w:p>
      <w:pPr>
        <w:ind w:left="1480" w:hanging="419"/>
        <w:spacing w:after="0"/>
        <w:tabs>
          <w:tab w:leader="none" w:pos="14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Day of the proposed Borrowing is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 199__.</w:t>
      </w:r>
    </w:p>
    <w:p>
      <w:pPr>
        <w:spacing w:after="0" w:line="207" w:lineRule="exact"/>
        <w:rPr>
          <w:rFonts w:ascii="Courier New" w:cs="Courier New" w:eastAsia="Courier New" w:hAnsi="Courier New"/>
          <w:sz w:val="18"/>
          <w:szCs w:val="18"/>
          <w:color w:val="auto"/>
        </w:rPr>
      </w:pPr>
    </w:p>
    <w:p>
      <w:pPr>
        <w:ind w:left="540" w:right="3579" w:firstLine="521"/>
        <w:spacing w:after="0" w:line="235" w:lineRule="auto"/>
        <w:tabs>
          <w:tab w:leader="none" w:pos="148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the proposed Borrowing is $____________.</w:t>
      </w:r>
    </w:p>
    <w:p>
      <w:pPr>
        <w:spacing w:after="0" w:line="208" w:lineRule="exact"/>
        <w:rPr>
          <w:rFonts w:ascii="Courier New" w:cs="Courier New" w:eastAsia="Courier New" w:hAnsi="Courier New"/>
          <w:sz w:val="18"/>
          <w:szCs w:val="18"/>
          <w:color w:val="auto"/>
        </w:rPr>
      </w:pPr>
    </w:p>
    <w:p>
      <w:pPr>
        <w:ind w:left="540" w:right="3359" w:firstLine="521"/>
        <w:spacing w:after="0" w:line="235" w:lineRule="auto"/>
        <w:tabs>
          <w:tab w:leader="none" w:pos="148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Borrowing is to be comprised of $___________ of [Base Rate] [Offshore Rate] Loans.</w:t>
      </w:r>
    </w:p>
    <w:p>
      <w:pPr>
        <w:spacing w:after="0" w:line="208" w:lineRule="exact"/>
        <w:rPr>
          <w:sz w:val="20"/>
          <w:szCs w:val="20"/>
          <w:color w:val="auto"/>
        </w:rPr>
      </w:pPr>
    </w:p>
    <w:p>
      <w:pPr>
        <w:ind w:left="540" w:right="3579" w:firstLine="527"/>
        <w:spacing w:after="0" w:line="236" w:lineRule="auto"/>
        <w:rPr>
          <w:sz w:val="20"/>
          <w:szCs w:val="20"/>
          <w:color w:val="auto"/>
        </w:rPr>
      </w:pPr>
      <w:r>
        <w:rPr>
          <w:rFonts w:ascii="Courier New" w:cs="Courier New" w:eastAsia="Courier New" w:hAnsi="Courier New"/>
          <w:sz w:val="18"/>
          <w:szCs w:val="18"/>
          <w:color w:val="auto"/>
        </w:rPr>
        <w:t>[4. The duration of the Interest Period for the Offshore Rate Loans included in the Borrowing shall be one [week] [month].]</w:t>
      </w:r>
    </w:p>
    <w:p>
      <w:pPr>
        <w:spacing w:after="0" w:line="209"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The undersigned hereby certifies that the following statements are true on the date hereof, and will be true on the proposed Borrowing Date, before and after giving effect thereto and to the application of the proceeds therefrom:</w:t>
      </w:r>
    </w:p>
    <w:p>
      <w:pPr>
        <w:spacing w:after="0" w:line="207" w:lineRule="exact"/>
        <w:rPr>
          <w:sz w:val="20"/>
          <w:szCs w:val="20"/>
          <w:color w:val="auto"/>
        </w:rPr>
      </w:pPr>
    </w:p>
    <w:p>
      <w:pPr>
        <w:jc w:val="both"/>
        <w:ind w:left="540" w:right="3479" w:firstLine="521"/>
        <w:spacing w:after="0" w:line="279" w:lineRule="auto"/>
        <w:tabs>
          <w:tab w:leader="none" w:pos="159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Company contained in Article V of the Credit Agreement are true and correct as though made on and as of such date;</w:t>
      </w:r>
    </w:p>
    <w:p>
      <w:pPr>
        <w:spacing w:after="0" w:line="178" w:lineRule="exact"/>
        <w:rPr>
          <w:rFonts w:ascii="Courier New" w:cs="Courier New" w:eastAsia="Courier New" w:hAnsi="Courier New"/>
          <w:sz w:val="16"/>
          <w:szCs w:val="16"/>
          <w:color w:val="auto"/>
        </w:rPr>
      </w:pPr>
    </w:p>
    <w:p>
      <w:pPr>
        <w:ind w:left="540" w:right="3359" w:firstLine="521"/>
        <w:spacing w:after="0" w:line="236" w:lineRule="auto"/>
        <w:tabs>
          <w:tab w:leader="none" w:pos="159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has occurred and is continuing, or would result from such proposed Borrowing; and</w:t>
      </w:r>
    </w:p>
    <w:p>
      <w:pPr>
        <w:spacing w:after="0" w:line="208" w:lineRule="exact"/>
        <w:rPr>
          <w:rFonts w:ascii="Courier New" w:cs="Courier New" w:eastAsia="Courier New" w:hAnsi="Courier New"/>
          <w:sz w:val="18"/>
          <w:szCs w:val="18"/>
          <w:color w:val="auto"/>
        </w:rPr>
      </w:pPr>
    </w:p>
    <w:p>
      <w:pPr>
        <w:ind w:left="540" w:right="3999" w:firstLine="521"/>
        <w:spacing w:after="0" w:line="236" w:lineRule="auto"/>
        <w:tabs>
          <w:tab w:leader="none" w:pos="159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Borrowing will not cause the aggregate principal amount of all outstanding Loans to exceed the combined Commitments of the Banks.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bookmarkStart w:id="49" w:name="page50"/>
    <w:bookmarkEnd w:id="49"/>
    <w:p>
      <w:pPr>
        <w:jc w:val="center"/>
        <w:ind w:right="357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NOTICE OF CONVERSION/CONTINUATION</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Date:</w:t>
        <w:tab/>
        <w:t>_____________, 199__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3899" w:hanging="539"/>
        <w:spacing w:after="0" w:line="272" w:lineRule="auto"/>
        <w:tabs>
          <w:tab w:leader="none" w:pos="520" w:val="left"/>
        </w:tabs>
        <w:rPr>
          <w:sz w:val="20"/>
          <w:szCs w:val="20"/>
          <w:color w:val="auto"/>
        </w:rPr>
      </w:pPr>
      <w:r>
        <w:rPr>
          <w:rFonts w:ascii="Courier New" w:cs="Courier New" w:eastAsia="Courier New" w:hAnsi="Courier New"/>
          <w:sz w:val="16"/>
          <w:szCs w:val="16"/>
          <w:color w:val="auto"/>
        </w:rPr>
        <w:t>To:</w:t>
        <w:tab/>
        <w:t>Bank of America National Trust and Savings Association, as Agent for the Banks party to the Revolving Credit Agreement dated as of February 12, 1996 (as amended, the "Credit Agreement") among Micron Technology, Inc., the several financial institutions party thereto (the "Banks"), and Bank of America National Trust and Savings Association, as Agent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undersigned, Micron Technology, Inc. (the "Company"), refers to the Credit Agreement, the terms defined therein being used herein as therein defined, and hereby gives you notice irrevocably, pursuant to Section 2.04 of the Credit Agreement, of the [conversion] [continuation] of the Loans specified herein, that:</w:t>
      </w:r>
    </w:p>
    <w:p>
      <w:pPr>
        <w:spacing w:after="0" w:line="210" w:lineRule="exact"/>
        <w:rPr>
          <w:sz w:val="20"/>
          <w:szCs w:val="20"/>
          <w:color w:val="auto"/>
        </w:rPr>
      </w:pPr>
    </w:p>
    <w:p>
      <w:pPr>
        <w:ind w:left="1480" w:hanging="419"/>
        <w:spacing w:after="0"/>
        <w:tabs>
          <w:tab w:leader="none" w:pos="1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Conversion/Continuation Date is ______________,</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199__.</w:t>
      </w:r>
    </w:p>
    <w:p>
      <w:pPr>
        <w:spacing w:after="0" w:line="207" w:lineRule="exact"/>
        <w:rPr>
          <w:rFonts w:ascii="Courier New" w:cs="Courier New" w:eastAsia="Courier New" w:hAnsi="Courier New"/>
          <w:sz w:val="16"/>
          <w:szCs w:val="16"/>
          <w:color w:val="auto"/>
        </w:rPr>
      </w:pPr>
    </w:p>
    <w:p>
      <w:pPr>
        <w:ind w:left="540" w:right="3359" w:firstLine="521"/>
        <w:spacing w:after="0" w:line="235" w:lineRule="auto"/>
        <w:tabs>
          <w:tab w:leader="none" w:pos="148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the Loans to be [converted] [continued] is $_______________.</w:t>
      </w:r>
    </w:p>
    <w:p>
      <w:pPr>
        <w:spacing w:after="0" w:line="208" w:lineRule="exact"/>
        <w:rPr>
          <w:rFonts w:ascii="Courier New" w:cs="Courier New" w:eastAsia="Courier New" w:hAnsi="Courier New"/>
          <w:sz w:val="18"/>
          <w:szCs w:val="18"/>
          <w:color w:val="auto"/>
        </w:rPr>
      </w:pPr>
    </w:p>
    <w:p>
      <w:pPr>
        <w:ind w:left="540" w:right="3359" w:firstLine="521"/>
        <w:spacing w:after="0" w:line="235" w:lineRule="auto"/>
        <w:tabs>
          <w:tab w:leader="none" w:pos="148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Loans are to be [converted into] [continued as] [Offshore Rate] [Base Rate] Loans.</w:t>
      </w:r>
    </w:p>
    <w:p>
      <w:pPr>
        <w:spacing w:after="0" w:line="208" w:lineRule="exact"/>
        <w:rPr>
          <w:sz w:val="20"/>
          <w:szCs w:val="20"/>
          <w:color w:val="auto"/>
        </w:rPr>
      </w:pPr>
    </w:p>
    <w:p>
      <w:pPr>
        <w:ind w:left="540" w:right="4099" w:firstLine="527"/>
        <w:spacing w:after="0" w:line="279" w:lineRule="auto"/>
        <w:rPr>
          <w:sz w:val="20"/>
          <w:szCs w:val="20"/>
          <w:color w:val="auto"/>
        </w:rPr>
      </w:pPr>
      <w:r>
        <w:rPr>
          <w:rFonts w:ascii="Courier New" w:cs="Courier New" w:eastAsia="Courier New" w:hAnsi="Courier New"/>
          <w:sz w:val="16"/>
          <w:szCs w:val="16"/>
          <w:color w:val="auto"/>
        </w:rPr>
        <w:t>[4. The duration of the Interest Period for the Offshore Rate Loans included in the [conversion] [continuation] shall be one [week] [month].]</w:t>
      </w:r>
    </w:p>
    <w:p>
      <w:pPr>
        <w:spacing w:after="0" w:line="178" w:lineRule="exact"/>
        <w:rPr>
          <w:sz w:val="20"/>
          <w:szCs w:val="20"/>
          <w:color w:val="auto"/>
        </w:rPr>
      </w:pPr>
    </w:p>
    <w:p>
      <w:pPr>
        <w:ind w:right="3479" w:firstLine="527"/>
        <w:spacing w:after="0" w:line="275" w:lineRule="auto"/>
        <w:rPr>
          <w:sz w:val="20"/>
          <w:szCs w:val="20"/>
          <w:color w:val="auto"/>
        </w:rPr>
      </w:pPr>
      <w:r>
        <w:rPr>
          <w:rFonts w:ascii="Courier New" w:cs="Courier New" w:eastAsia="Courier New" w:hAnsi="Courier New"/>
          <w:sz w:val="16"/>
          <w:szCs w:val="16"/>
          <w:color w:val="auto"/>
        </w:rPr>
        <w:t>The undersigned hereby certifies that the following statements are true on the date hereof, and will be true on the proposed Conversion/Continuation Date, before and after giving effect thereto and to the application of the proceeds therefrom:</w:t>
      </w:r>
    </w:p>
    <w:p>
      <w:pPr>
        <w:spacing w:after="0" w:line="182" w:lineRule="exact"/>
        <w:rPr>
          <w:sz w:val="20"/>
          <w:szCs w:val="20"/>
          <w:color w:val="auto"/>
        </w:rPr>
      </w:pPr>
    </w:p>
    <w:p>
      <w:pPr>
        <w:jc w:val="both"/>
        <w:ind w:left="540" w:right="3479" w:firstLine="521"/>
        <w:spacing w:after="0" w:line="279" w:lineRule="auto"/>
        <w:tabs>
          <w:tab w:leader="none" w:pos="159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Company contained in Article V of the Credit Agreement are true and correct as though made on and as of such date; and</w:t>
      </w:r>
    </w:p>
    <w:p>
      <w:pPr>
        <w:spacing w:after="0" w:line="178" w:lineRule="exact"/>
        <w:rPr>
          <w:rFonts w:ascii="Courier New" w:cs="Courier New" w:eastAsia="Courier New" w:hAnsi="Courier New"/>
          <w:sz w:val="16"/>
          <w:szCs w:val="16"/>
          <w:color w:val="auto"/>
        </w:rPr>
      </w:pPr>
    </w:p>
    <w:p>
      <w:pPr>
        <w:jc w:val="both"/>
        <w:ind w:left="540" w:right="3359" w:firstLine="521"/>
        <w:spacing w:after="0" w:line="236" w:lineRule="auto"/>
        <w:tabs>
          <w:tab w:leader="none" w:pos="159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has occurred and is continuing, or would result from such proposed conversion or continuation.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514" w:right="1440" w:bottom="1440" w:gutter="0" w:footer="0" w:header="0"/>
        </w:sectPr>
      </w:pPr>
    </w:p>
    <w:bookmarkStart w:id="50" w:name="page51"/>
    <w:bookmarkEnd w:id="50"/>
    <w:p>
      <w:pPr>
        <w:jc w:val="center"/>
        <w:ind w:right="357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FORM OF PROMISSORY NOTE</w:t>
      </w:r>
    </w:p>
    <w:p>
      <w:pPr>
        <w:spacing w:after="0" w:line="200" w:lineRule="exact"/>
        <w:rPr>
          <w:sz w:val="20"/>
          <w:szCs w:val="20"/>
          <w:color w:val="auto"/>
        </w:rPr>
      </w:pPr>
    </w:p>
    <w:p>
      <w:pPr>
        <w:spacing w:after="0" w:line="204"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$62,500,000</w:t>
      </w:r>
      <w:r>
        <w:rPr>
          <w:sz w:val="20"/>
          <w:szCs w:val="20"/>
          <w:color w:val="auto"/>
        </w:rPr>
        <w:tab/>
      </w:r>
      <w:r>
        <w:rPr>
          <w:rFonts w:ascii="Courier New" w:cs="Courier New" w:eastAsia="Courier New" w:hAnsi="Courier New"/>
          <w:sz w:val="16"/>
          <w:szCs w:val="16"/>
          <w:color w:val="auto"/>
        </w:rPr>
        <w:t>February 12, 1996</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FOR VALUE RECEIVED, the undersigned, Micron Technology, Inc., a Delaware corporation (the "Company"), hereby promises to pay to the order of [Name of Bank] (the "Bank") the principal sum of Sixty-Two Million Five Hundred Thousand Dollars ($62,500,000) or, if less, the aggregate unpaid principal amount of all Loans made by the Bank to the Company pursuant to the Revolving Credit Agreement, dated as of February 12, 1996 (such Revolving Credit Agreement, as it may be amended, restated, supplemented or otherwise modified from time to time, being hereinafter called the "Credit Agreement"), among the Company, the Bank, the other banks parties thereto, and Bank of America National Trust and Savings Association, as Agent for the Banks, on the dates and in the amounts provided in the Credit Agreement. The Company further promises to pay interest on the unpaid principal amount of the Loans evidenced hereby from time to time at the rates, on the dates, and otherwise as provided in the Credit Agreement.</w:t>
      </w:r>
    </w:p>
    <w:p>
      <w:pPr>
        <w:spacing w:after="0" w:line="39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Bank is authorized to endorse the amount and the date on which each Loan is made, the maturity date therefor and each payment of principal with respect thereto on schedules to be annexed hereto and made a part hereof, or on continuations thereof which shall be attached hereto and made a part hereof; provided, that any failure to endorse such information on such schedule or continuation thereof shall not in any manner affect any obligation of the Company under the Credit Agreement and this Promissory Note (the "Note").</w:t>
      </w:r>
    </w:p>
    <w:p>
      <w:pPr>
        <w:spacing w:after="0" w:line="214"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This Note is one of the Notes referred to in, and is entitled to the benefits of, the Credit Agreement, which Credit Agreement, among other things, contains provisions for acceleration of the maturity hereof upon the happening of certain stated events and also for prepayments on account of principal hereof prior to the maturity hereof upon the terms and conditions therein specified.</w:t>
      </w:r>
    </w:p>
    <w:p>
      <w:pPr>
        <w:spacing w:after="0" w:line="211" w:lineRule="exact"/>
        <w:rPr>
          <w:sz w:val="20"/>
          <w:szCs w:val="20"/>
          <w:color w:val="auto"/>
        </w:rPr>
      </w:pPr>
    </w:p>
    <w:p>
      <w:pPr>
        <w:ind w:right="3359" w:firstLine="527"/>
        <w:spacing w:after="0" w:line="273" w:lineRule="auto"/>
        <w:rPr>
          <w:sz w:val="20"/>
          <w:szCs w:val="20"/>
          <w:color w:val="auto"/>
        </w:rPr>
      </w:pPr>
      <w:r>
        <w:rPr>
          <w:rFonts w:ascii="Courier New" w:cs="Courier New" w:eastAsia="Courier New" w:hAnsi="Courier New"/>
          <w:sz w:val="16"/>
          <w:szCs w:val="16"/>
          <w:color w:val="auto"/>
        </w:rPr>
        <w:t>Terms defined in the Credit Agreement are used herein with their defined meanings therein unless otherwise defined herein. This Note shall be governed by, and construed and interpreted in accordance with, the laws of the State of California applicable to contracts made and to be performed entirely within such State.</w:t>
      </w:r>
    </w:p>
    <w:p>
      <w:pPr>
        <w:spacing w:after="0" w:line="17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514" w:right="1440" w:bottom="1440" w:gutter="0" w:footer="0" w:header="0"/>
        </w:sectPr>
      </w:pPr>
    </w:p>
    <w:bookmarkStart w:id="51" w:name="page52"/>
    <w:bookmarkEnd w:id="51"/>
    <w:p>
      <w:pPr>
        <w:ind w:left="2860"/>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ind w:left="860" w:right="4099" w:firstLine="948"/>
        <w:spacing w:after="0" w:line="290" w:lineRule="auto"/>
        <w:rPr>
          <w:sz w:val="20"/>
          <w:szCs w:val="20"/>
          <w:color w:val="auto"/>
        </w:rPr>
      </w:pPr>
      <w:r>
        <w:rPr>
          <w:rFonts w:ascii="Courier New" w:cs="Courier New" w:eastAsia="Courier New" w:hAnsi="Courier New"/>
          <w:sz w:val="16"/>
          <w:szCs w:val="16"/>
          <w:color w:val="auto"/>
        </w:rPr>
        <w:t>Computation of Per Share Earnings (Amounts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February</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29,</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quarter ended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7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PRIMARY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620" w:type="dxa"/>
            <w:vAlign w:val="bottom"/>
          </w:tcPr>
          <w:p>
            <w:pPr>
              <w:spacing w:after="0"/>
              <w:rPr>
                <w:sz w:val="17"/>
                <w:szCs w:val="17"/>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207.3</w:t>
            </w:r>
          </w:p>
        </w:tc>
        <w:tc>
          <w:tcPr>
            <w:tcW w:w="5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204.6</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effect of dilutive stock options</w:t>
            </w:r>
          </w:p>
        </w:tc>
        <w:tc>
          <w:tcPr>
            <w:tcW w:w="6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4440" w:type="dxa"/>
            <w:vAlign w:val="bottom"/>
          </w:tcPr>
          <w:p>
            <w:pPr>
              <w:spacing w:after="0"/>
              <w:rPr>
                <w:sz w:val="17"/>
                <w:szCs w:val="17"/>
                <w:color w:val="auto"/>
              </w:rPr>
            </w:pP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6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215.2</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212.8</w:t>
            </w:r>
          </w:p>
        </w:tc>
      </w:tr>
      <w:tr>
        <w:trPr>
          <w:trHeight w:val="203"/>
        </w:trPr>
        <w:tc>
          <w:tcPr>
            <w:tcW w:w="4440" w:type="dxa"/>
            <w:vAlign w:val="bottom"/>
          </w:tcPr>
          <w:p>
            <w:pPr>
              <w:spacing w:after="0"/>
              <w:rPr>
                <w:sz w:val="17"/>
                <w:szCs w:val="17"/>
                <w:color w:val="auto"/>
              </w:rPr>
            </w:pP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188.2</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183.5</w:t>
            </w:r>
          </w:p>
        </w:tc>
      </w:tr>
      <w:tr>
        <w:trPr>
          <w:trHeight w:val="203"/>
        </w:trPr>
        <w:tc>
          <w:tcPr>
            <w:tcW w:w="4440" w:type="dxa"/>
            <w:vAlign w:val="bottom"/>
          </w:tcPr>
          <w:p>
            <w:pPr>
              <w:spacing w:after="0"/>
              <w:rPr>
                <w:sz w:val="17"/>
                <w:szCs w:val="17"/>
                <w:color w:val="auto"/>
              </w:rPr>
            </w:pP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Primary earnings per share</w:t>
            </w:r>
          </w:p>
        </w:tc>
        <w:tc>
          <w:tcPr>
            <w:tcW w:w="62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$0.87</w:t>
            </w:r>
          </w:p>
        </w:tc>
        <w:tc>
          <w:tcPr>
            <w:tcW w:w="5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$0.86</w:t>
            </w:r>
          </w:p>
        </w:tc>
      </w:tr>
      <w:tr>
        <w:trPr>
          <w:trHeight w:val="203"/>
        </w:trPr>
        <w:tc>
          <w:tcPr>
            <w:tcW w:w="4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62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207.3</w:t>
            </w:r>
          </w:p>
        </w:tc>
        <w:tc>
          <w:tcPr>
            <w:tcW w:w="5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204.6</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effect of dilutive stock options</w:t>
            </w:r>
          </w:p>
        </w:tc>
        <w:tc>
          <w:tcPr>
            <w:tcW w:w="6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4440" w:type="dxa"/>
            <w:vAlign w:val="bottom"/>
          </w:tcPr>
          <w:p>
            <w:pPr>
              <w:spacing w:after="0"/>
              <w:rPr>
                <w:sz w:val="17"/>
                <w:szCs w:val="17"/>
                <w:color w:val="auto"/>
              </w:rPr>
            </w:pP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6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215.2</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214.3</w:t>
            </w:r>
          </w:p>
        </w:tc>
      </w:tr>
      <w:tr>
        <w:trPr>
          <w:trHeight w:val="203"/>
        </w:trPr>
        <w:tc>
          <w:tcPr>
            <w:tcW w:w="4440" w:type="dxa"/>
            <w:vAlign w:val="bottom"/>
          </w:tcPr>
          <w:p>
            <w:pPr>
              <w:spacing w:after="0"/>
              <w:rPr>
                <w:sz w:val="17"/>
                <w:szCs w:val="17"/>
                <w:color w:val="auto"/>
              </w:rPr>
            </w:pP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188.2</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183.5</w:t>
            </w:r>
          </w:p>
        </w:tc>
      </w:tr>
      <w:tr>
        <w:trPr>
          <w:trHeight w:val="203"/>
        </w:trPr>
        <w:tc>
          <w:tcPr>
            <w:tcW w:w="4440" w:type="dxa"/>
            <w:vAlign w:val="bottom"/>
          </w:tcPr>
          <w:p>
            <w:pPr>
              <w:spacing w:after="0"/>
              <w:rPr>
                <w:sz w:val="17"/>
                <w:szCs w:val="17"/>
                <w:color w:val="auto"/>
              </w:rPr>
            </w:pPr>
          </w:p>
        </w:tc>
        <w:tc>
          <w:tcPr>
            <w:tcW w:w="16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Fully diluted earnings per share</w:t>
            </w:r>
          </w:p>
        </w:tc>
        <w:tc>
          <w:tcPr>
            <w:tcW w:w="62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$0.87</w:t>
            </w:r>
          </w:p>
        </w:tc>
        <w:tc>
          <w:tcPr>
            <w:tcW w:w="5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$0.86</w:t>
            </w:r>
          </w:p>
        </w:tc>
      </w:tr>
      <w:tr>
        <w:trPr>
          <w:trHeight w:val="203"/>
        </w:trPr>
        <w:tc>
          <w:tcPr>
            <w:tcW w:w="4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37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ind w:left="860" w:right="4099" w:firstLine="948"/>
        <w:spacing w:after="0" w:line="290" w:lineRule="auto"/>
        <w:rPr>
          <w:sz w:val="20"/>
          <w:szCs w:val="20"/>
          <w:color w:val="auto"/>
        </w:rPr>
      </w:pPr>
      <w:r>
        <w:rPr>
          <w:rFonts w:ascii="Courier New" w:cs="Courier New" w:eastAsia="Courier New" w:hAnsi="Courier New"/>
          <w:sz w:val="16"/>
          <w:szCs w:val="16"/>
          <w:color w:val="auto"/>
        </w:rPr>
        <w:t>Computation of Per Share Earnings (Amounts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February</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29,</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six months ended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7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PRIMARY</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Weighted average shares outstanding</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207.0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204.3</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effect of dilutive stock options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422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216.4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211.6</w:t>
            </w:r>
          </w:p>
        </w:tc>
      </w:tr>
      <w:tr>
        <w:trPr>
          <w:trHeight w:val="203"/>
        </w:trPr>
        <w:tc>
          <w:tcPr>
            <w:tcW w:w="422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516.7</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342.8</w:t>
            </w:r>
          </w:p>
        </w:tc>
      </w:tr>
      <w:tr>
        <w:trPr>
          <w:trHeight w:val="203"/>
        </w:trPr>
        <w:tc>
          <w:tcPr>
            <w:tcW w:w="422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541" w:right="1440"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Primary earnings per share</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$2.39</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$1.62</w:t>
            </w:r>
          </w:p>
        </w:tc>
      </w:tr>
      <w:tr>
        <w:trPr>
          <w:trHeight w:val="203"/>
        </w:trPr>
        <w:tc>
          <w:tcPr>
            <w:tcW w:w="444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207.0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204.3</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effect of dilutive stock options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444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216.4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213.6</w:t>
            </w:r>
          </w:p>
        </w:tc>
      </w:tr>
      <w:tr>
        <w:trPr>
          <w:trHeight w:val="203"/>
        </w:trPr>
        <w:tc>
          <w:tcPr>
            <w:tcW w:w="444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516.7</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342.8</w:t>
            </w:r>
          </w:p>
        </w:tc>
      </w:tr>
      <w:tr>
        <w:trPr>
          <w:trHeight w:val="203"/>
        </w:trPr>
        <w:tc>
          <w:tcPr>
            <w:tcW w:w="444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Fully diluted earnings per share</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$2.39</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$1.61</w:t>
            </w:r>
          </w:p>
        </w:tc>
      </w:tr>
      <w:tr>
        <w:trPr>
          <w:trHeight w:val="203"/>
        </w:trPr>
        <w:tc>
          <w:tcPr>
            <w:tcW w:w="444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39" w:right="1440" w:bottom="1440" w:gutter="0" w:footer="0" w:header="0"/>
        </w:sectPr>
      </w:pPr>
    </w:p>
    <w:bookmarkStart w:id="53" w:name="page54"/>
    <w:bookmarkEnd w:id="53"/>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599" w:firstLine="527"/>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the accompanying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AUG-29-1996</w:t>
      </w:r>
    </w:p>
    <w:p>
      <w:pPr>
        <w:ind w:left="3240"/>
        <w:spacing w:after="0"/>
        <w:rPr>
          <w:sz w:val="20"/>
          <w:szCs w:val="20"/>
          <w:color w:val="auto"/>
        </w:rPr>
      </w:pPr>
      <w:r>
        <w:rPr>
          <w:rFonts w:ascii="Courier New" w:cs="Courier New" w:eastAsia="Courier New" w:hAnsi="Courier New"/>
          <w:sz w:val="18"/>
          <w:szCs w:val="18"/>
          <w:color w:val="auto"/>
        </w:rPr>
        <w:t>FEB-29-1996</w:t>
      </w:r>
    </w:p>
    <w:p>
      <w:pPr>
        <w:jc w:val="center"/>
        <w:ind w:right="439"/>
        <w:spacing w:after="0" w:line="237" w:lineRule="auto"/>
        <w:rPr>
          <w:sz w:val="20"/>
          <w:szCs w:val="20"/>
          <w:color w:val="auto"/>
        </w:rPr>
      </w:pPr>
      <w:r>
        <w:rPr>
          <w:rFonts w:ascii="Courier New" w:cs="Courier New" w:eastAsia="Courier New" w:hAnsi="Courier New"/>
          <w:sz w:val="18"/>
          <w:szCs w:val="18"/>
          <w:color w:val="auto"/>
        </w:rPr>
        <w:t>387</w:t>
      </w:r>
    </w:p>
    <w:p>
      <w:pPr>
        <w:ind w:left="4180"/>
        <w:spacing w:after="0" w:line="238" w:lineRule="auto"/>
        <w:rPr>
          <w:sz w:val="20"/>
          <w:szCs w:val="20"/>
          <w:color w:val="auto"/>
        </w:rPr>
      </w:pPr>
      <w:r>
        <w:rPr>
          <w:rFonts w:ascii="Courier New" w:cs="Courier New" w:eastAsia="Courier New" w:hAnsi="Courier New"/>
          <w:sz w:val="18"/>
          <w:szCs w:val="18"/>
          <w:color w:val="auto"/>
        </w:rPr>
        <w:t>11</w:t>
      </w:r>
    </w:p>
    <w:p>
      <w:pPr>
        <w:ind w:left="3980"/>
        <w:spacing w:after="0"/>
        <w:rPr>
          <w:sz w:val="20"/>
          <w:szCs w:val="20"/>
          <w:color w:val="auto"/>
        </w:rPr>
      </w:pPr>
      <w:r>
        <w:rPr>
          <w:rFonts w:ascii="Courier New" w:cs="Courier New" w:eastAsia="Courier New" w:hAnsi="Courier New"/>
          <w:sz w:val="18"/>
          <w:szCs w:val="18"/>
          <w:color w:val="auto"/>
        </w:rPr>
        <w:t>454</w:t>
      </w:r>
    </w:p>
    <w:p>
      <w:pPr>
        <w:ind w:left="4180"/>
        <w:spacing w:after="0" w:line="237" w:lineRule="auto"/>
        <w:rPr>
          <w:sz w:val="20"/>
          <w:szCs w:val="20"/>
          <w:color w:val="auto"/>
        </w:rPr>
      </w:pPr>
      <w:r>
        <w:rPr>
          <w:rFonts w:ascii="Courier New" w:cs="Courier New" w:eastAsia="Courier New" w:hAnsi="Courier New"/>
          <w:sz w:val="18"/>
          <w:szCs w:val="18"/>
          <w:color w:val="auto"/>
        </w:rPr>
        <w:t>35</w:t>
      </w:r>
    </w:p>
    <w:p>
      <w:pPr>
        <w:ind w:left="4180"/>
        <w:spacing w:after="0"/>
        <w:rPr>
          <w:sz w:val="20"/>
          <w:szCs w:val="20"/>
          <w:color w:val="auto"/>
        </w:rPr>
      </w:pPr>
      <w:r>
        <w:rPr>
          <w:rFonts w:ascii="Courier New" w:cs="Courier New" w:eastAsia="Courier New" w:hAnsi="Courier New"/>
          <w:sz w:val="18"/>
          <w:szCs w:val="18"/>
          <w:color w:val="auto"/>
        </w:rPr>
        <w:t>294</w:t>
      </w:r>
    </w:p>
    <w:p>
      <w:pPr>
        <w:ind w:left="3440"/>
        <w:spacing w:after="0" w:line="237" w:lineRule="auto"/>
        <w:rPr>
          <w:sz w:val="20"/>
          <w:szCs w:val="20"/>
          <w:color w:val="auto"/>
        </w:rPr>
      </w:pPr>
      <w:r>
        <w:rPr>
          <w:rFonts w:ascii="Courier New" w:cs="Courier New" w:eastAsia="Courier New" w:hAnsi="Courier New"/>
          <w:sz w:val="18"/>
          <w:szCs w:val="18"/>
          <w:color w:val="auto"/>
        </w:rPr>
        <w:t>1,213</w:t>
      </w:r>
    </w:p>
    <w:p>
      <w:pPr>
        <w:ind w:left="4500"/>
        <w:spacing w:after="0"/>
        <w:rPr>
          <w:sz w:val="20"/>
          <w:szCs w:val="20"/>
          <w:color w:val="auto"/>
        </w:rPr>
      </w:pPr>
      <w:r>
        <w:rPr>
          <w:rFonts w:ascii="Courier New" w:cs="Courier New" w:eastAsia="Courier New" w:hAnsi="Courier New"/>
          <w:sz w:val="18"/>
          <w:szCs w:val="18"/>
          <w:color w:val="auto"/>
        </w:rPr>
        <w:t>3,039</w:t>
      </w:r>
    </w:p>
    <w:p>
      <w:pPr>
        <w:ind w:left="3860"/>
        <w:spacing w:after="0" w:line="237" w:lineRule="auto"/>
        <w:rPr>
          <w:sz w:val="20"/>
          <w:szCs w:val="20"/>
          <w:color w:val="auto"/>
        </w:rPr>
      </w:pPr>
      <w:r>
        <w:rPr>
          <w:rFonts w:ascii="Courier New" w:cs="Courier New" w:eastAsia="Courier New" w:hAnsi="Courier New"/>
          <w:sz w:val="18"/>
          <w:szCs w:val="18"/>
          <w:color w:val="auto"/>
        </w:rPr>
        <w:t>720</w:t>
      </w:r>
    </w:p>
    <w:p>
      <w:pPr>
        <w:ind w:left="3660"/>
        <w:spacing w:after="0" w:line="238" w:lineRule="auto"/>
        <w:rPr>
          <w:sz w:val="20"/>
          <w:szCs w:val="20"/>
          <w:color w:val="auto"/>
        </w:rPr>
      </w:pPr>
      <w:r>
        <w:rPr>
          <w:rFonts w:ascii="Courier New" w:cs="Courier New" w:eastAsia="Courier New" w:hAnsi="Courier New"/>
          <w:sz w:val="18"/>
          <w:szCs w:val="18"/>
          <w:color w:val="auto"/>
        </w:rPr>
        <w:t>3,642</w:t>
      </w:r>
    </w:p>
    <w:p>
      <w:pPr>
        <w:ind w:left="3120"/>
        <w:spacing w:after="0"/>
        <w:rPr>
          <w:sz w:val="20"/>
          <w:szCs w:val="20"/>
          <w:color w:val="auto"/>
        </w:rPr>
      </w:pPr>
      <w:r>
        <w:rPr>
          <w:rFonts w:ascii="Courier New" w:cs="Courier New" w:eastAsia="Courier New" w:hAnsi="Courier New"/>
          <w:sz w:val="18"/>
          <w:szCs w:val="18"/>
          <w:color w:val="auto"/>
        </w:rPr>
        <w:t>850</w:t>
      </w:r>
    </w:p>
    <w:p>
      <w:pPr>
        <w:ind w:left="4600"/>
        <w:spacing w:after="0" w:line="237" w:lineRule="auto"/>
        <w:rPr>
          <w:sz w:val="20"/>
          <w:szCs w:val="20"/>
          <w:color w:val="auto"/>
        </w:rPr>
      </w:pPr>
      <w:r>
        <w:rPr>
          <w:rFonts w:ascii="Courier New" w:cs="Courier New" w:eastAsia="Courier New" w:hAnsi="Courier New"/>
          <w:sz w:val="18"/>
          <w:szCs w:val="18"/>
          <w:color w:val="auto"/>
        </w:rPr>
        <w:t>144</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21</w:t>
      </w:r>
    </w:p>
    <w:p>
      <w:pPr>
        <w:ind w:left="4080"/>
        <w:spacing w:after="0" w:line="237" w:lineRule="auto"/>
        <w:rPr>
          <w:sz w:val="20"/>
          <w:szCs w:val="20"/>
          <w:color w:val="auto"/>
        </w:rPr>
      </w:pPr>
      <w:r>
        <w:rPr>
          <w:rFonts w:ascii="Courier New" w:cs="Courier New" w:eastAsia="Courier New" w:hAnsi="Courier New"/>
          <w:sz w:val="18"/>
          <w:szCs w:val="18"/>
          <w:color w:val="auto"/>
        </w:rPr>
        <w:t>2,393</w:t>
      </w:r>
    </w:p>
    <w:p>
      <w:pPr>
        <w:ind w:left="2180"/>
        <w:spacing w:after="0" w:line="238" w:lineRule="auto"/>
        <w:rPr>
          <w:sz w:val="20"/>
          <w:szCs w:val="20"/>
          <w:color w:val="auto"/>
        </w:rPr>
      </w:pPr>
      <w:r>
        <w:rPr>
          <w:rFonts w:ascii="Courier New" w:cs="Courier New" w:eastAsia="Courier New" w:hAnsi="Courier New"/>
          <w:sz w:val="18"/>
          <w:szCs w:val="18"/>
          <w:color w:val="auto"/>
        </w:rPr>
        <w:t>3,642</w:t>
      </w:r>
    </w:p>
    <w:p>
      <w:pPr>
        <w:ind w:left="4400"/>
        <w:spacing w:after="0"/>
        <w:rPr>
          <w:sz w:val="20"/>
          <w:szCs w:val="20"/>
          <w:color w:val="auto"/>
        </w:rPr>
      </w:pPr>
      <w:r>
        <w:rPr>
          <w:rFonts w:ascii="Courier New" w:cs="Courier New" w:eastAsia="Courier New" w:hAnsi="Courier New"/>
          <w:sz w:val="18"/>
          <w:szCs w:val="18"/>
          <w:color w:val="auto"/>
        </w:rPr>
        <w:t>2,182</w:t>
      </w:r>
    </w:p>
    <w:p>
      <w:pPr>
        <w:ind w:left="3440"/>
        <w:spacing w:after="0" w:line="237" w:lineRule="auto"/>
        <w:rPr>
          <w:sz w:val="20"/>
          <w:szCs w:val="20"/>
          <w:color w:val="auto"/>
        </w:rPr>
      </w:pPr>
      <w:r>
        <w:rPr>
          <w:rFonts w:ascii="Courier New" w:cs="Courier New" w:eastAsia="Courier New" w:hAnsi="Courier New"/>
          <w:sz w:val="18"/>
          <w:szCs w:val="18"/>
          <w:color w:val="auto"/>
        </w:rPr>
        <w:t>2,182</w:t>
      </w:r>
    </w:p>
    <w:p>
      <w:pPr>
        <w:jc w:val="center"/>
        <w:ind w:right="439"/>
        <w:spacing w:after="0"/>
        <w:rPr>
          <w:sz w:val="20"/>
          <w:szCs w:val="20"/>
          <w:color w:val="auto"/>
        </w:rPr>
      </w:pPr>
      <w:r>
        <w:rPr>
          <w:rFonts w:ascii="Courier New" w:cs="Courier New" w:eastAsia="Courier New" w:hAnsi="Courier New"/>
          <w:sz w:val="18"/>
          <w:szCs w:val="18"/>
          <w:color w:val="auto"/>
        </w:rPr>
        <w:t>1,090</w:t>
      </w:r>
    </w:p>
    <w:p>
      <w:pPr>
        <w:ind w:left="3760"/>
        <w:spacing w:after="0" w:line="237" w:lineRule="auto"/>
        <w:rPr>
          <w:sz w:val="20"/>
          <w:szCs w:val="20"/>
          <w:color w:val="auto"/>
        </w:rPr>
      </w:pPr>
      <w:r>
        <w:rPr>
          <w:rFonts w:ascii="Courier New" w:cs="Courier New" w:eastAsia="Courier New" w:hAnsi="Courier New"/>
          <w:sz w:val="18"/>
          <w:szCs w:val="18"/>
          <w:color w:val="auto"/>
        </w:rPr>
        <w:t>1,361</w:t>
      </w:r>
    </w:p>
    <w:p>
      <w:pPr>
        <w:ind w:left="386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(13)</w:t>
      </w:r>
    </w:p>
    <w:p>
      <w:pPr>
        <w:ind w:left="3760"/>
        <w:spacing w:after="0" w:line="237" w:lineRule="auto"/>
        <w:rPr>
          <w:sz w:val="20"/>
          <w:szCs w:val="20"/>
          <w:color w:val="auto"/>
        </w:rPr>
      </w:pPr>
      <w:r>
        <w:rPr>
          <w:rFonts w:ascii="Courier New" w:cs="Courier New" w:eastAsia="Courier New" w:hAnsi="Courier New"/>
          <w:sz w:val="18"/>
          <w:szCs w:val="18"/>
          <w:color w:val="auto"/>
        </w:rPr>
        <w:t>834</w:t>
      </w:r>
    </w:p>
    <w:p>
      <w:pPr>
        <w:ind w:left="4080"/>
        <w:spacing w:after="0" w:line="238" w:lineRule="auto"/>
        <w:rPr>
          <w:sz w:val="20"/>
          <w:szCs w:val="20"/>
          <w:color w:val="auto"/>
        </w:rPr>
      </w:pPr>
      <w:r>
        <w:rPr>
          <w:rFonts w:ascii="Courier New" w:cs="Courier New" w:eastAsia="Courier New" w:hAnsi="Courier New"/>
          <w:sz w:val="18"/>
          <w:szCs w:val="18"/>
          <w:color w:val="auto"/>
        </w:rPr>
        <w:t>317</w:t>
      </w:r>
    </w:p>
    <w:p>
      <w:pPr>
        <w:ind w:left="354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4080"/>
        <w:spacing w:after="0"/>
        <w:rPr>
          <w:sz w:val="20"/>
          <w:szCs w:val="20"/>
          <w:color w:val="auto"/>
        </w:rPr>
      </w:pPr>
      <w:r>
        <w:rPr>
          <w:rFonts w:ascii="Courier New" w:cs="Courier New" w:eastAsia="Courier New" w:hAnsi="Courier New"/>
          <w:sz w:val="18"/>
          <w:szCs w:val="18"/>
          <w:color w:val="auto"/>
        </w:rPr>
        <w:t>517</w:t>
      </w:r>
    </w:p>
    <w:p>
      <w:pPr>
        <w:ind w:left="3860"/>
        <w:spacing w:after="0" w:line="237" w:lineRule="auto"/>
        <w:rPr>
          <w:sz w:val="20"/>
          <w:szCs w:val="20"/>
          <w:color w:val="auto"/>
        </w:rPr>
      </w:pPr>
      <w:r>
        <w:rPr>
          <w:rFonts w:ascii="Courier New" w:cs="Courier New" w:eastAsia="Courier New" w:hAnsi="Courier New"/>
          <w:sz w:val="18"/>
          <w:szCs w:val="18"/>
          <w:color w:val="auto"/>
        </w:rPr>
        <w:t>2.39</w:t>
      </w:r>
    </w:p>
    <w:p>
      <w:pPr>
        <w:ind w:left="3860"/>
        <w:spacing w:after="0" w:line="238" w:lineRule="auto"/>
        <w:rPr>
          <w:sz w:val="20"/>
          <w:szCs w:val="20"/>
          <w:color w:val="auto"/>
        </w:rPr>
      </w:pPr>
      <w:r>
        <w:rPr>
          <w:rFonts w:ascii="Courier New" w:cs="Courier New" w:eastAsia="Courier New" w:hAnsi="Courier New"/>
          <w:sz w:val="18"/>
          <w:szCs w:val="18"/>
          <w:color w:val="auto"/>
        </w:rPr>
        <w:t>2.39</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upperLetter"/>
      <w:start w:val="24"/>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7"/>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9"/>
    </w:lvl>
  </w:abstractNum>
  <w:abstractNum w:abstractNumId="6">
    <w:nsid w:val="1E7FF521"/>
    <w:multiLevelType w:val="hybridMultilevel"/>
    <w:lvl w:ilvl="0">
      <w:lvlJc w:val="left"/>
      <w:lvlText w:val="%1."/>
      <w:numFmt w:val="decimal"/>
      <w:start w:val="10"/>
    </w:lvl>
  </w:abstractNum>
  <w:abstractNum w:abstractNumId="7">
    <w:nsid w:val="7C3DBD3D"/>
    <w:multiLevelType w:val="hybridMultilevel"/>
    <w:lvl w:ilvl="0">
      <w:lvlJc w:val="left"/>
      <w:lvlText w:val="%1."/>
      <w:numFmt w:val="decimal"/>
      <w:start w:val="11"/>
    </w:lvl>
  </w:abstractNum>
  <w:abstractNum w:abstractNumId="8">
    <w:nsid w:val="737B8DDC"/>
    <w:multiLevelType w:val="hybridMultilevel"/>
    <w:lvl w:ilvl="0">
      <w:lvlJc w:val="left"/>
      <w:lvlText w:val="%1."/>
      <w:numFmt w:val="decimal"/>
      <w:start w:val="12"/>
    </w:lvl>
  </w:abstractNum>
  <w:abstractNum w:abstractNumId="9">
    <w:nsid w:val="6CEAF087"/>
    <w:multiLevelType w:val="hybridMultilevel"/>
    <w:lvl w:ilvl="0">
      <w:lvlJc w:val="left"/>
      <w:lvlText w:val="(%1)"/>
      <w:numFmt w:val="lowerLetter"/>
      <w:start w:val="1"/>
    </w:lvl>
  </w:abstractNum>
  <w:abstractNum w:abstractNumId="10">
    <w:nsid w:val="22221A70"/>
    <w:multiLevelType w:val="hybridMultilevel"/>
    <w:lvl w:ilvl="0">
      <w:lvlJc w:val="left"/>
      <w:lvlText w:val="(%1)"/>
      <w:numFmt w:val="lowerLetter"/>
      <w:start w:val="2"/>
    </w:lvl>
  </w:abstractNum>
  <w:abstractNum w:abstractNumId="11">
    <w:nsid w:val="4516DDE9"/>
    <w:multiLevelType w:val="hybridMultilevel"/>
    <w:lvl w:ilvl="0">
      <w:lvlJc w:val="left"/>
      <w:lvlText w:val="%1"/>
      <w:numFmt w:val="decimal"/>
      <w:start w:val="11"/>
    </w:lvl>
  </w:abstractNum>
  <w:abstractNum w:abstractNumId="12">
    <w:nsid w:val="3006C83E"/>
    <w:multiLevelType w:val="hybridMultilevel"/>
    <w:lvl w:ilvl="0">
      <w:lvlJc w:val="left"/>
      <w:lvlText w:val="(%1)"/>
      <w:numFmt w:val="lowerLetter"/>
      <w:start w:val="2"/>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3"/>
    </w:lvl>
  </w:abstractNum>
  <w:abstractNum w:abstractNumId="15">
    <w:nsid w:val="5577F8E1"/>
    <w:multiLevelType w:val="hybridMultilevel"/>
    <w:lvl w:ilvl="0">
      <w:lvlJc w:val="left"/>
      <w:lvlText w:val="-"/>
      <w:numFmt w:val="bullet"/>
      <w:start w:val="1"/>
    </w:lvl>
    <w:lvl w:ilvl="1">
      <w:lvlJc w:val="left"/>
      <w:lvlText w:val="%2."/>
      <w:numFmt w:val="decimal"/>
      <w:start w:val="4"/>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lvl w:ilvl="1">
      <w:lvlJc w:val="left"/>
      <w:lvlText w:val="%2."/>
      <w:numFmt w:val="decimal"/>
      <w:start w:val="3"/>
    </w:lvl>
  </w:abstractNum>
  <w:abstractNum w:abstractNumId="18">
    <w:nsid w:val="3804823E"/>
    <w:multiLevelType w:val="hybridMultilevel"/>
    <w:lvl w:ilvl="0">
      <w:lvlJc w:val="left"/>
      <w:lvlText w:val="(%1)"/>
      <w:numFmt w:val="lowerLetter"/>
      <w:start w:val="2"/>
    </w:lvl>
  </w:abstractNum>
  <w:abstractNum w:abstractNumId="19">
    <w:nsid w:val="77465F01"/>
    <w:multiLevelType w:val="hybridMultilevel"/>
    <w:lvl w:ilvl="0">
      <w:lvlJc w:val="left"/>
      <w:lvlText w:val="(%1)"/>
      <w:numFmt w:val="lowerRoman"/>
      <w:start w:val="1"/>
    </w:lvl>
  </w:abstractNum>
  <w:abstractNum w:abstractNumId="20">
    <w:nsid w:val="7724C67E"/>
    <w:multiLevelType w:val="hybridMultilevel"/>
    <w:lvl w:ilvl="0">
      <w:lvlJc w:val="left"/>
      <w:lvlText w:val="%1"/>
      <w:numFmt w:val="lowerLetter"/>
      <w:start w:val="1"/>
    </w:lvl>
    <w:lvl w:ilvl="1">
      <w:lvlJc w:val="left"/>
      <w:lvlText w:val="(%2)"/>
      <w:numFmt w:val="lowerLetter"/>
      <w:start w:val="2"/>
    </w:lvl>
  </w:abstractNum>
  <w:abstractNum w:abstractNumId="21">
    <w:nsid w:val="5C482A97"/>
    <w:multiLevelType w:val="hybridMultilevel"/>
    <w:lvl w:ilvl="0">
      <w:lvlJc w:val="left"/>
      <w:lvlText w:val="(%1)"/>
      <w:numFmt w:val="lowerLetter"/>
      <w:start w:val="35"/>
    </w:lvl>
    <w:lvl w:ilvl="1">
      <w:lvlJc w:val="left"/>
      <w:lvlText w:val="(%2)"/>
      <w:numFmt w:val="lowerLetter"/>
      <w:start w:val="3"/>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2"/>
    </w:lvl>
  </w:abstractNum>
  <w:abstractNum w:abstractNumId="24">
    <w:nsid w:val="51EAD36B"/>
    <w:multiLevelType w:val="hybridMultilevel"/>
    <w:lvl w:ilvl="0">
      <w:lvlJc w:val="left"/>
      <w:lvlText w:val="(%1)"/>
      <w:numFmt w:val="lowerLetter"/>
      <w:start w:val="3"/>
    </w:lvl>
  </w:abstractNum>
  <w:abstractNum w:abstractNumId="25">
    <w:nsid w:val="2D517796"/>
    <w:multiLevelType w:val="hybridMultilevel"/>
    <w:lvl w:ilvl="0">
      <w:lvlJc w:val="left"/>
      <w:lvlText w:val="(%1)"/>
      <w:numFmt w:val="lowerLetter"/>
      <w:start w:val="2"/>
    </w:lvl>
  </w:abstractNum>
  <w:abstractNum w:abstractNumId="26">
    <w:nsid w:val="580BD78F"/>
    <w:multiLevelType w:val="hybridMultilevel"/>
    <w:lvl w:ilvl="0">
      <w:lvlJc w:val="left"/>
      <w:lvlText w:val="(%1)"/>
      <w:numFmt w:val="lowerLetter"/>
      <w:start w:val="2"/>
    </w:lvl>
  </w:abstractNum>
  <w:abstractNum w:abstractNumId="27">
    <w:nsid w:val="153EA438"/>
    <w:multiLevelType w:val="hybridMultilevel"/>
    <w:lvl w:ilvl="0">
      <w:lvlJc w:val="left"/>
      <w:lvlText w:val="(%1)"/>
      <w:numFmt w:val="lowerRoman"/>
      <w:start w:val="1"/>
    </w:lvl>
  </w:abstractNum>
  <w:abstractNum w:abstractNumId="28">
    <w:nsid w:val="3855585C"/>
    <w:multiLevelType w:val="hybridMultilevel"/>
    <w:lvl w:ilvl="0">
      <w:lvlJc w:val="left"/>
      <w:lvlText w:val="(%1)"/>
      <w:numFmt w:val="lowerLetter"/>
      <w:start w:val="1"/>
    </w:lvl>
  </w:abstractNum>
  <w:abstractNum w:abstractNumId="29">
    <w:nsid w:val="70A64E2A"/>
    <w:multiLevelType w:val="hybridMultilevel"/>
    <w:lvl w:ilvl="0">
      <w:lvlJc w:val="left"/>
      <w:lvlText w:val="(%1)"/>
      <w:numFmt w:val="lowerLetter"/>
      <w:start w:val="8"/>
    </w:lvl>
  </w:abstractNum>
  <w:abstractNum w:abstractNumId="30">
    <w:nsid w:val="6A2342EC"/>
    <w:multiLevelType w:val="hybridMultilevel"/>
    <w:lvl w:ilvl="0">
      <w:lvlJc w:val="left"/>
      <w:lvlText w:val="(%1)"/>
      <w:numFmt w:val="lowerLetter"/>
      <w:start w:val="1"/>
    </w:lvl>
  </w:abstractNum>
  <w:abstractNum w:abstractNumId="31">
    <w:nsid w:val="2A487CB0"/>
    <w:multiLevelType w:val="hybridMultilevel"/>
    <w:lvl w:ilvl="0">
      <w:lvlJc w:val="left"/>
      <w:lvlText w:val="(%1)"/>
      <w:numFmt w:val="lowerLetter"/>
      <w:start w:val="2"/>
    </w:lvl>
  </w:abstractNum>
  <w:abstractNum w:abstractNumId="32">
    <w:nsid w:val="1D4ED43B"/>
    <w:multiLevelType w:val="hybridMultilevel"/>
    <w:lvl w:ilvl="0">
      <w:lvlJc w:val="left"/>
      <w:lvlText w:val="(%1)"/>
      <w:numFmt w:val="lowerLetter"/>
      <w:start w:val="2"/>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lowerLetter"/>
      <w:start w:val="3"/>
    </w:lvl>
  </w:abstractNum>
  <w:abstractNum w:abstractNumId="35">
    <w:nsid w:val="57E4CCAF"/>
    <w:multiLevelType w:val="hybridMultilevel"/>
    <w:lvl w:ilvl="0">
      <w:lvlJc w:val="left"/>
      <w:lvlText w:val="(%1)"/>
      <w:numFmt w:val="lowerLetter"/>
      <w:start w:val="61"/>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decimal"/>
      <w:start w:val="2"/>
    </w:lvl>
    <w:lvl w:ilvl="1">
      <w:lvlJc w:val="left"/>
      <w:lvlText w:val="(%2)"/>
      <w:numFmt w:val="lowerLetter"/>
      <w:start w:val="1"/>
    </w:lvl>
  </w:abstractNum>
  <w:abstractNum w:abstractNumId="41">
    <w:nsid w:val="7644A45C"/>
    <w:multiLevelType w:val="hybridMultilevel"/>
    <w:lvl w:ilvl="0">
      <w:lvlJc w:val="left"/>
      <w:lvlText w:val="%1"/>
      <w:numFmt w:val="decimal"/>
      <w:start w:val="1"/>
    </w:lvl>
    <w:lvl w:ilvl="1">
      <w:lvlJc w:val="left"/>
      <w:lvlText w:val="(%2)"/>
      <w:numFmt w:val="lowerLetter"/>
      <w:start w:val="4"/>
    </w:lvl>
  </w:abstractNum>
  <w:abstractNum w:abstractNumId="42">
    <w:nsid w:val="32FFF902"/>
    <w:multiLevelType w:val="hybridMultilevel"/>
    <w:lvl w:ilvl="0">
      <w:lvlJc w:val="left"/>
      <w:lvlText w:val="%1."/>
      <w:numFmt w:val="decimal"/>
      <w:start w:val="3"/>
    </w:lvl>
    <w:lvl w:ilvl="1">
      <w:lvlJc w:val="left"/>
      <w:lvlText w:val="%2"/>
      <w:numFmt w:val="lowerLetter"/>
      <w:start w:val="1"/>
    </w:lvl>
  </w:abstractNum>
  <w:abstractNum w:abstractNumId="43">
    <w:nsid w:val="684A481A"/>
    <w:multiLevelType w:val="hybridMultilevel"/>
    <w:lvl w:ilvl="0">
      <w:lvlJc w:val="left"/>
      <w:lvlText w:val="%1"/>
      <w:numFmt w:val="lowerLetter"/>
      <w:start w:val="1"/>
    </w:lvl>
    <w:lvl w:ilvl="1">
      <w:lvlJc w:val="left"/>
      <w:lvlText w:val="(%2)"/>
      <w:numFmt w:val="lowerLetter"/>
      <w:start w:val="1"/>
    </w:lvl>
  </w:abstractNum>
  <w:abstractNum w:abstractNumId="44">
    <w:nsid w:val="579478FE"/>
    <w:multiLevelType w:val="hybridMultilevel"/>
    <w:lvl w:ilvl="0">
      <w:lvlJc w:val="left"/>
      <w:lvlText w:val="(%1)"/>
      <w:numFmt w:val="lowerLetter"/>
      <w:start w:val="35"/>
    </w:lvl>
    <w:lvl w:ilvl="1">
      <w:lvlJc w:val="left"/>
      <w:lvlText w:val="(%2)"/>
      <w:numFmt w:val="lowerLetter"/>
      <w:start w:val="4"/>
    </w:lvl>
  </w:abstractNum>
  <w:abstractNum w:abstractNumId="45">
    <w:nsid w:val="749ABB43"/>
    <w:multiLevelType w:val="hybridMultilevel"/>
    <w:lvl w:ilvl="0">
      <w:lvlJc w:val="left"/>
      <w:lvlText w:val="(%1)"/>
      <w:numFmt w:val="lowerLetter"/>
      <w:start w:val="5"/>
    </w:lvl>
  </w:abstractNum>
  <w:abstractNum w:abstractNumId="46">
    <w:nsid w:val="3DC240FB"/>
    <w:multiLevelType w:val="hybridMultilevel"/>
    <w:lvl w:ilvl="0">
      <w:lvlJc w:val="left"/>
      <w:lvlText w:val="(%1)"/>
      <w:numFmt w:val="lowerLetter"/>
      <w:start w:val="8"/>
    </w:lvl>
    <w:lvl w:ilvl="1">
      <w:lvlJc w:val="left"/>
      <w:lvlText w:val="(%2)"/>
      <w:numFmt w:val="upperLetter"/>
      <w:start w:val="1"/>
    </w:lvl>
    <w:lvl w:ilvl="2">
      <w:lvlJc w:val="left"/>
      <w:lvlText w:val="(%3)"/>
      <w:numFmt w:val="upperLetter"/>
      <w:start w:val="3"/>
    </w:lvl>
  </w:abstractNum>
  <w:abstractNum w:abstractNumId="47">
    <w:nsid w:val="1BA026FA"/>
    <w:multiLevelType w:val="hybridMultilevel"/>
    <w:lvl w:ilvl="0">
      <w:lvlJc w:val="left"/>
      <w:lvlText w:val="(%1)"/>
      <w:numFmt w:val="lowerRoman"/>
      <w:start w:val="3"/>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2019-12-13T13:02:56Z</dcterms:created>
  <dcterms:modified xsi:type="dcterms:W3CDTF">2019-12-13T13:02:56Z</dcterms:modified>
</cp:coreProperties>
</file>