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260350</wp:posOffset>
            </wp:positionH>
            <wp:positionV relativeFrom="page">
              <wp:posOffset>706120</wp:posOffset>
            </wp:positionV>
            <wp:extent cx="70408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732155</wp:posOffset>
            </wp:positionV>
            <wp:extent cx="70408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8890"/>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60"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1740" w:hanging="955"/>
        <w:spacing w:after="0"/>
        <w:tabs>
          <w:tab w:leader="none" w:pos="1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IF 1934</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720" w:hanging="942"/>
        <w:spacing w:after="0"/>
        <w:tabs>
          <w:tab w:leader="none" w:pos="1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1232" w:right="239" w:bottom="1440" w:gutter="0" w:footer="0" w:header="0"/>
        </w:sectPr>
      </w:pPr>
    </w:p>
    <w:p>
      <w:pPr>
        <w:spacing w:after="0" w:line="13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39" w:lineRule="exact"/>
        <w:rPr>
          <w:sz w:val="24"/>
          <w:szCs w:val="24"/>
          <w:color w:val="auto"/>
        </w:rPr>
      </w:pPr>
    </w:p>
    <w:p>
      <w:pPr>
        <w:sectPr>
          <w:pgSz w:w="11900" w:h="16838" w:orient="portrait"/>
          <w:cols w:equalWidth="0" w:num="2">
            <w:col w:w="6600" w:space="600"/>
            <w:col w:w="4220"/>
          </w:cols>
          <w:pgMar w:left="240" w:top="123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55880</wp:posOffset>
            </wp:positionV>
            <wp:extent cx="152654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411480"/>
                    </a:xfrm>
                    <a:prstGeom prst="rect">
                      <a:avLst/>
                    </a:prstGeom>
                    <a:noFill/>
                  </pic:spPr>
                </pic:pic>
              </a:graphicData>
            </a:graphic>
          </wp:anchor>
        </w:drawing>
      </w:r>
    </w:p>
    <w:p>
      <w:pPr>
        <w:sectPr>
          <w:pgSz w:w="11900" w:h="16838" w:orient="portrait"/>
          <w:cols w:equalWidth="0" w:num="1">
            <w:col w:w="11420"/>
          </w:cols>
          <w:pgMar w:left="240" w:top="123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Delaware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9"/>
              </w:rPr>
              <w:t>75-1618004</w:t>
            </w:r>
          </w:p>
        </w:tc>
      </w:tr>
      <w:tr>
        <w:trPr>
          <w:trHeight w:val="247"/>
        </w:trPr>
        <w:tc>
          <w:tcPr>
            <w:tcW w:w="50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45"/>
        </w:trPr>
        <w:tc>
          <w:tcPr>
            <w:tcW w:w="5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8000 S. Federal Way, Boise, Idaho</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9"/>
              </w:rPr>
              <w:t>83716-9632</w:t>
            </w:r>
          </w:p>
        </w:tc>
      </w:tr>
      <w:tr>
        <w:trPr>
          <w:trHeight w:val="241"/>
        </w:trPr>
        <w:tc>
          <w:tcPr>
            <w:tcW w:w="50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(Address of principal executive offices)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258"/>
        </w:trPr>
        <w:tc>
          <w:tcPr>
            <w:tcW w:w="5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Registrant’s telephone number, including area code</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(208) 368-4000</w:t>
            </w:r>
          </w:p>
        </w:tc>
      </w:tr>
      <w:tr>
        <w:trPr>
          <w:trHeight w:val="257"/>
        </w:trPr>
        <w:tc>
          <w:tcPr>
            <w:tcW w:w="50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65"/>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23"/>
                <w:szCs w:val="2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23"/>
                <w:szCs w:val="23"/>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1"/>
        </w:trPr>
        <w:tc>
          <w:tcPr>
            <w:tcW w:w="5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MU</w:t>
            </w: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52" w:lineRule="exact"/>
        <w:rPr>
          <w:sz w:val="24"/>
          <w:szCs w:val="24"/>
          <w:color w:val="auto"/>
        </w:rPr>
      </w:pPr>
    </w:p>
    <w:p>
      <w:pPr>
        <w:ind w:right="60"/>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39" w:lineRule="exact"/>
        <w:rPr>
          <w:sz w:val="24"/>
          <w:szCs w:val="24"/>
          <w:color w:val="auto"/>
        </w:rPr>
      </w:pPr>
    </w:p>
    <w:p>
      <w:pPr>
        <w:ind w:right="180"/>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28"/>
        </w:trPr>
        <w:tc>
          <w:tcPr>
            <w:tcW w:w="2000" w:type="dxa"/>
            <w:vAlign w:val="bottom"/>
          </w:tcPr>
          <w:p>
            <w:pPr>
              <w:jc w:val="center"/>
              <w:ind w:right="234"/>
              <w:spacing w:after="0"/>
              <w:rPr>
                <w:sz w:val="20"/>
                <w:szCs w:val="20"/>
                <w:color w:val="auto"/>
              </w:rPr>
            </w:pPr>
            <w:r>
              <w:rPr>
                <w:rFonts w:ascii="Arial" w:cs="Arial" w:eastAsia="Arial" w:hAnsi="Arial"/>
                <w:sz w:val="16"/>
                <w:szCs w:val="16"/>
                <w:color w:val="auto"/>
              </w:rPr>
              <w:t>Large Accelerated Filer</w:t>
            </w:r>
          </w:p>
        </w:tc>
        <w:tc>
          <w:tcPr>
            <w:tcW w:w="18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140" w:type="dxa"/>
            <w:vAlign w:val="bottom"/>
          </w:tcPr>
          <w:p>
            <w:pPr>
              <w:jc w:val="center"/>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260" w:type="dxa"/>
            <w:vAlign w:val="bottom"/>
          </w:tcPr>
          <w:p>
            <w:pPr>
              <w:jc w:val="center"/>
              <w:ind w:left="174"/>
              <w:spacing w:after="0"/>
              <w:rPr>
                <w:sz w:val="20"/>
                <w:szCs w:val="20"/>
                <w:color w:val="auto"/>
              </w:rPr>
            </w:pPr>
            <w:r>
              <w:rPr>
                <w:rFonts w:ascii="Arial" w:cs="Arial" w:eastAsia="Arial" w:hAnsi="Arial"/>
                <w:sz w:val="16"/>
                <w:szCs w:val="16"/>
                <w:color w:val="auto"/>
              </w:rPr>
              <w:t>Emerging Growth Company</w:t>
            </w:r>
          </w:p>
        </w:tc>
      </w:tr>
      <w:tr>
        <w:trPr>
          <w:trHeight w:val="283"/>
        </w:trPr>
        <w:tc>
          <w:tcPr>
            <w:tcW w:w="2000" w:type="dxa"/>
            <w:vAlign w:val="bottom"/>
          </w:tcPr>
          <w:p>
            <w:pPr>
              <w:jc w:val="center"/>
              <w:ind w:right="234"/>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Pr>
          <w:p>
            <w:pPr>
              <w:jc w:val="center"/>
              <w:ind w:left="174"/>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27" w:lineRule="exact"/>
        <w:rPr>
          <w:sz w:val="24"/>
          <w:szCs w:val="24"/>
          <w:color w:val="auto"/>
        </w:rPr>
      </w:pPr>
    </w:p>
    <w:p>
      <w:pPr>
        <w:jc w:val="both"/>
        <w:ind w:right="260"/>
        <w:spacing w:after="0" w:line="292"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7" w:lineRule="exact"/>
        <w:rPr>
          <w:sz w:val="24"/>
          <w:szCs w:val="24"/>
          <w:color w:val="auto"/>
        </w:rPr>
      </w:pPr>
    </w:p>
    <w:p>
      <w:pPr>
        <w:jc w:val="right"/>
        <w:spacing w:after="0" w:line="207"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8"/>
          <w:szCs w:val="18"/>
          <w:color w:val="auto"/>
        </w:rPr>
        <w:t>☐</w:t>
      </w:r>
      <w:r>
        <w:rPr>
          <w:rFonts w:ascii="Arial" w:cs="Arial" w:eastAsia="Arial" w:hAnsi="Arial"/>
          <w:sz w:val="17"/>
          <w:szCs w:val="17"/>
          <w:color w:val="auto"/>
        </w:rPr>
        <w:t xml:space="preserve"> No x</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outstanding shares of the registrant's common stock as of December 13, 2019 was 1,110,873,554.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1064260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82550</wp:posOffset>
            </wp:positionV>
            <wp:extent cx="7040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107950</wp:posOffset>
            </wp:positionV>
            <wp:extent cx="7040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ectPr>
          <w:pgSz w:w="11900" w:h="16838" w:orient="portrait"/>
          <w:cols w:equalWidth="0" w:num="1">
            <w:col w:w="11420"/>
          </w:cols>
          <w:pgMar w:left="240" w:top="1232" w:right="239" w:bottom="1440" w:gutter="0" w:footer="0" w:header="0"/>
          <w:type w:val="continuous"/>
        </w:sectPr>
      </w:pPr>
    </w:p>
    <w:bookmarkStart w:id="1" w:name="page2"/>
    <w:bookmarkEnd w:id="1"/>
    <w:p>
      <w:pPr>
        <w:spacing w:after="0" w:line="2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2529840" cy="2152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2152650"/>
                    </a:xfrm>
                    <a:prstGeom prst="rect">
                      <a:avLst/>
                    </a:prstGeom>
                    <a:noFill/>
                  </pic:spPr>
                </pic:pic>
              </a:graphicData>
            </a:graphic>
          </wp:anchor>
        </w:drawing>
      </w:r>
    </w:p>
    <w:p>
      <w:pPr>
        <w:ind w:left="212" w:right="420"/>
        <w:spacing w:after="0" w:line="268" w:lineRule="auto"/>
        <w:rPr>
          <w:sz w:val="20"/>
          <w:szCs w:val="20"/>
          <w:color w:val="auto"/>
        </w:rPr>
      </w:pPr>
      <w:r>
        <w:rPr>
          <w:rFonts w:ascii="Arial" w:cs="Arial" w:eastAsia="Arial" w:hAnsi="Arial"/>
          <w:sz w:val="64"/>
          <w:szCs w:val="64"/>
          <w:b w:val="1"/>
          <w:bCs w:val="1"/>
          <w:color w:val="FFFFFF"/>
        </w:rPr>
        <w:t>Micron 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529840" cy="5145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5145405"/>
                    </a:xfrm>
                    <a:prstGeom prst="rect">
                      <a:avLst/>
                    </a:prstGeom>
                    <a:noFill/>
                  </pic:spPr>
                </pic:pic>
              </a:graphicData>
            </a:graphic>
          </wp:anchor>
        </w:drawing>
      </w:r>
    </w:p>
    <w:p>
      <w:pPr>
        <w:ind w:left="212" w:right="1160"/>
        <w:spacing w:after="0" w:line="245" w:lineRule="auto"/>
        <w:rPr>
          <w:sz w:val="20"/>
          <w:szCs w:val="20"/>
          <w:color w:val="auto"/>
        </w:rPr>
      </w:pPr>
      <w:r>
        <w:rPr>
          <w:rFonts w:ascii="Arial" w:cs="Arial" w:eastAsia="Arial" w:hAnsi="Arial"/>
          <w:sz w:val="18"/>
          <w:szCs w:val="18"/>
          <w:color w:val="FFFFFF"/>
        </w:rPr>
        <w:t>Founded over 40 years ago on October 5, 1978</w:t>
      </w:r>
    </w:p>
    <w:p>
      <w:pPr>
        <w:spacing w:after="0" w:line="243"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Headquartered in</w:t>
      </w:r>
    </w:p>
    <w:p>
      <w:pPr>
        <w:ind w:left="212"/>
        <w:spacing w:after="0"/>
        <w:rPr>
          <w:sz w:val="20"/>
          <w:szCs w:val="20"/>
          <w:color w:val="auto"/>
        </w:rPr>
      </w:pPr>
      <w:r>
        <w:rPr>
          <w:rFonts w:ascii="Arial" w:cs="Arial" w:eastAsia="Arial" w:hAnsi="Arial"/>
          <w:sz w:val="18"/>
          <w:szCs w:val="18"/>
          <w:color w:val="FFFFFF"/>
        </w:rPr>
        <w:t>Boise, Idaho, USA</w:t>
      </w:r>
    </w:p>
    <w:p>
      <w:pPr>
        <w:spacing w:after="0" w:line="197"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4th</w:t>
      </w:r>
    </w:p>
    <w:p>
      <w:pPr>
        <w:spacing w:after="0" w:line="20" w:lineRule="exact"/>
        <w:rPr>
          <w:sz w:val="20"/>
          <w:szCs w:val="20"/>
          <w:color w:val="auto"/>
        </w:rPr>
      </w:pPr>
    </w:p>
    <w:p>
      <w:pPr>
        <w:ind w:left="212" w:right="780"/>
        <w:spacing w:after="0" w:line="229" w:lineRule="auto"/>
        <w:rPr>
          <w:sz w:val="20"/>
          <w:szCs w:val="20"/>
          <w:color w:val="auto"/>
        </w:rPr>
      </w:pPr>
      <w:r>
        <w:rPr>
          <w:rFonts w:ascii="Arial" w:cs="Arial" w:eastAsia="Arial" w:hAnsi="Arial"/>
          <w:sz w:val="18"/>
          <w:szCs w:val="18"/>
          <w:color w:val="FFFFFF"/>
        </w:rPr>
        <w:t>Largest semiconductor company in the world*</w:t>
      </w:r>
    </w:p>
    <w:p>
      <w:pPr>
        <w:spacing w:after="0" w:line="185"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18</w:t>
      </w:r>
    </w:p>
    <w:p>
      <w:pPr>
        <w:spacing w:after="0" w:line="20"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Countries*</w:t>
      </w:r>
    </w:p>
    <w:p>
      <w:pPr>
        <w:spacing w:after="0" w:line="197"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13</w:t>
      </w:r>
    </w:p>
    <w:p>
      <w:pPr>
        <w:ind w:left="212"/>
        <w:spacing w:after="0" w:line="226" w:lineRule="auto"/>
        <w:rPr>
          <w:sz w:val="20"/>
          <w:szCs w:val="20"/>
          <w:color w:val="auto"/>
        </w:rPr>
      </w:pPr>
      <w:r>
        <w:rPr>
          <w:rFonts w:ascii="Arial" w:cs="Arial" w:eastAsia="Arial" w:hAnsi="Arial"/>
          <w:sz w:val="18"/>
          <w:szCs w:val="18"/>
          <w:color w:val="FFFFFF"/>
        </w:rPr>
        <w:t>Manufacturing sites and</w:t>
      </w:r>
    </w:p>
    <w:p>
      <w:pPr>
        <w:spacing w:after="0" w:line="1"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13 customer labs*</w:t>
      </w:r>
    </w:p>
    <w:p>
      <w:pPr>
        <w:spacing w:after="0" w:line="197" w:lineRule="exact"/>
        <w:rPr>
          <w:sz w:val="20"/>
          <w:szCs w:val="20"/>
          <w:color w:val="auto"/>
        </w:rPr>
      </w:pPr>
    </w:p>
    <w:p>
      <w:pPr>
        <w:ind w:left="212"/>
        <w:spacing w:after="0"/>
        <w:rPr>
          <w:sz w:val="20"/>
          <w:szCs w:val="20"/>
          <w:color w:val="auto"/>
        </w:rPr>
      </w:pPr>
      <w:r>
        <w:rPr>
          <w:rFonts w:ascii="Arial" w:cs="Arial" w:eastAsia="Arial" w:hAnsi="Arial"/>
          <w:sz w:val="50"/>
          <w:szCs w:val="50"/>
          <w:b w:val="1"/>
          <w:bCs w:val="1"/>
          <w:color w:val="FFFFFF"/>
        </w:rPr>
        <w:t>37,000</w:t>
      </w:r>
    </w:p>
    <w:p>
      <w:pPr>
        <w:spacing w:after="0" w:line="20" w:lineRule="exact"/>
        <w:rPr>
          <w:sz w:val="20"/>
          <w:szCs w:val="20"/>
          <w:color w:val="auto"/>
        </w:rPr>
      </w:pPr>
    </w:p>
    <w:p>
      <w:pPr>
        <w:ind w:left="212"/>
        <w:spacing w:after="0"/>
        <w:rPr>
          <w:sz w:val="20"/>
          <w:szCs w:val="20"/>
          <w:color w:val="auto"/>
        </w:rPr>
      </w:pPr>
      <w:r>
        <w:rPr>
          <w:rFonts w:ascii="Arial" w:cs="Arial" w:eastAsia="Arial" w:hAnsi="Arial"/>
          <w:sz w:val="18"/>
          <w:szCs w:val="18"/>
          <w:color w:val="FFFFFF"/>
        </w:rPr>
        <w:t>Team members*</w:t>
      </w:r>
    </w:p>
    <w:p>
      <w:pPr>
        <w:spacing w:after="0" w:line="200" w:lineRule="exact"/>
        <w:rPr>
          <w:sz w:val="20"/>
          <w:szCs w:val="20"/>
          <w:color w:val="auto"/>
        </w:rPr>
      </w:pPr>
    </w:p>
    <w:p>
      <w:pPr>
        <w:spacing w:after="0" w:line="276" w:lineRule="exact"/>
        <w:rPr>
          <w:sz w:val="20"/>
          <w:szCs w:val="20"/>
          <w:color w:val="auto"/>
        </w:rPr>
      </w:pPr>
    </w:p>
    <w:p>
      <w:pPr>
        <w:ind w:left="212"/>
        <w:spacing w:after="0"/>
        <w:rPr>
          <w:sz w:val="20"/>
          <w:szCs w:val="20"/>
          <w:color w:val="auto"/>
        </w:rPr>
      </w:pPr>
      <w:r>
        <w:rPr>
          <w:rFonts w:ascii="Arial" w:cs="Arial" w:eastAsia="Arial" w:hAnsi="Arial"/>
          <w:sz w:val="16"/>
          <w:szCs w:val="16"/>
          <w:color w:val="FFFFFF"/>
        </w:rPr>
        <w:t>*Micron data as of August 29, 2019.</w:t>
      </w:r>
    </w:p>
    <w:p>
      <w:pPr>
        <w:ind w:left="212"/>
        <w:spacing w:after="0" w:line="235" w:lineRule="auto"/>
        <w:rPr>
          <w:sz w:val="20"/>
          <w:szCs w:val="20"/>
          <w:color w:val="auto"/>
        </w:rPr>
      </w:pPr>
      <w:r>
        <w:rPr>
          <w:rFonts w:ascii="Arial" w:cs="Arial" w:eastAsia="Arial" w:hAnsi="Arial"/>
          <w:sz w:val="16"/>
          <w:szCs w:val="16"/>
          <w:color w:val="FFFFFF"/>
        </w:rPr>
        <w:t>Gartner Market Share: Semiconductors by End Market, Worldwide, 2018 (April 2019)</w:t>
      </w:r>
    </w:p>
    <w:p>
      <w:pPr>
        <w:ind w:left="212" w:right="1080"/>
        <w:spacing w:after="0" w:line="238" w:lineRule="auto"/>
        <w:rPr>
          <w:sz w:val="20"/>
          <w:szCs w:val="20"/>
          <w:color w:val="auto"/>
        </w:rPr>
      </w:pPr>
      <w:r>
        <w:rPr>
          <w:rFonts w:ascii="Arial" w:cs="Arial" w:eastAsia="Arial" w:hAnsi="Arial"/>
          <w:sz w:val="18"/>
          <w:szCs w:val="18"/>
          <w:b w:val="1"/>
          <w:bCs w:val="1"/>
          <w:color w:val="FFFFFF"/>
        </w:rPr>
        <w:t xml:space="preserve">Media Inquiries </w:t>
      </w:r>
      <w:r>
        <w:rPr>
          <w:rFonts w:ascii="Arial" w:cs="Arial" w:eastAsia="Arial" w:hAnsi="Arial"/>
          <w:sz w:val="18"/>
          <w:szCs w:val="18"/>
          <w:color w:val="FFFFFF"/>
        </w:rPr>
        <w:t>mediarelations@micron.com</w:t>
      </w:r>
    </w:p>
    <w:p>
      <w:pPr>
        <w:spacing w:after="0" w:line="59" w:lineRule="exact"/>
        <w:rPr>
          <w:sz w:val="20"/>
          <w:szCs w:val="20"/>
          <w:color w:val="auto"/>
        </w:rPr>
      </w:pPr>
    </w:p>
    <w:p>
      <w:pPr>
        <w:ind w:left="212"/>
        <w:spacing w:after="0"/>
        <w:rPr>
          <w:sz w:val="20"/>
          <w:szCs w:val="20"/>
          <w:color w:val="auto"/>
        </w:rPr>
      </w:pPr>
      <w:r>
        <w:rPr>
          <w:rFonts w:ascii="Arial" w:cs="Arial" w:eastAsia="Arial" w:hAnsi="Arial"/>
          <w:sz w:val="18"/>
          <w:szCs w:val="18"/>
          <w:b w:val="1"/>
          <w:bCs w:val="1"/>
          <w:color w:val="FFFFFF"/>
        </w:rPr>
        <w:t>Government Inquiries</w:t>
      </w:r>
    </w:p>
    <w:p>
      <w:pPr>
        <w:ind w:left="212"/>
        <w:spacing w:after="0"/>
        <w:rPr>
          <w:sz w:val="20"/>
          <w:szCs w:val="20"/>
          <w:color w:val="auto"/>
        </w:rPr>
      </w:pPr>
      <w:r>
        <w:rPr>
          <w:rFonts w:ascii="Arial" w:cs="Arial" w:eastAsia="Arial" w:hAnsi="Arial"/>
          <w:sz w:val="18"/>
          <w:szCs w:val="18"/>
          <w:color w:val="FFFFFF"/>
        </w:rPr>
        <w:t>govaffairs@micron.com</w:t>
      </w:r>
    </w:p>
    <w:p>
      <w:pPr>
        <w:spacing w:after="0" w:line="80" w:lineRule="exact"/>
        <w:rPr>
          <w:sz w:val="20"/>
          <w:szCs w:val="20"/>
          <w:color w:val="auto"/>
        </w:rPr>
      </w:pPr>
    </w:p>
    <w:p>
      <w:pPr>
        <w:ind w:left="212" w:right="940"/>
        <w:spacing w:after="0" w:line="247" w:lineRule="auto"/>
        <w:rPr>
          <w:sz w:val="20"/>
          <w:szCs w:val="20"/>
          <w:color w:val="auto"/>
        </w:rPr>
      </w:pPr>
      <w:r>
        <w:rPr>
          <w:rFonts w:ascii="Arial" w:cs="Arial" w:eastAsia="Arial" w:hAnsi="Arial"/>
          <w:sz w:val="18"/>
          <w:szCs w:val="18"/>
          <w:b w:val="1"/>
          <w:bCs w:val="1"/>
          <w:color w:val="FFFFFF"/>
        </w:rPr>
        <w:t xml:space="preserve">Investor Inquiries </w:t>
      </w:r>
      <w:r>
        <w:rPr>
          <w:rFonts w:ascii="Arial" w:cs="Arial" w:eastAsia="Arial" w:hAnsi="Arial"/>
          <w:sz w:val="18"/>
          <w:szCs w:val="18"/>
          <w:color w:val="FFFFFF"/>
        </w:rPr>
        <w:t>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58"/>
          <w:szCs w:val="58"/>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-2599055</wp:posOffset>
            </wp:positionV>
            <wp:extent cx="4219575" cy="2135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9575" cy="2135505"/>
                    </a:xfrm>
                    <a:prstGeom prst="rect">
                      <a:avLst/>
                    </a:prstGeom>
                    <a:noFill/>
                  </pic:spPr>
                </pic:pic>
              </a:graphicData>
            </a:graphic>
          </wp:anchor>
        </w:drawing>
      </w:r>
    </w:p>
    <w:p>
      <w:pPr>
        <w:spacing w:after="0" w:line="96" w:lineRule="exact"/>
        <w:rPr>
          <w:sz w:val="20"/>
          <w:szCs w:val="20"/>
          <w:color w:val="auto"/>
        </w:rPr>
      </w:pPr>
    </w:p>
    <w:p>
      <w:pPr>
        <w:ind w:right="460"/>
        <w:spacing w:after="0" w:line="246" w:lineRule="auto"/>
        <w:rPr>
          <w:sz w:val="20"/>
          <w:szCs w:val="20"/>
          <w:color w:val="auto"/>
        </w:rPr>
      </w:pPr>
      <w:r>
        <w:rPr>
          <w:rFonts w:ascii="Arial" w:cs="Arial" w:eastAsia="Arial" w:hAnsi="Arial"/>
          <w:sz w:val="27"/>
          <w:szCs w:val="27"/>
          <w:b w:val="1"/>
          <w:bCs w:val="1"/>
          <w:color w:val="0090DA"/>
        </w:rPr>
        <w:t>Data is today’s new business currency, and memory and storage are emerging as strategic differentiators that will redefine how we extract value from data to learn, explore, communicate, and experience.</w:t>
      </w:r>
    </w:p>
    <w:p>
      <w:pPr>
        <w:spacing w:after="0" w:line="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7" w:lineRule="exact"/>
        <w:rPr>
          <w:sz w:val="20"/>
          <w:szCs w:val="20"/>
          <w:color w:val="auto"/>
        </w:rPr>
      </w:pPr>
    </w:p>
    <w:p>
      <w:pPr>
        <w:ind w:right="340"/>
        <w:spacing w:after="0" w:line="242" w:lineRule="auto"/>
        <w:rPr>
          <w:sz w:val="20"/>
          <w:szCs w:val="20"/>
          <w:color w:val="auto"/>
        </w:rPr>
      </w:pPr>
      <w:r>
        <w:rPr>
          <w:rFonts w:ascii="Arial" w:cs="Arial" w:eastAsia="Arial" w:hAnsi="Arial"/>
          <w:sz w:val="18"/>
          <w:szCs w:val="18"/>
          <w:color w:val="auto"/>
        </w:rPr>
        <w:t>For over 40 years, Micron’s memory and storage solutions have been foundational to innovations that have transformed the world in countless ways. Our technology and expertise are core to computers that boot up in an instant and work harder and faster; mobile phones with brilliant screen resolution and longer battery life; and new business models that are disrupting entire industries faster than ever – such as entertainment, manufacturing, and finance.</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7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As a global leader in memory and storage solutions, we are transforming how the world uses information to enrich life by enabling technologies to collect, store, and manage data with unprecedented speed and efficiency. We are accelerating the transformation of information into intelligence – inspiring the world to learn, communicate, and advance faster than ever.</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Micron’s dedication to employee health and safety, environmental quality, diversity and inclusion, and community engagement is part of our commitment worldwide. This dedication includes working toward building and maintaining sustainable operations, products, and supply chains around the globe. Through the Micron Foundation, we provide opportunities for learning and enrichment by sharing our resources and people in the communities where our team members live and work.</w:t>
      </w:r>
    </w:p>
    <w:p>
      <w:pPr>
        <w:spacing w:after="0" w:line="45"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0090DA"/>
        </w:rPr>
        <w:t>DRAM | NAND | 3D XPoint</w:t>
      </w:r>
      <w:r>
        <w:rPr>
          <w:rFonts w:ascii="Arial" w:cs="Arial" w:eastAsia="Arial" w:hAnsi="Arial"/>
          <w:sz w:val="21"/>
          <w:szCs w:val="21"/>
          <w:color w:val="0090DA"/>
          <w:vertAlign w:val="superscript"/>
        </w:rPr>
        <w:t>TM</w:t>
      </w:r>
      <w:r>
        <w:rPr>
          <w:rFonts w:ascii="Arial" w:cs="Arial" w:eastAsia="Arial" w:hAnsi="Arial"/>
          <w:sz w:val="16"/>
          <w:szCs w:val="16"/>
          <w:color w:val="0090DA"/>
        </w:rPr>
        <w:t xml:space="preserve"> Memory | NOR | Solid-State Drives</w:t>
      </w:r>
    </w:p>
    <w:p>
      <w:pPr>
        <w:spacing w:after="0"/>
        <w:rPr>
          <w:sz w:val="20"/>
          <w:szCs w:val="20"/>
          <w:color w:val="auto"/>
        </w:rPr>
      </w:pPr>
      <w:r>
        <w:rPr>
          <w:rFonts w:ascii="Arial" w:cs="Arial" w:eastAsia="Arial" w:hAnsi="Arial"/>
          <w:sz w:val="16"/>
          <w:szCs w:val="16"/>
          <w:color w:val="0090DA"/>
        </w:rPr>
        <w:t>Multichip Packages | Advanced Solutions | High Bandwidth Memory (HBM)</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Connect with us on micron.com</w:t>
      </w:r>
    </w:p>
    <w:p>
      <w:pPr>
        <w:spacing w:after="0" w:line="166" w:lineRule="exact"/>
        <w:rPr>
          <w:sz w:val="20"/>
          <w:szCs w:val="20"/>
          <w:color w:val="auto"/>
        </w:rPr>
      </w:pPr>
    </w:p>
    <w:p>
      <w:pPr>
        <w:sectPr>
          <w:pgSz w:w="11900" w:h="16838" w:orient="portrait"/>
          <w:cols w:equalWidth="0" w:num="2">
            <w:col w:w="3592" w:space="500"/>
            <w:col w:w="7240"/>
          </w:cols>
          <w:pgMar w:left="248" w:top="1440" w:right="319" w:bottom="1440" w:gutter="0" w:footer="0" w:header="0"/>
        </w:sectPr>
      </w:pPr>
    </w:p>
    <w:p>
      <w:pPr>
        <w:ind w:left="-8" w:right="40" w:firstLine="8"/>
        <w:spacing w:after="0" w:line="291"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2019 Micron Technology, Inc. All rights reserved. Micron and the Micron logo are trademarks of Micron Technology, Inc. All other trademarks are the property of their respective owners. Products are warranted only to meet Micron’s production data sheet specifications. Products and specifications are subject to change without notice. Rev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32"/>
          </w:cols>
          <w:pgMar w:left="248" w:top="1440" w:right="3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9"/>
          <w:szCs w:val="3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244475</wp:posOffset>
            </wp:positionV>
            <wp:extent cx="723773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6319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210185</wp:posOffset>
            </wp:positionV>
            <wp:extent cx="7237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Introduction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174625</wp:posOffset>
            </wp:positionV>
            <wp:extent cx="723773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259"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Financial Statements:</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Consolidated Statements of Comprehensive Income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Consolidated Statements of Changes in Equity</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Notes to Consolidated Financial Statements</w:t>
      </w:r>
    </w:p>
    <w:p>
      <w:pPr>
        <w:spacing w:after="0" w:line="50" w:lineRule="exact"/>
        <w:rPr>
          <w:sz w:val="20"/>
          <w:szCs w:val="20"/>
          <w:color w:val="auto"/>
        </w:rPr>
      </w:pPr>
    </w:p>
    <w:p>
      <w:pPr>
        <w:ind w:left="1180" w:right="1360" w:hanging="1147"/>
        <w:spacing w:after="0" w:line="297" w:lineRule="auto"/>
        <w:tabs>
          <w:tab w:leader="none" w:pos="11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-164465</wp:posOffset>
            </wp:positionV>
            <wp:extent cx="723773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50"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-124460</wp:posOffset>
            </wp:positionV>
            <wp:extent cx="723773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300355"/>
                    </a:xfrm>
                    <a:prstGeom prst="rect">
                      <a:avLst/>
                    </a:prstGeom>
                    <a:noFill/>
                  </pic:spPr>
                </pic:pic>
              </a:graphicData>
            </a:graphic>
          </wp:anchor>
        </w:drawing>
      </w:r>
    </w:p>
    <w:p>
      <w:pPr>
        <w:spacing w:after="0" w:line="259"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50"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960"/>
        <w:spacing w:after="0"/>
        <w:rPr>
          <w:rFonts w:ascii="Arial" w:cs="Arial" w:eastAsia="Arial" w:hAnsi="Arial"/>
          <w:sz w:val="18"/>
          <w:szCs w:val="18"/>
          <w:u w:val="single" w:color="auto"/>
          <w:color w:val="auto"/>
        </w:rPr>
      </w:pPr>
      <w:hyperlink w:anchor="page3">
        <w:r>
          <w:rPr>
            <w:rFonts w:ascii="Arial" w:cs="Arial" w:eastAsia="Arial" w:hAnsi="Arial"/>
            <w:sz w:val="18"/>
            <w:szCs w:val="18"/>
            <w:u w:val="single" w:color="auto"/>
            <w:color w:val="auto"/>
          </w:rPr>
          <w:t>2</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3</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4</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6">
        <w:r>
          <w:rPr>
            <w:rFonts w:ascii="Arial" w:cs="Arial" w:eastAsia="Arial" w:hAnsi="Arial"/>
            <w:sz w:val="18"/>
            <w:szCs w:val="18"/>
            <w:u w:val="single" w:color="auto"/>
            <w:color w:val="auto"/>
          </w:rPr>
          <w:t>5</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7">
        <w:r>
          <w:rPr>
            <w:rFonts w:ascii="Arial" w:cs="Arial" w:eastAsia="Arial" w:hAnsi="Arial"/>
            <w:sz w:val="18"/>
            <w:szCs w:val="18"/>
            <w:u w:val="single" w:color="auto"/>
            <w:color w:val="auto"/>
          </w:rPr>
          <w:t>6</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8">
        <w:r>
          <w:rPr>
            <w:rFonts w:ascii="Arial" w:cs="Arial" w:eastAsia="Arial" w:hAnsi="Arial"/>
            <w:sz w:val="18"/>
            <w:szCs w:val="18"/>
            <w:u w:val="single" w:color="auto"/>
            <w:color w:val="auto"/>
          </w:rPr>
          <w:t>7</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9">
        <w:r>
          <w:rPr>
            <w:rFonts w:ascii="Arial" w:cs="Arial" w:eastAsia="Arial" w:hAnsi="Arial"/>
            <w:sz w:val="18"/>
            <w:szCs w:val="18"/>
            <w:u w:val="single" w:color="auto"/>
            <w:color w:val="auto"/>
          </w:rPr>
          <w:t>8</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27">
        <w:r>
          <w:rPr>
            <w:rFonts w:ascii="Arial" w:cs="Arial" w:eastAsia="Arial" w:hAnsi="Arial"/>
            <w:sz w:val="18"/>
            <w:szCs w:val="18"/>
            <w:u w:val="single" w:color="auto"/>
            <w:color w:val="auto"/>
          </w:rPr>
          <w:t>25</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27">
        <w:r>
          <w:rPr>
            <w:rFonts w:ascii="Arial" w:cs="Arial" w:eastAsia="Arial" w:hAnsi="Arial"/>
            <w:sz w:val="18"/>
            <w:szCs w:val="18"/>
            <w:u w:val="single" w:color="auto"/>
            <w:color w:val="auto"/>
          </w:rPr>
          <w:t>26</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1">
        <w:r>
          <w:rPr>
            <w:rFonts w:ascii="Arial" w:cs="Arial" w:eastAsia="Arial" w:hAnsi="Arial"/>
            <w:sz w:val="18"/>
            <w:szCs w:val="18"/>
            <w:u w:val="single" w:color="auto"/>
            <w:color w:val="auto"/>
          </w:rPr>
          <w:t>29</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3">
        <w:r>
          <w:rPr>
            <w:rFonts w:ascii="Arial" w:cs="Arial" w:eastAsia="Arial" w:hAnsi="Arial"/>
            <w:sz w:val="18"/>
            <w:szCs w:val="18"/>
            <w:u w:val="single" w:color="auto"/>
            <w:color w:val="auto"/>
          </w:rPr>
          <w:t>31</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auto"/>
        </w:rPr>
      </w:pPr>
      <w:hyperlink w:anchor="page33">
        <w:r>
          <w:rPr>
            <w:rFonts w:ascii="Arial" w:cs="Arial" w:eastAsia="Arial" w:hAnsi="Arial"/>
            <w:sz w:val="18"/>
            <w:szCs w:val="18"/>
            <w:u w:val="single" w:color="auto"/>
            <w:color w:val="auto"/>
          </w:rPr>
          <w:t>31</w:t>
        </w:r>
      </w:hyperlink>
    </w:p>
    <w:p>
      <w:pPr>
        <w:spacing w:after="0" w:line="200" w:lineRule="exact"/>
        <w:rPr>
          <w:sz w:val="20"/>
          <w:szCs w:val="20"/>
          <w:color w:val="auto"/>
        </w:rPr>
      </w:pPr>
    </w:p>
    <w:p>
      <w:pPr>
        <w:spacing w:after="0" w:line="322" w:lineRule="exact"/>
        <w:rPr>
          <w:sz w:val="20"/>
          <w:szCs w:val="20"/>
          <w:color w:val="auto"/>
        </w:rPr>
      </w:pPr>
    </w:p>
    <w:p>
      <w:pPr>
        <w:ind w:left="860"/>
        <w:spacing w:after="0"/>
        <w:rPr>
          <w:rFonts w:ascii="Arial" w:cs="Arial" w:eastAsia="Arial" w:hAnsi="Arial"/>
          <w:sz w:val="18"/>
          <w:szCs w:val="18"/>
          <w:u w:val="single" w:color="auto"/>
          <w:color w:val="auto"/>
        </w:rPr>
      </w:pPr>
      <w:hyperlink w:anchor="page33">
        <w:r>
          <w:rPr>
            <w:rFonts w:ascii="Arial" w:cs="Arial" w:eastAsia="Arial" w:hAnsi="Arial"/>
            <w:sz w:val="18"/>
            <w:szCs w:val="18"/>
            <w:u w:val="single" w:color="auto"/>
            <w:color w:val="auto"/>
          </w:rPr>
          <w:t>31</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34">
        <w:r>
          <w:rPr>
            <w:rFonts w:ascii="Arial" w:cs="Arial" w:eastAsia="Arial" w:hAnsi="Arial"/>
            <w:sz w:val="18"/>
            <w:szCs w:val="18"/>
            <w:u w:val="single" w:color="auto"/>
            <w:color w:val="auto"/>
          </w:rPr>
          <w:t>32</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49">
        <w:r>
          <w:rPr>
            <w:rFonts w:ascii="Arial" w:cs="Arial" w:eastAsia="Arial" w:hAnsi="Arial"/>
            <w:sz w:val="18"/>
            <w:szCs w:val="18"/>
            <w:u w:val="single" w:color="auto"/>
            <w:color w:val="auto"/>
          </w:rPr>
          <w:t>48</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0">
        <w:r>
          <w:rPr>
            <w:rFonts w:ascii="Arial" w:cs="Arial" w:eastAsia="Arial" w:hAnsi="Arial"/>
            <w:sz w:val="18"/>
            <w:szCs w:val="18"/>
            <w:u w:val="single" w:color="auto"/>
            <w:color w:val="auto"/>
          </w:rPr>
          <w:t>48</w:t>
        </w:r>
      </w:hyperlink>
    </w:p>
    <w:p>
      <w:pPr>
        <w:spacing w:after="0" w:line="50" w:lineRule="exact"/>
        <w:rPr>
          <w:sz w:val="20"/>
          <w:szCs w:val="20"/>
          <w:color w:val="auto"/>
        </w:rPr>
      </w:pPr>
    </w:p>
    <w:p>
      <w:pPr>
        <w:ind w:left="860"/>
        <w:spacing w:after="0"/>
        <w:rPr>
          <w:rFonts w:ascii="Arial" w:cs="Arial" w:eastAsia="Arial" w:hAnsi="Arial"/>
          <w:sz w:val="18"/>
          <w:szCs w:val="18"/>
          <w:u w:val="single" w:color="auto"/>
          <w:color w:val="auto"/>
        </w:rPr>
      </w:pPr>
      <w:hyperlink w:anchor="page50">
        <w:r>
          <w:rPr>
            <w:rFonts w:ascii="Arial" w:cs="Arial" w:eastAsia="Arial" w:hAnsi="Arial"/>
            <w:sz w:val="18"/>
            <w:szCs w:val="18"/>
            <w:u w:val="single" w:color="auto"/>
            <w:color w:val="auto"/>
          </w:rPr>
          <w:t>49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sz w:val="1"/>
          <w:szCs w:val="1"/>
          <w:color w:val="auto"/>
        </w:rPr>
        <w:drawing>
          <wp:inline distT="0" distB="0" distL="0" distR="0">
            <wp:extent cx="591820" cy="1543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1</w:t>
      </w:r>
    </w:p>
    <w:p>
      <w:pPr>
        <w:sectPr>
          <w:pgSz w:w="11900" w:h="16838" w:orient="portrait"/>
          <w:cols w:equalWidth="0" w:num="2">
            <w:col w:w="9620" w:space="720"/>
            <w:col w:w="1080"/>
          </w:cols>
          <w:pgMar w:left="240" w:top="913"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6"/>
                <w:szCs w:val="16"/>
                <w:b w:val="1"/>
                <w:bCs w:val="1"/>
                <w:color w:val="auto"/>
              </w:rPr>
              <w:t>Term</w:t>
            </w:r>
          </w:p>
        </w:tc>
        <w:tc>
          <w:tcPr>
            <w:tcW w:w="720" w:type="dxa"/>
            <w:vAlign w:val="bottom"/>
          </w:tcPr>
          <w:p>
            <w:pPr>
              <w:spacing w:after="0"/>
              <w:rPr>
                <w:sz w:val="20"/>
                <w:szCs w:val="20"/>
                <w:color w:val="auto"/>
              </w:rPr>
            </w:pPr>
          </w:p>
        </w:tc>
        <w:tc>
          <w:tcPr>
            <w:tcW w:w="3280" w:type="dxa"/>
            <w:vAlign w:val="bottom"/>
            <w:gridSpan w:val="2"/>
          </w:tcPr>
          <w:p>
            <w:pPr>
              <w:ind w:left="940"/>
              <w:spacing w:after="0"/>
              <w:rPr>
                <w:sz w:val="20"/>
                <w:szCs w:val="20"/>
                <w:color w:val="auto"/>
              </w:rPr>
            </w:pPr>
            <w:r>
              <w:rPr>
                <w:rFonts w:ascii="Arial" w:cs="Arial" w:eastAsia="Arial" w:hAnsi="Arial"/>
                <w:sz w:val="16"/>
                <w:szCs w:val="16"/>
                <w:b w:val="1"/>
                <w:bCs w:val="1"/>
                <w:color w:val="auto"/>
              </w:rPr>
              <w:t>Definition</w:t>
            </w:r>
          </w:p>
        </w:tc>
        <w:tc>
          <w:tcPr>
            <w:tcW w:w="1460" w:type="dxa"/>
            <w:vAlign w:val="bottom"/>
          </w:tcPr>
          <w:p>
            <w:pPr>
              <w:ind w:left="720"/>
              <w:spacing w:after="0"/>
              <w:rPr>
                <w:sz w:val="20"/>
                <w:szCs w:val="20"/>
                <w:color w:val="auto"/>
              </w:rPr>
            </w:pPr>
            <w:r>
              <w:rPr>
                <w:rFonts w:ascii="Arial" w:cs="Arial" w:eastAsia="Arial" w:hAnsi="Arial"/>
                <w:sz w:val="16"/>
                <w:szCs w:val="16"/>
                <w:b w:val="1"/>
                <w:bCs w:val="1"/>
                <w:color w:val="auto"/>
              </w:rPr>
              <w:t>Term</w:t>
            </w:r>
          </w:p>
        </w:tc>
        <w:tc>
          <w:tcPr>
            <w:tcW w:w="4100" w:type="dxa"/>
            <w:vAlign w:val="bottom"/>
          </w:tcPr>
          <w:p>
            <w:pPr>
              <w:ind w:left="1860"/>
              <w:spacing w:after="0"/>
              <w:rPr>
                <w:sz w:val="20"/>
                <w:szCs w:val="20"/>
                <w:color w:val="auto"/>
              </w:rPr>
            </w:pPr>
            <w:r>
              <w:rPr>
                <w:rFonts w:ascii="Arial" w:cs="Arial" w:eastAsia="Arial" w:hAnsi="Arial"/>
                <w:sz w:val="16"/>
                <w:szCs w:val="16"/>
                <w:b w:val="1"/>
                <w:bCs w:val="1"/>
                <w:color w:val="auto"/>
              </w:rPr>
              <w:t>Definition</w:t>
            </w:r>
          </w:p>
        </w:tc>
      </w:tr>
      <w:tr>
        <w:trPr>
          <w:trHeight w:val="38"/>
        </w:trPr>
        <w:tc>
          <w:tcPr>
            <w:tcW w:w="460" w:type="dxa"/>
            <w:vAlign w:val="bottom"/>
            <w:tcBorders>
              <w:top w:val="single" w:sz="8" w:color="0090DA"/>
            </w:tcBorders>
          </w:tcPr>
          <w:p>
            <w:pPr>
              <w:spacing w:after="0"/>
              <w:rPr>
                <w:sz w:val="3"/>
                <w:szCs w:val="3"/>
                <w:color w:val="auto"/>
              </w:rPr>
            </w:pPr>
          </w:p>
        </w:tc>
        <w:tc>
          <w:tcPr>
            <w:tcW w:w="1200" w:type="dxa"/>
            <w:vAlign w:val="bottom"/>
            <w:tcBorders>
              <w:top w:val="single" w:sz="8" w:color="0090DA"/>
            </w:tcBorders>
          </w:tcPr>
          <w:p>
            <w:pPr>
              <w:spacing w:after="0"/>
              <w:rPr>
                <w:sz w:val="3"/>
                <w:szCs w:val="3"/>
                <w:color w:val="auto"/>
              </w:rPr>
            </w:pPr>
          </w:p>
        </w:tc>
        <w:tc>
          <w:tcPr>
            <w:tcW w:w="720" w:type="dxa"/>
            <w:vAlign w:val="bottom"/>
            <w:tcBorders>
              <w:top w:val="single" w:sz="8" w:color="0090DA"/>
            </w:tcBorders>
          </w:tcPr>
          <w:p>
            <w:pPr>
              <w:spacing w:after="0"/>
              <w:rPr>
                <w:sz w:val="3"/>
                <w:szCs w:val="3"/>
                <w:color w:val="auto"/>
              </w:rPr>
            </w:pPr>
          </w:p>
        </w:tc>
        <w:tc>
          <w:tcPr>
            <w:tcW w:w="318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top w:val="single" w:sz="8" w:color="0090DA"/>
            </w:tcBorders>
          </w:tcPr>
          <w:p>
            <w:pPr>
              <w:spacing w:after="0"/>
              <w:rPr>
                <w:sz w:val="3"/>
                <w:szCs w:val="3"/>
                <w:color w:val="auto"/>
              </w:rPr>
            </w:pPr>
          </w:p>
        </w:tc>
        <w:tc>
          <w:tcPr>
            <w:tcW w:w="4100" w:type="dxa"/>
            <w:vAlign w:val="bottom"/>
            <w:tcBorders>
              <w:top w:val="single" w:sz="8" w:color="0090DA"/>
            </w:tcBorders>
          </w:tcPr>
          <w:p>
            <w:pPr>
              <w:spacing w:after="0"/>
              <w:rPr>
                <w:sz w:val="3"/>
                <w:szCs w:val="3"/>
                <w:color w:val="auto"/>
              </w:rPr>
            </w:pP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B</w:t>
            </w:r>
          </w:p>
        </w:tc>
        <w:tc>
          <w:tcPr>
            <w:tcW w:w="4000" w:type="dxa"/>
            <w:vAlign w:val="bottom"/>
            <w:gridSpan w:val="3"/>
            <w:shd w:val="clear" w:color="auto" w:fill="D1D2D4"/>
          </w:tcPr>
          <w:p>
            <w:pPr>
              <w:ind w:left="180"/>
              <w:spacing w:after="0"/>
              <w:rPr>
                <w:sz w:val="20"/>
                <w:szCs w:val="20"/>
                <w:color w:val="auto"/>
              </w:rPr>
            </w:pPr>
            <w:r>
              <w:rPr>
                <w:rFonts w:ascii="Arial" w:cs="Arial" w:eastAsia="Arial" w:hAnsi="Arial"/>
                <w:sz w:val="18"/>
                <w:szCs w:val="18"/>
                <w:color w:val="auto"/>
              </w:rPr>
              <w:t>Senior Secured Term Loan B due 2022</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41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IM Flash Technologies, LLC</w:t>
            </w:r>
          </w:p>
        </w:tc>
      </w:tr>
      <w:tr>
        <w:trPr>
          <w:trHeight w:val="257"/>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Senior Term Loan A due 2024</w:t>
            </w:r>
          </w:p>
        </w:tc>
        <w:tc>
          <w:tcPr>
            <w:tcW w:w="1460" w:type="dxa"/>
            <w:vAlign w:val="bottom"/>
          </w:tcPr>
          <w:p>
            <w:pPr>
              <w:ind w:left="20"/>
              <w:spacing w:after="0"/>
              <w:rPr>
                <w:sz w:val="20"/>
                <w:szCs w:val="20"/>
                <w:color w:val="auto"/>
              </w:rPr>
            </w:pPr>
            <w:r>
              <w:rPr>
                <w:rFonts w:ascii="Arial" w:cs="Arial" w:eastAsia="Arial" w:hAnsi="Arial"/>
                <w:sz w:val="18"/>
                <w:szCs w:val="18"/>
                <w:color w:val="auto"/>
              </w:rPr>
              <w:t>Intel</w:t>
            </w:r>
          </w:p>
        </w:tc>
        <w:tc>
          <w:tcPr>
            <w:tcW w:w="4100" w:type="dxa"/>
            <w:vAlign w:val="bottom"/>
          </w:tcPr>
          <w:p>
            <w:pPr>
              <w:ind w:left="380"/>
              <w:spacing w:after="0"/>
              <w:rPr>
                <w:sz w:val="20"/>
                <w:szCs w:val="20"/>
                <w:color w:val="auto"/>
              </w:rPr>
            </w:pPr>
            <w:r>
              <w:rPr>
                <w:rFonts w:ascii="Arial" w:cs="Arial" w:eastAsia="Arial" w:hAnsi="Arial"/>
                <w:sz w:val="18"/>
                <w:szCs w:val="18"/>
                <w:color w:val="auto"/>
              </w:rPr>
              <w:t>Intel Corporation</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5.25%</w:t>
            </w:r>
          </w:p>
        </w:tc>
        <w:tc>
          <w:tcPr>
            <w:tcW w:w="32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Senior Notes due 2024</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MCP</w:t>
            </w:r>
          </w:p>
        </w:tc>
        <w:tc>
          <w:tcPr>
            <w:tcW w:w="41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Multi-Chip Package</w:t>
            </w:r>
          </w:p>
        </w:tc>
      </w:tr>
      <w:tr>
        <w:trPr>
          <w:trHeight w:val="257"/>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20" w:type="dxa"/>
            <w:vAlign w:val="bottom"/>
          </w:tcPr>
          <w:p>
            <w:pPr>
              <w:ind w:left="180"/>
              <w:spacing w:after="0"/>
              <w:rPr>
                <w:sz w:val="20"/>
                <w:szCs w:val="20"/>
                <w:color w:val="auto"/>
              </w:rPr>
            </w:pPr>
            <w:r>
              <w:rPr>
                <w:rFonts w:ascii="Arial" w:cs="Arial" w:eastAsia="Arial" w:hAnsi="Arial"/>
                <w:sz w:val="18"/>
                <w:szCs w:val="18"/>
                <w:color w:val="auto"/>
              </w:rPr>
              <w:t>5.50%</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1460" w:type="dxa"/>
            <w:vAlign w:val="bottom"/>
          </w:tcPr>
          <w:p>
            <w:pPr>
              <w:ind w:left="20"/>
              <w:spacing w:after="0"/>
              <w:rPr>
                <w:sz w:val="20"/>
                <w:szCs w:val="20"/>
                <w:color w:val="auto"/>
              </w:rPr>
            </w:pPr>
            <w:r>
              <w:rPr>
                <w:rFonts w:ascii="Arial" w:cs="Arial" w:eastAsia="Arial" w:hAnsi="Arial"/>
                <w:sz w:val="18"/>
                <w:szCs w:val="18"/>
                <w:color w:val="auto"/>
              </w:rPr>
              <w:t>Micron</w:t>
            </w:r>
          </w:p>
        </w:tc>
        <w:tc>
          <w:tcPr>
            <w:tcW w:w="4100" w:type="dxa"/>
            <w:vAlign w:val="bottom"/>
          </w:tcPr>
          <w:p>
            <w:pPr>
              <w:ind w:left="380"/>
              <w:spacing w:after="0"/>
              <w:rPr>
                <w:sz w:val="20"/>
                <w:szCs w:val="20"/>
                <w:color w:val="auto"/>
              </w:rPr>
            </w:pPr>
            <w:r>
              <w:rPr>
                <w:rFonts w:ascii="Arial" w:cs="Arial" w:eastAsia="Arial" w:hAnsi="Arial"/>
                <w:sz w:val="18"/>
                <w:szCs w:val="18"/>
                <w:color w:val="auto"/>
              </w:rPr>
              <w:t>Micron Technology, Inc. (Parent Company)</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5.63%</w:t>
            </w:r>
          </w:p>
        </w:tc>
        <w:tc>
          <w:tcPr>
            <w:tcW w:w="32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Senior Notes due 2026</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MMJ</w:t>
            </w:r>
          </w:p>
        </w:tc>
        <w:tc>
          <w:tcPr>
            <w:tcW w:w="41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Micron Memory Japan, G.K.</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20" w:type="dxa"/>
            <w:vAlign w:val="bottom"/>
          </w:tcPr>
          <w:p>
            <w:pPr>
              <w:ind w:left="180"/>
              <w:spacing w:after="0"/>
              <w:rPr>
                <w:sz w:val="20"/>
                <w:szCs w:val="20"/>
                <w:color w:val="auto"/>
              </w:rPr>
            </w:pPr>
            <w:r>
              <w:rPr>
                <w:rFonts w:ascii="Arial" w:cs="Arial" w:eastAsia="Arial" w:hAnsi="Arial"/>
                <w:sz w:val="18"/>
                <w:szCs w:val="18"/>
                <w:color w:val="auto"/>
              </w:rPr>
              <w:t>4.19%</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Senior Notes due 2027</w:t>
            </w:r>
          </w:p>
        </w:tc>
        <w:tc>
          <w:tcPr>
            <w:tcW w:w="1460" w:type="dxa"/>
            <w:vAlign w:val="bottom"/>
          </w:tcPr>
          <w:p>
            <w:pPr>
              <w:ind w:left="20"/>
              <w:spacing w:after="0"/>
              <w:rPr>
                <w:sz w:val="20"/>
                <w:szCs w:val="20"/>
                <w:color w:val="auto"/>
              </w:rPr>
            </w:pPr>
            <w:r>
              <w:rPr>
                <w:rFonts w:ascii="Arial" w:cs="Arial" w:eastAsia="Arial" w:hAnsi="Arial"/>
                <w:sz w:val="18"/>
                <w:szCs w:val="18"/>
                <w:color w:val="auto"/>
              </w:rPr>
              <w:t>MMT</w:t>
            </w:r>
          </w:p>
        </w:tc>
        <w:tc>
          <w:tcPr>
            <w:tcW w:w="4100" w:type="dxa"/>
            <w:vAlign w:val="bottom"/>
          </w:tcPr>
          <w:p>
            <w:pPr>
              <w:ind w:left="380"/>
              <w:spacing w:after="0"/>
              <w:rPr>
                <w:sz w:val="20"/>
                <w:szCs w:val="20"/>
                <w:color w:val="auto"/>
              </w:rPr>
            </w:pPr>
            <w:r>
              <w:rPr>
                <w:rFonts w:ascii="Arial" w:cs="Arial" w:eastAsia="Arial" w:hAnsi="Arial"/>
                <w:sz w:val="18"/>
                <w:szCs w:val="18"/>
                <w:color w:val="auto"/>
              </w:rPr>
              <w:t>Micron Memory Taiwan Co., Ltd.</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1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5.33%</w:t>
            </w:r>
          </w:p>
        </w:tc>
        <w:tc>
          <w:tcPr>
            <w:tcW w:w="32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Senior Notes due 2029</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MTTW</w:t>
            </w:r>
          </w:p>
        </w:tc>
        <w:tc>
          <w:tcPr>
            <w:tcW w:w="41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Micron Technology Taiwan, Inc.</w:t>
            </w:r>
          </w:p>
        </w:tc>
      </w:tr>
      <w:tr>
        <w:trPr>
          <w:trHeight w:val="257"/>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20" w:type="dxa"/>
            <w:vAlign w:val="bottom"/>
          </w:tcPr>
          <w:p>
            <w:pPr>
              <w:ind w:left="180"/>
              <w:spacing w:after="0"/>
              <w:rPr>
                <w:sz w:val="20"/>
                <w:szCs w:val="20"/>
                <w:color w:val="auto"/>
              </w:rPr>
            </w:pPr>
            <w:r>
              <w:rPr>
                <w:rFonts w:ascii="Arial" w:cs="Arial" w:eastAsia="Arial" w:hAnsi="Arial"/>
                <w:sz w:val="18"/>
                <w:szCs w:val="18"/>
                <w:color w:val="auto"/>
              </w:rPr>
              <w:t>4.66%</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Senior Notes due 2030</w:t>
            </w:r>
          </w:p>
        </w:tc>
        <w:tc>
          <w:tcPr>
            <w:tcW w:w="1460" w:type="dxa"/>
            <w:vAlign w:val="bottom"/>
          </w:tcPr>
          <w:p>
            <w:pPr>
              <w:ind w:left="20"/>
              <w:spacing w:after="0"/>
              <w:rPr>
                <w:sz w:val="20"/>
                <w:szCs w:val="20"/>
                <w:color w:val="auto"/>
              </w:rPr>
            </w:pPr>
            <w:r>
              <w:rPr>
                <w:rFonts w:ascii="Arial" w:cs="Arial" w:eastAsia="Arial" w:hAnsi="Arial"/>
                <w:sz w:val="18"/>
                <w:szCs w:val="18"/>
                <w:color w:val="auto"/>
              </w:rPr>
              <w:t>MTU</w:t>
            </w:r>
          </w:p>
        </w:tc>
        <w:tc>
          <w:tcPr>
            <w:tcW w:w="4100" w:type="dxa"/>
            <w:vAlign w:val="bottom"/>
          </w:tcPr>
          <w:p>
            <w:pPr>
              <w:ind w:left="380"/>
              <w:spacing w:after="0"/>
              <w:rPr>
                <w:sz w:val="20"/>
                <w:szCs w:val="20"/>
                <w:color w:val="auto"/>
              </w:rPr>
            </w:pPr>
            <w:r>
              <w:rPr>
                <w:rFonts w:ascii="Arial" w:cs="Arial" w:eastAsia="Arial" w:hAnsi="Arial"/>
                <w:sz w:val="18"/>
                <w:szCs w:val="18"/>
                <w:color w:val="auto"/>
              </w:rPr>
              <w:t>Micron Technology Utah, LLC</w:t>
            </w:r>
          </w:p>
        </w:tc>
      </w:tr>
      <w:tr>
        <w:trPr>
          <w:trHeight w:val="230"/>
        </w:trPr>
        <w:tc>
          <w:tcPr>
            <w:tcW w:w="166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7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3.13%</w:t>
            </w:r>
          </w:p>
        </w:tc>
        <w:tc>
          <w:tcPr>
            <w:tcW w:w="32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Convertible Senior Notes due 2032</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Qimonda</w:t>
            </w:r>
          </w:p>
        </w:tc>
        <w:tc>
          <w:tcPr>
            <w:tcW w:w="41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Qimonda AG</w:t>
            </w: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2033F Notes</w:t>
            </w:r>
          </w:p>
        </w:tc>
        <w:tc>
          <w:tcPr>
            <w:tcW w:w="720" w:type="dxa"/>
            <w:vAlign w:val="bottom"/>
          </w:tcPr>
          <w:p>
            <w:pPr>
              <w:ind w:left="180"/>
              <w:spacing w:after="0"/>
              <w:rPr>
                <w:sz w:val="20"/>
                <w:szCs w:val="20"/>
                <w:color w:val="auto"/>
              </w:rPr>
            </w:pPr>
            <w:r>
              <w:rPr>
                <w:rFonts w:ascii="Arial" w:cs="Arial" w:eastAsia="Arial" w:hAnsi="Arial"/>
                <w:sz w:val="18"/>
                <w:szCs w:val="18"/>
                <w:color w:val="auto"/>
              </w:rPr>
              <w:t>2.13%</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 due 2033</w:t>
            </w:r>
          </w:p>
        </w:tc>
        <w:tc>
          <w:tcPr>
            <w:tcW w:w="1460" w:type="dxa"/>
            <w:vAlign w:val="bottom"/>
          </w:tcPr>
          <w:p>
            <w:pPr>
              <w:ind w:left="20"/>
              <w:spacing w:after="0"/>
              <w:rPr>
                <w:sz w:val="20"/>
                <w:szCs w:val="20"/>
                <w:color w:val="auto"/>
              </w:rPr>
            </w:pPr>
            <w:r>
              <w:rPr>
                <w:rFonts w:ascii="Arial" w:cs="Arial" w:eastAsia="Arial" w:hAnsi="Arial"/>
                <w:sz w:val="18"/>
                <w:szCs w:val="18"/>
                <w:color w:val="auto"/>
              </w:rPr>
              <w:t>SSD</w:t>
            </w:r>
          </w:p>
        </w:tc>
        <w:tc>
          <w:tcPr>
            <w:tcW w:w="4100" w:type="dxa"/>
            <w:vAlign w:val="bottom"/>
          </w:tcPr>
          <w:p>
            <w:pPr>
              <w:ind w:left="380"/>
              <w:spacing w:after="0"/>
              <w:rPr>
                <w:sz w:val="20"/>
                <w:szCs w:val="20"/>
                <w:color w:val="auto"/>
              </w:rPr>
            </w:pPr>
            <w:r>
              <w:rPr>
                <w:rFonts w:ascii="Arial" w:cs="Arial" w:eastAsia="Arial" w:hAnsi="Arial"/>
                <w:sz w:val="18"/>
                <w:szCs w:val="18"/>
                <w:color w:val="auto"/>
              </w:rPr>
              <w:t>Solid State Drive</w:t>
            </w: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DDR</w:t>
            </w:r>
          </w:p>
        </w:tc>
        <w:tc>
          <w:tcPr>
            <w:tcW w:w="1200" w:type="dxa"/>
            <w:vAlign w:val="bottom"/>
            <w:shd w:val="clear" w:color="auto" w:fill="D1D2D4"/>
          </w:tcPr>
          <w:p>
            <w:pPr>
              <w:spacing w:after="0"/>
              <w:rPr>
                <w:sz w:val="22"/>
                <w:szCs w:val="22"/>
                <w:color w:val="auto"/>
              </w:rPr>
            </w:pPr>
          </w:p>
        </w:tc>
        <w:tc>
          <w:tcPr>
            <w:tcW w:w="4000" w:type="dxa"/>
            <w:vAlign w:val="bottom"/>
            <w:gridSpan w:val="3"/>
            <w:shd w:val="clear" w:color="auto" w:fill="D1D2D4"/>
          </w:tcPr>
          <w:p>
            <w:pPr>
              <w:ind w:left="180"/>
              <w:spacing w:after="0"/>
              <w:rPr>
                <w:sz w:val="20"/>
                <w:szCs w:val="20"/>
                <w:color w:val="auto"/>
              </w:rPr>
            </w:pPr>
            <w:r>
              <w:rPr>
                <w:rFonts w:ascii="Arial" w:cs="Arial" w:eastAsia="Arial" w:hAnsi="Arial"/>
                <w:sz w:val="18"/>
                <w:szCs w:val="18"/>
                <w:color w:val="auto"/>
              </w:rPr>
              <w:t>Double Data Rate</w:t>
            </w:r>
          </w:p>
        </w:tc>
        <w:tc>
          <w:tcPr>
            <w:tcW w:w="1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VIE</w:t>
            </w:r>
          </w:p>
        </w:tc>
        <w:tc>
          <w:tcPr>
            <w:tcW w:w="4100" w:type="dxa"/>
            <w:vAlign w:val="bottom"/>
            <w:shd w:val="clear" w:color="auto" w:fill="D1D2D4"/>
          </w:tcPr>
          <w:p>
            <w:pPr>
              <w:ind w:left="380"/>
              <w:spacing w:after="0"/>
              <w:rPr>
                <w:sz w:val="20"/>
                <w:szCs w:val="20"/>
                <w:color w:val="auto"/>
              </w:rPr>
            </w:pPr>
            <w:r>
              <w:rPr>
                <w:rFonts w:ascii="Arial" w:cs="Arial" w:eastAsia="Arial" w:hAnsi="Arial"/>
                <w:sz w:val="18"/>
                <w:szCs w:val="18"/>
                <w:color w:val="auto"/>
              </w:rPr>
              <w:t>Variable Interest Entity</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GDDR</w:t>
            </w: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Graphics Double Data Rate</w:t>
            </w:r>
          </w:p>
        </w:tc>
        <w:tc>
          <w:tcPr>
            <w:tcW w:w="1460" w:type="dxa"/>
            <w:vAlign w:val="bottom"/>
          </w:tcPr>
          <w:p>
            <w:pPr>
              <w:spacing w:after="0"/>
              <w:rPr>
                <w:sz w:val="21"/>
                <w:szCs w:val="21"/>
                <w:color w:val="auto"/>
              </w:rPr>
            </w:pPr>
          </w:p>
        </w:tc>
        <w:tc>
          <w:tcPr>
            <w:tcW w:w="4100" w:type="dxa"/>
            <w:vAlign w:val="bottom"/>
          </w:tcPr>
          <w:p>
            <w:pPr>
              <w:spacing w:after="0"/>
              <w:rPr>
                <w:sz w:val="21"/>
                <w:szCs w:val="21"/>
                <w:color w:val="auto"/>
              </w:rPr>
            </w:pPr>
          </w:p>
        </w:tc>
      </w:tr>
    </w:tbl>
    <w:p>
      <w:pPr>
        <w:spacing w:after="0" w:line="31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 Crucial, and Ballistix — our broad portfolio of high-performance memory and storage technologies, including DRAM, NAND, 3D XPoint memory, and NOR, is transforming how the world uses information to enrich life. Backed by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Micron and the Micron orbit logo are trademarks of Micron Technology, Inc. 3D XPoint is a trademark of Intel in the United States and/or other countries. All other trademarks are the property of their respective owners.</w:t>
      </w:r>
    </w:p>
    <w:p>
      <w:pPr>
        <w:spacing w:after="0" w:line="15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Forward-looking statements include, but are not limited to, statements such as those made regarding changes in underutilization of our Lehi, Utah manufacturing capacity (previously known as IMFT and now known as MTU); the sufficiency of our cash and investments, cash flows from operations, and available financing; and capital spending in 2020.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13" w:right="299"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2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0090DA"/>
            </w:tcBorders>
          </w:tcPr>
          <w:p>
            <w:pPr>
              <w:spacing w:after="0"/>
              <w:rPr>
                <w:sz w:val="22"/>
                <w:szCs w:val="22"/>
                <w:color w:val="auto"/>
              </w:rPr>
            </w:pPr>
          </w:p>
        </w:tc>
        <w:tc>
          <w:tcPr>
            <w:tcW w:w="140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440" w:type="dxa"/>
            <w:vAlign w:val="bottom"/>
            <w:tcBorders>
              <w:bottom w:val="single" w:sz="8" w:color="0090DA"/>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35"/>
        </w:trPr>
        <w:tc>
          <w:tcPr>
            <w:tcW w:w="8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7"/>
        </w:trPr>
        <w:tc>
          <w:tcPr>
            <w:tcW w:w="8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5,144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7,913</w:t>
            </w:r>
          </w:p>
        </w:tc>
      </w:tr>
      <w:tr>
        <w:trPr>
          <w:trHeight w:val="252"/>
        </w:trPr>
        <w:tc>
          <w:tcPr>
            <w:tcW w:w="82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3,778</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3,298</w:t>
            </w:r>
          </w:p>
        </w:tc>
      </w:tr>
      <w:tr>
        <w:trPr>
          <w:trHeight w:val="255"/>
        </w:trPr>
        <w:tc>
          <w:tcPr>
            <w:tcW w:w="8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1,366</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4,615</w:t>
            </w:r>
          </w:p>
        </w:tc>
      </w:tr>
      <w:tr>
        <w:trPr>
          <w:trHeight w:val="257"/>
        </w:trPr>
        <w:tc>
          <w:tcPr>
            <w:tcW w:w="8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8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209</w:t>
            </w:r>
          </w:p>
        </w:tc>
      </w:tr>
      <w:tr>
        <w:trPr>
          <w:trHeight w:val="252"/>
        </w:trPr>
        <w:tc>
          <w:tcPr>
            <w:tcW w:w="82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611</w:t>
            </w:r>
          </w:p>
        </w:tc>
      </w:tr>
      <w:tr>
        <w:trPr>
          <w:trHeight w:val="261"/>
        </w:trPr>
        <w:tc>
          <w:tcPr>
            <w:tcW w:w="8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D1D2D4"/>
          </w:tcPr>
          <w:p>
            <w:pPr>
              <w:spacing w:after="0"/>
              <w:rPr>
                <w:sz w:val="22"/>
                <w:szCs w:val="22"/>
                <w:color w:val="auto"/>
              </w:rPr>
            </w:pPr>
          </w:p>
        </w:tc>
        <w:tc>
          <w:tcPr>
            <w:tcW w:w="14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36</w:t>
            </w:r>
          </w:p>
        </w:tc>
      </w:tr>
      <w:tr>
        <w:trPr>
          <w:trHeight w:val="245"/>
        </w:trPr>
        <w:tc>
          <w:tcPr>
            <w:tcW w:w="82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3,759</w:t>
            </w:r>
          </w:p>
        </w:tc>
      </w:tr>
      <w:tr>
        <w:trPr>
          <w:trHeight w:val="261"/>
        </w:trPr>
        <w:tc>
          <w:tcPr>
            <w:tcW w:w="82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2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261"/>
        </w:trPr>
        <w:tc>
          <w:tcPr>
            <w:tcW w:w="8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(33)</w:t>
            </w:r>
          </w:p>
        </w:tc>
      </w:tr>
      <w:tr>
        <w:trPr>
          <w:trHeight w:val="252"/>
        </w:trPr>
        <w:tc>
          <w:tcPr>
            <w:tcW w:w="82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r>
      <w:tr>
        <w:trPr>
          <w:trHeight w:val="255"/>
        </w:trPr>
        <w:tc>
          <w:tcPr>
            <w:tcW w:w="82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3,773</w:t>
            </w:r>
          </w:p>
        </w:tc>
      </w:tr>
      <w:tr>
        <w:trPr>
          <w:trHeight w:val="257"/>
        </w:trPr>
        <w:tc>
          <w:tcPr>
            <w:tcW w:w="8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8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(477)</w:t>
            </w:r>
          </w:p>
        </w:tc>
      </w:tr>
      <w:tr>
        <w:trPr>
          <w:trHeight w:val="252"/>
        </w:trPr>
        <w:tc>
          <w:tcPr>
            <w:tcW w:w="82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5"/>
        </w:trPr>
        <w:tc>
          <w:tcPr>
            <w:tcW w:w="8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3,296</w:t>
            </w:r>
          </w:p>
        </w:tc>
      </w:tr>
      <w:tr>
        <w:trPr>
          <w:trHeight w:val="257"/>
        </w:trPr>
        <w:tc>
          <w:tcPr>
            <w:tcW w:w="8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2"/>
        </w:trPr>
        <w:tc>
          <w:tcPr>
            <w:tcW w:w="8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D1D2D4"/>
          </w:tcPr>
          <w:p>
            <w:pPr>
              <w:spacing w:after="0"/>
              <w:rPr>
                <w:sz w:val="21"/>
                <w:szCs w:val="21"/>
                <w:color w:val="auto"/>
              </w:rPr>
            </w:pPr>
          </w:p>
        </w:tc>
        <w:tc>
          <w:tcPr>
            <w:tcW w:w="1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D1D2D4"/>
          </w:tcPr>
          <w:p>
            <w:pPr>
              <w:spacing w:after="0"/>
              <w:rPr>
                <w:sz w:val="21"/>
                <w:szCs w:val="21"/>
                <w:color w:val="auto"/>
              </w:rPr>
            </w:pPr>
          </w:p>
        </w:tc>
        <w:tc>
          <w:tcPr>
            <w:tcW w:w="14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w:t>
            </w:r>
          </w:p>
        </w:tc>
      </w:tr>
      <w:tr>
        <w:trPr>
          <w:trHeight w:val="255"/>
        </w:trPr>
        <w:tc>
          <w:tcPr>
            <w:tcW w:w="820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3,293</w:t>
            </w:r>
          </w:p>
        </w:tc>
      </w:tr>
      <w:tr>
        <w:trPr>
          <w:trHeight w:val="20"/>
        </w:trPr>
        <w:tc>
          <w:tcPr>
            <w:tcW w:w="82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8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4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440" w:type="dxa"/>
            <w:vAlign w:val="bottom"/>
            <w:shd w:val="clear" w:color="auto" w:fill="D1D2D4"/>
          </w:tcPr>
          <w:p>
            <w:pPr>
              <w:spacing w:after="0"/>
              <w:rPr>
                <w:sz w:val="19"/>
                <w:szCs w:val="19"/>
                <w:color w:val="auto"/>
              </w:rPr>
            </w:pPr>
          </w:p>
        </w:tc>
      </w:tr>
      <w:tr>
        <w:trPr>
          <w:trHeight w:val="252"/>
        </w:trPr>
        <w:tc>
          <w:tcPr>
            <w:tcW w:w="82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1"/>
        </w:trPr>
        <w:tc>
          <w:tcPr>
            <w:tcW w:w="8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2.91</w:t>
            </w:r>
          </w:p>
        </w:tc>
      </w:tr>
      <w:tr>
        <w:trPr>
          <w:trHeight w:val="252"/>
        </w:trPr>
        <w:tc>
          <w:tcPr>
            <w:tcW w:w="8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2.81</w:t>
            </w:r>
          </w:p>
        </w:tc>
      </w:tr>
      <w:tr>
        <w:trPr>
          <w:trHeight w:val="261"/>
        </w:trPr>
        <w:tc>
          <w:tcPr>
            <w:tcW w:w="82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2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1"/>
        </w:trPr>
        <w:tc>
          <w:tcPr>
            <w:tcW w:w="8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1,133</w:t>
            </w:r>
          </w:p>
        </w:tc>
      </w:tr>
      <w:tr>
        <w:trPr>
          <w:trHeight w:val="247"/>
        </w:trPr>
        <w:tc>
          <w:tcPr>
            <w:tcW w:w="8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906"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0340"/>
        <w:spacing w:after="0"/>
        <w:rPr>
          <w:sz w:val="20"/>
          <w:szCs w:val="20"/>
          <w:color w:val="auto"/>
        </w:rPr>
      </w:pPr>
      <w:r>
        <w:rPr>
          <w:sz w:val="1"/>
          <w:szCs w:val="1"/>
          <w:color w:val="auto"/>
        </w:rPr>
        <w:drawing>
          <wp:inline distT="0" distB="0" distL="0" distR="0">
            <wp:extent cx="591820" cy="1543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November 28,</w:t>
            </w:r>
          </w:p>
        </w:tc>
        <w:tc>
          <w:tcPr>
            <w:tcW w:w="220" w:type="dxa"/>
            <w:vAlign w:val="bottom"/>
          </w:tcPr>
          <w:p>
            <w:pPr>
              <w:spacing w:after="0"/>
              <w:rPr>
                <w:sz w:val="17"/>
                <w:szCs w:val="17"/>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0090DA"/>
            </w:tcBorders>
          </w:tcPr>
          <w:p>
            <w:pPr>
              <w:spacing w:after="0"/>
              <w:rPr>
                <w:sz w:val="22"/>
                <w:szCs w:val="22"/>
                <w:color w:val="auto"/>
              </w:rPr>
            </w:pPr>
          </w:p>
        </w:tc>
        <w:tc>
          <w:tcPr>
            <w:tcW w:w="140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0090DA"/>
            </w:tcBorders>
          </w:tcPr>
          <w:p>
            <w:pPr>
              <w:spacing w:after="0"/>
              <w:rPr>
                <w:sz w:val="22"/>
                <w:szCs w:val="22"/>
                <w:color w:val="auto"/>
              </w:rPr>
            </w:pPr>
          </w:p>
        </w:tc>
        <w:tc>
          <w:tcPr>
            <w:tcW w:w="1440" w:type="dxa"/>
            <w:vAlign w:val="bottom"/>
            <w:tcBorders>
              <w:bottom w:val="single" w:sz="8" w:color="0090DA"/>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35"/>
        </w:trPr>
        <w:tc>
          <w:tcPr>
            <w:tcW w:w="8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7"/>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3,296</w:t>
            </w:r>
          </w:p>
        </w:tc>
      </w:tr>
      <w:tr>
        <w:trPr>
          <w:trHeight w:val="257"/>
        </w:trPr>
        <w:tc>
          <w:tcPr>
            <w:tcW w:w="8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180" w:type="dxa"/>
            <w:vAlign w:val="bottom"/>
          </w:tcPr>
          <w:p>
            <w:pPr>
              <w:ind w:left="120"/>
              <w:spacing w:after="0"/>
              <w:rPr>
                <w:sz w:val="20"/>
                <w:szCs w:val="20"/>
                <w:color w:val="auto"/>
              </w:rPr>
            </w:pPr>
            <w:r>
              <w:rPr>
                <w:rFonts w:ascii="Arial" w:cs="Arial" w:eastAsia="Arial" w:hAnsi="Arial"/>
                <w:sz w:val="18"/>
                <w:szCs w:val="18"/>
                <w:color w:val="auto"/>
              </w:rPr>
              <w:t>Gains (losses) on investments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1"/>
        </w:trPr>
        <w:tc>
          <w:tcPr>
            <w:tcW w:w="81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Pension liability adjustments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2"/>
        </w:trPr>
        <w:tc>
          <w:tcPr>
            <w:tcW w:w="81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Gains (losses) on derivative instruments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55"/>
        </w:trPr>
        <w:tc>
          <w:tcPr>
            <w:tcW w:w="81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D1D2D4"/>
          </w:tcPr>
          <w:p>
            <w:pPr>
              <w:spacing w:after="0"/>
              <w:rPr>
                <w:sz w:val="22"/>
                <w:szCs w:val="22"/>
                <w:color w:val="auto"/>
              </w:rPr>
            </w:pPr>
          </w:p>
        </w:tc>
        <w:tc>
          <w:tcPr>
            <w:tcW w:w="14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(15)</w:t>
            </w:r>
          </w:p>
        </w:tc>
      </w:tr>
      <w:tr>
        <w:trPr>
          <w:trHeight w:val="245"/>
        </w:trPr>
        <w:tc>
          <w:tcPr>
            <w:tcW w:w="81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3,281</w:t>
            </w:r>
          </w:p>
        </w:tc>
      </w:tr>
      <w:tr>
        <w:trPr>
          <w:trHeight w:val="261"/>
        </w:trPr>
        <w:tc>
          <w:tcPr>
            <w:tcW w:w="8180" w:type="dxa"/>
            <w:vAlign w:val="bottom"/>
            <w:shd w:val="clear" w:color="auto" w:fill="D1D2D4"/>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6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D1D2D4"/>
          </w:tcPr>
          <w:p>
            <w:pPr>
              <w:spacing w:after="0"/>
              <w:rPr>
                <w:sz w:val="22"/>
                <w:szCs w:val="22"/>
                <w:color w:val="auto"/>
              </w:rPr>
            </w:pPr>
          </w:p>
        </w:tc>
        <w:tc>
          <w:tcPr>
            <w:tcW w:w="14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3,278</w:t>
            </w: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913" w:right="239" w:bottom="898"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3" w:right="239" w:bottom="898"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3,419</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4,943</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52"/>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5"/>
        </w:trPr>
        <w:tc>
          <w:tcPr>
            <w:tcW w:w="87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16,167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29,352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80"/>
        </w:trPr>
        <w:tc>
          <w:tcPr>
            <w:tcW w:w="874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49,649</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52"/>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5"/>
        </w:trPr>
        <w:tc>
          <w:tcPr>
            <w:tcW w:w="87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6,317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5,188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5"/>
        </w:trPr>
        <w:tc>
          <w:tcPr>
            <w:tcW w:w="874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13,051</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01"/>
        </w:trPr>
        <w:tc>
          <w:tcPr>
            <w:tcW w:w="874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87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1"/>
        </w:trPr>
        <w:tc>
          <w:tcPr>
            <w:tcW w:w="87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D1D2D4"/>
          </w:tcPr>
          <w:p>
            <w:pPr>
              <w:ind w:left="260"/>
              <w:spacing w:after="0" w:line="181" w:lineRule="exact"/>
              <w:rPr>
                <w:sz w:val="20"/>
                <w:szCs w:val="20"/>
                <w:color w:val="auto"/>
              </w:rPr>
            </w:pPr>
            <w:r>
              <w:rPr>
                <w:rFonts w:ascii="Arial" w:cs="Arial" w:eastAsia="Arial" w:hAnsi="Arial"/>
                <w:sz w:val="18"/>
                <w:szCs w:val="18"/>
                <w:color w:val="auto"/>
              </w:rPr>
              <w:t>Common stock, $0.10 par value, 3,000 shares authorized, 1,185 shares issued and 1,108 outstanding</w:t>
            </w:r>
          </w:p>
        </w:tc>
        <w:tc>
          <w:tcPr>
            <w:tcW w:w="28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ind w:right="3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87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(1,182 shares issued and 1,106 outstanding as of August 29, 2019)</w:t>
            </w:r>
          </w:p>
        </w:tc>
        <w:tc>
          <w:tcPr>
            <w:tcW w:w="280" w:type="dxa"/>
            <w:vAlign w:val="bottom"/>
            <w:shd w:val="clear" w:color="auto" w:fill="D1D2D4"/>
          </w:tcPr>
          <w:p>
            <w:pPr>
              <w:spacing w:after="0"/>
              <w:rPr>
                <w:sz w:val="19"/>
                <w:szCs w:val="19"/>
                <w:color w:val="auto"/>
              </w:rPr>
            </w:pPr>
          </w:p>
        </w:tc>
        <w:tc>
          <w:tcPr>
            <w:tcW w:w="1020" w:type="dxa"/>
            <w:vAlign w:val="bottom"/>
            <w:vMerge w:val="continue"/>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74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8,428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31,218</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57"/>
        </w:trPr>
        <w:tc>
          <w:tcPr>
            <w:tcW w:w="8740" w:type="dxa"/>
            <w:vAlign w:val="bottom"/>
          </w:tcPr>
          <w:p>
            <w:pPr>
              <w:ind w:left="220"/>
              <w:spacing w:after="0"/>
              <w:rPr>
                <w:sz w:val="20"/>
                <w:szCs w:val="20"/>
                <w:color w:val="auto"/>
              </w:rPr>
            </w:pPr>
            <w:r>
              <w:rPr>
                <w:rFonts w:ascii="Arial" w:cs="Arial" w:eastAsia="Arial" w:hAnsi="Arial"/>
                <w:sz w:val="18"/>
                <w:szCs w:val="18"/>
                <w:color w:val="auto"/>
              </w:rPr>
              <w:t>Treasury stock, 77 shares held (76 shares as of August 29, 2019)</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(3,271)</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57"/>
        </w:trPr>
        <w:tc>
          <w:tcPr>
            <w:tcW w:w="87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874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36,500</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35,881</w:t>
            </w:r>
          </w:p>
        </w:tc>
        <w:tc>
          <w:tcPr>
            <w:tcW w:w="0" w:type="dxa"/>
            <w:vAlign w:val="bottom"/>
          </w:tcPr>
          <w:p>
            <w:pPr>
              <w:spacing w:after="0"/>
              <w:rPr>
                <w:sz w:val="1"/>
                <w:szCs w:val="1"/>
                <w:color w:val="auto"/>
              </w:rPr>
            </w:pP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5"/>
        </w:trPr>
        <w:tc>
          <w:tcPr>
            <w:tcW w:w="874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36,500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80"/>
        </w:trPr>
        <w:tc>
          <w:tcPr>
            <w:tcW w:w="874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49,649</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913"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0340"/>
        <w:spacing w:after="0"/>
        <w:rPr>
          <w:sz w:val="20"/>
          <w:szCs w:val="20"/>
          <w:color w:val="auto"/>
        </w:rPr>
      </w:pPr>
      <w:r>
        <w:rPr>
          <w:sz w:val="1"/>
          <w:szCs w:val="1"/>
          <w:color w:val="auto"/>
        </w:rPr>
        <w:drawing>
          <wp:inline distT="0" distB="0" distL="0" distR="0">
            <wp:extent cx="591820" cy="1543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Borders>
              <w:bottom w:val="single" w:sz="8" w:color="0090DA"/>
            </w:tcBorders>
          </w:tcPr>
          <w:p>
            <w:pPr>
              <w:spacing w:after="0"/>
              <w:rPr>
                <w:sz w:val="20"/>
                <w:szCs w:val="20"/>
                <w:color w:val="auto"/>
              </w:rPr>
            </w:pPr>
          </w:p>
        </w:tc>
        <w:tc>
          <w:tcPr>
            <w:tcW w:w="66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500" w:type="dxa"/>
            <w:vAlign w:val="bottom"/>
            <w:tcBorders>
              <w:bottom w:val="single" w:sz="8" w:color="0090DA"/>
            </w:tcBorders>
          </w:tcPr>
          <w:p>
            <w:pPr>
              <w:spacing w:after="0"/>
              <w:rPr>
                <w:sz w:val="20"/>
                <w:szCs w:val="20"/>
                <w:color w:val="auto"/>
              </w:rPr>
            </w:pPr>
          </w:p>
        </w:tc>
        <w:tc>
          <w:tcPr>
            <w:tcW w:w="2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740" w:type="dxa"/>
            <w:vAlign w:val="bottom"/>
            <w:tcBorders>
              <w:bottom w:val="single" w:sz="8" w:color="0090DA"/>
            </w:tcBorders>
          </w:tcPr>
          <w:p>
            <w:pPr>
              <w:spacing w:after="0"/>
              <w:rPr>
                <w:sz w:val="20"/>
                <w:szCs w:val="20"/>
                <w:color w:val="auto"/>
              </w:rPr>
            </w:pPr>
          </w:p>
        </w:tc>
        <w:tc>
          <w:tcPr>
            <w:tcW w:w="1740" w:type="dxa"/>
            <w:vAlign w:val="bottom"/>
            <w:tcBorders>
              <w:bottom w:val="single" w:sz="8" w:color="0090DA"/>
            </w:tcBorders>
            <w:gridSpan w:val="3"/>
          </w:tcPr>
          <w:p>
            <w:pPr>
              <w:jc w:val="right"/>
              <w:spacing w:after="0"/>
              <w:rPr>
                <w:sz w:val="20"/>
                <w:szCs w:val="20"/>
                <w:color w:val="auto"/>
              </w:rPr>
            </w:pPr>
            <w:r>
              <w:rPr>
                <w:rFonts w:ascii="Arial" w:cs="Arial" w:eastAsia="Arial" w:hAnsi="Arial"/>
                <w:sz w:val="16"/>
                <w:szCs w:val="16"/>
                <w:b w:val="1"/>
                <w:bCs w:val="1"/>
                <w:color w:val="auto"/>
              </w:rPr>
              <w:t>Micron Shareholders</w:t>
            </w:r>
          </w:p>
        </w:tc>
        <w:tc>
          <w:tcPr>
            <w:tcW w:w="116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Borders>
              <w:bottom w:val="single" w:sz="8" w:color="0090DA"/>
            </w:tcBorders>
          </w:tcPr>
          <w:p>
            <w:pPr>
              <w:spacing w:after="0"/>
              <w:rPr>
                <w:sz w:val="20"/>
                <w:szCs w:val="20"/>
                <w:color w:val="auto"/>
              </w:rPr>
            </w:pPr>
          </w:p>
        </w:tc>
        <w:tc>
          <w:tcPr>
            <w:tcW w:w="1380" w:type="dxa"/>
            <w:vAlign w:val="bottom"/>
            <w:tcBorders>
              <w:bottom w:val="single" w:sz="8" w:color="0090DA"/>
            </w:tcBorders>
            <w:gridSpan w:val="3"/>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Total Micron</w:t>
            </w:r>
          </w:p>
        </w:tc>
        <w:tc>
          <w:tcPr>
            <w:tcW w:w="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Noncontrolling</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800" w:type="dxa"/>
            <w:vAlign w:val="bottom"/>
          </w:tcPr>
          <w:p>
            <w:pPr>
              <w:ind w:left="80"/>
              <w:spacing w:after="0"/>
              <w:rPr>
                <w:sz w:val="20"/>
                <w:szCs w:val="20"/>
                <w:color w:val="auto"/>
              </w:rPr>
            </w:pPr>
            <w:r>
              <w:rPr>
                <w:rFonts w:ascii="Arial" w:cs="Arial" w:eastAsia="Arial" w:hAnsi="Arial"/>
                <w:sz w:val="16"/>
                <w:szCs w:val="16"/>
                <w:b w:val="1"/>
                <w:bCs w:val="1"/>
                <w:color w:val="auto"/>
              </w:rPr>
              <w:t>Retained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Treasury</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Shareholders’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Interest in</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0090DA"/>
            </w:tcBorders>
          </w:tcPr>
          <w:p>
            <w:pPr>
              <w:spacing w:after="0"/>
              <w:rPr>
                <w:sz w:val="20"/>
                <w:szCs w:val="20"/>
                <w:color w:val="auto"/>
              </w:rPr>
            </w:pPr>
          </w:p>
        </w:tc>
        <w:tc>
          <w:tcPr>
            <w:tcW w:w="2960" w:type="dxa"/>
            <w:vAlign w:val="bottom"/>
            <w:tcBorders>
              <w:bottom w:val="single" w:sz="8" w:color="0090DA"/>
            </w:tcBorders>
          </w:tcPr>
          <w:p>
            <w:pPr>
              <w:spacing w:after="0"/>
              <w:rPr>
                <w:sz w:val="20"/>
                <w:szCs w:val="20"/>
                <w:color w:val="auto"/>
              </w:rPr>
            </w:pPr>
          </w:p>
        </w:tc>
        <w:tc>
          <w:tcPr>
            <w:tcW w:w="20" w:type="dxa"/>
            <w:vAlign w:val="bottom"/>
            <w:tcBorders>
              <w:bottom w:val="single" w:sz="8" w:color="0090DA"/>
            </w:tcBorders>
          </w:tcPr>
          <w:p>
            <w:pPr>
              <w:spacing w:after="0"/>
              <w:rPr>
                <w:sz w:val="20"/>
                <w:szCs w:val="20"/>
                <w:color w:val="auto"/>
              </w:rPr>
            </w:pPr>
          </w:p>
        </w:tc>
        <w:tc>
          <w:tcPr>
            <w:tcW w:w="6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2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74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Capital</w:t>
            </w:r>
          </w:p>
        </w:tc>
        <w:tc>
          <w:tcPr>
            <w:tcW w:w="800" w:type="dxa"/>
            <w:vAlign w:val="bottom"/>
            <w:tcBorders>
              <w:bottom w:val="single" w:sz="8" w:color="0090DA"/>
            </w:tcBorders>
          </w:tcPr>
          <w:p>
            <w:pPr>
              <w:ind w:left="80"/>
              <w:spacing w:after="0"/>
              <w:rPr>
                <w:sz w:val="20"/>
                <w:szCs w:val="20"/>
                <w:color w:val="auto"/>
              </w:rPr>
            </w:pPr>
            <w:r>
              <w:rPr>
                <w:rFonts w:ascii="Arial" w:cs="Arial" w:eastAsia="Arial" w:hAnsi="Arial"/>
                <w:sz w:val="16"/>
                <w:szCs w:val="16"/>
                <w:b w:val="1"/>
                <w:bCs w:val="1"/>
                <w:color w:val="auto"/>
              </w:rPr>
              <w:t>Earnings</w:t>
            </w:r>
          </w:p>
        </w:tc>
        <w:tc>
          <w:tcPr>
            <w:tcW w:w="8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Stock</w:t>
            </w:r>
          </w:p>
        </w:tc>
        <w:tc>
          <w:tcPr>
            <w:tcW w:w="13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Equity</w:t>
            </w:r>
          </w:p>
        </w:tc>
        <w:tc>
          <w:tcPr>
            <w:tcW w:w="2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Subsidiary</w:t>
            </w:r>
          </w:p>
        </w:tc>
        <w:tc>
          <w:tcPr>
            <w:tcW w:w="8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w w:val="98"/>
              </w:rPr>
              <w:t>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1D2D4"/>
          </w:tcPr>
          <w:p>
            <w:pPr>
              <w:spacing w:after="0"/>
              <w:rPr>
                <w:sz w:val="21"/>
                <w:szCs w:val="21"/>
                <w:color w:val="auto"/>
              </w:rPr>
            </w:pPr>
          </w:p>
        </w:tc>
        <w:tc>
          <w:tcPr>
            <w:tcW w:w="2960" w:type="dxa"/>
            <w:vAlign w:val="bottom"/>
            <w:shd w:val="clear" w:color="auto" w:fill="D1D2D4"/>
          </w:tcPr>
          <w:p>
            <w:pPr>
              <w:spacing w:after="0"/>
              <w:rPr>
                <w:sz w:val="20"/>
                <w:szCs w:val="20"/>
                <w:color w:val="auto"/>
              </w:rPr>
            </w:pPr>
            <w:r>
              <w:rPr>
                <w:rFonts w:ascii="Arial" w:cs="Arial" w:eastAsia="Arial" w:hAnsi="Arial"/>
                <w:sz w:val="16"/>
                <w:szCs w:val="16"/>
                <w:b w:val="1"/>
                <w:bCs w:val="1"/>
                <w:color w:val="auto"/>
              </w:rPr>
              <w:t>Balance at August 29, 2019</w:t>
            </w:r>
          </w:p>
        </w:tc>
        <w:tc>
          <w:tcPr>
            <w:tcW w:w="680" w:type="dxa"/>
            <w:vAlign w:val="bottom"/>
            <w:gridSpan w:val="2"/>
            <w:shd w:val="clear" w:color="auto" w:fill="D1D2D4"/>
          </w:tcPr>
          <w:p>
            <w:pPr>
              <w:jc w:val="right"/>
              <w:ind w:right="59"/>
              <w:spacing w:after="0"/>
              <w:rPr>
                <w:sz w:val="20"/>
                <w:szCs w:val="20"/>
                <w:color w:val="auto"/>
              </w:rPr>
            </w:pPr>
            <w:r>
              <w:rPr>
                <w:rFonts w:ascii="Arial" w:cs="Arial" w:eastAsia="Arial" w:hAnsi="Arial"/>
                <w:sz w:val="16"/>
                <w:szCs w:val="16"/>
                <w:color w:val="auto"/>
              </w:rPr>
              <w:t>1,182</w:t>
            </w:r>
          </w:p>
        </w:tc>
        <w:tc>
          <w:tcPr>
            <w:tcW w:w="22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118</w:t>
            </w:r>
          </w:p>
        </w:tc>
        <w:tc>
          <w:tcPr>
            <w:tcW w:w="1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8,214</w:t>
            </w:r>
          </w:p>
        </w:tc>
        <w:tc>
          <w:tcPr>
            <w:tcW w:w="800" w:type="dxa"/>
            <w:vAlign w:val="bottom"/>
            <w:shd w:val="clear" w:color="auto" w:fill="D1D2D4"/>
          </w:tcPr>
          <w:p>
            <w:pPr>
              <w:jc w:val="right"/>
              <w:ind w:right="39"/>
              <w:spacing w:after="0"/>
              <w:rPr>
                <w:sz w:val="20"/>
                <w:szCs w:val="20"/>
                <w:color w:val="auto"/>
              </w:rPr>
            </w:pPr>
            <w:r>
              <w:rPr>
                <w:rFonts w:ascii="Arial" w:cs="Arial" w:eastAsia="Arial" w:hAnsi="Arial"/>
                <w:sz w:val="16"/>
                <w:szCs w:val="16"/>
                <w:color w:val="auto"/>
              </w:rPr>
              <w:t>$ 30,761</w:t>
            </w:r>
          </w:p>
        </w:tc>
        <w:tc>
          <w:tcPr>
            <w:tcW w:w="80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 (3,221)</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35,881</w:t>
            </w:r>
          </w:p>
        </w:tc>
        <w:tc>
          <w:tcPr>
            <w:tcW w:w="14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889</w:t>
            </w:r>
          </w:p>
        </w:tc>
        <w:tc>
          <w:tcPr>
            <w:tcW w:w="82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$ 36,770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D1D2D4"/>
          </w:tcPr>
          <w:p>
            <w:pPr>
              <w:spacing w:after="0"/>
              <w:rPr>
                <w:sz w:val="21"/>
                <w:szCs w:val="21"/>
                <w:color w:val="auto"/>
              </w:rPr>
            </w:pPr>
          </w:p>
        </w:tc>
        <w:tc>
          <w:tcPr>
            <w:tcW w:w="2960" w:type="dxa"/>
            <w:vAlign w:val="bottom"/>
            <w:shd w:val="clear" w:color="auto" w:fill="D1D2D4"/>
          </w:tcPr>
          <w:p>
            <w:pPr>
              <w:spacing w:after="0"/>
              <w:rPr>
                <w:sz w:val="20"/>
                <w:szCs w:val="20"/>
                <w:color w:val="auto"/>
              </w:rPr>
            </w:pPr>
            <w:r>
              <w:rPr>
                <w:rFonts w:ascii="Arial" w:cs="Arial" w:eastAsia="Arial" w:hAnsi="Arial"/>
                <w:sz w:val="16"/>
                <w:szCs w:val="16"/>
                <w:color w:val="auto"/>
              </w:rPr>
              <w:t>Other comprehensive income (loss), net</w:t>
            </w:r>
          </w:p>
        </w:tc>
        <w:tc>
          <w:tcPr>
            <w:tcW w:w="20" w:type="dxa"/>
            <w:vAlign w:val="bottom"/>
            <w:shd w:val="clear" w:color="auto" w:fill="D1D2D4"/>
          </w:tcPr>
          <w:p>
            <w:pPr>
              <w:spacing w:after="0"/>
              <w:rPr>
                <w:sz w:val="21"/>
                <w:szCs w:val="21"/>
                <w:color w:val="auto"/>
              </w:rPr>
            </w:pPr>
          </w:p>
        </w:tc>
        <w:tc>
          <w:tcPr>
            <w:tcW w:w="66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500" w:type="dxa"/>
            <w:vAlign w:val="bottom"/>
            <w:shd w:val="clear" w:color="auto" w:fill="D1D2D4"/>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shd w:val="clear" w:color="auto" w:fill="D1D2D4"/>
          </w:tcPr>
          <w:p>
            <w:pPr>
              <w:spacing w:after="0"/>
              <w:rPr>
                <w:sz w:val="21"/>
                <w:szCs w:val="21"/>
                <w:color w:val="auto"/>
              </w:rPr>
            </w:pPr>
          </w:p>
        </w:tc>
        <w:tc>
          <w:tcPr>
            <w:tcW w:w="800" w:type="dxa"/>
            <w:vAlign w:val="bottom"/>
            <w:shd w:val="clear" w:color="auto" w:fill="D1D2D4"/>
          </w:tcPr>
          <w:p>
            <w:pPr>
              <w:spacing w:after="0"/>
              <w:rPr>
                <w:sz w:val="21"/>
                <w:szCs w:val="21"/>
                <w:color w:val="auto"/>
              </w:rPr>
            </w:pPr>
          </w:p>
        </w:tc>
        <w:tc>
          <w:tcPr>
            <w:tcW w:w="8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16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82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Stock issued under stock plans</w:t>
            </w:r>
          </w:p>
        </w:tc>
        <w:tc>
          <w:tcPr>
            <w:tcW w:w="680" w:type="dxa"/>
            <w:vAlign w:val="bottom"/>
            <w:gridSpan w:val="2"/>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D1D2D4"/>
          </w:tcPr>
          <w:p>
            <w:pPr>
              <w:spacing w:after="0"/>
              <w:rPr>
                <w:sz w:val="21"/>
                <w:szCs w:val="21"/>
                <w:color w:val="auto"/>
              </w:rPr>
            </w:pPr>
          </w:p>
        </w:tc>
        <w:tc>
          <w:tcPr>
            <w:tcW w:w="2960" w:type="dxa"/>
            <w:vAlign w:val="bottom"/>
            <w:shd w:val="clear" w:color="auto" w:fill="D1D2D4"/>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D1D2D4"/>
          </w:tcPr>
          <w:p>
            <w:pPr>
              <w:spacing w:after="0"/>
              <w:rPr>
                <w:sz w:val="21"/>
                <w:szCs w:val="21"/>
                <w:color w:val="auto"/>
              </w:rPr>
            </w:pPr>
          </w:p>
        </w:tc>
        <w:tc>
          <w:tcPr>
            <w:tcW w:w="66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500" w:type="dxa"/>
            <w:vAlign w:val="bottom"/>
            <w:shd w:val="clear" w:color="auto" w:fill="D1D2D4"/>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72</w:t>
            </w:r>
          </w:p>
        </w:tc>
        <w:tc>
          <w:tcPr>
            <w:tcW w:w="800" w:type="dxa"/>
            <w:vAlign w:val="bottom"/>
            <w:shd w:val="clear" w:color="auto" w:fill="D1D2D4"/>
          </w:tcPr>
          <w:p>
            <w:pPr>
              <w:spacing w:after="0"/>
              <w:rPr>
                <w:sz w:val="21"/>
                <w:szCs w:val="21"/>
                <w:color w:val="auto"/>
              </w:rPr>
            </w:pPr>
          </w:p>
        </w:tc>
        <w:tc>
          <w:tcPr>
            <w:tcW w:w="8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72</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82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Repurchase of stock</w:t>
            </w:r>
          </w:p>
        </w:tc>
        <w:tc>
          <w:tcPr>
            <w:tcW w:w="2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D1D2D4"/>
          </w:tcPr>
          <w:p>
            <w:pPr>
              <w:spacing w:after="0"/>
              <w:rPr>
                <w:sz w:val="21"/>
                <w:szCs w:val="21"/>
                <w:color w:val="auto"/>
              </w:rPr>
            </w:pPr>
          </w:p>
        </w:tc>
        <w:tc>
          <w:tcPr>
            <w:tcW w:w="2960" w:type="dxa"/>
            <w:vAlign w:val="bottom"/>
            <w:shd w:val="clear" w:color="auto" w:fill="D1D2D4"/>
          </w:tcPr>
          <w:p>
            <w:pPr>
              <w:spacing w:after="0"/>
              <w:rPr>
                <w:sz w:val="20"/>
                <w:szCs w:val="20"/>
                <w:color w:val="auto"/>
              </w:rPr>
            </w:pPr>
            <w:r>
              <w:rPr>
                <w:rFonts w:ascii="Arial" w:cs="Arial" w:eastAsia="Arial" w:hAnsi="Arial"/>
                <w:sz w:val="16"/>
                <w:szCs w:val="16"/>
                <w:color w:val="auto"/>
              </w:rPr>
              <w:t>Acquisition of noncontrolling interest</w:t>
            </w:r>
          </w:p>
        </w:tc>
        <w:tc>
          <w:tcPr>
            <w:tcW w:w="20" w:type="dxa"/>
            <w:vAlign w:val="bottom"/>
            <w:shd w:val="clear" w:color="auto" w:fill="D1D2D4"/>
          </w:tcPr>
          <w:p>
            <w:pPr>
              <w:spacing w:after="0"/>
              <w:rPr>
                <w:sz w:val="21"/>
                <w:szCs w:val="21"/>
                <w:color w:val="auto"/>
              </w:rPr>
            </w:pPr>
          </w:p>
        </w:tc>
        <w:tc>
          <w:tcPr>
            <w:tcW w:w="66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500" w:type="dxa"/>
            <w:vAlign w:val="bottom"/>
            <w:shd w:val="clear" w:color="auto" w:fill="D1D2D4"/>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123</w:t>
            </w:r>
          </w:p>
        </w:tc>
        <w:tc>
          <w:tcPr>
            <w:tcW w:w="800" w:type="dxa"/>
            <w:vAlign w:val="bottom"/>
            <w:shd w:val="clear" w:color="auto" w:fill="D1D2D4"/>
          </w:tcPr>
          <w:p>
            <w:pPr>
              <w:spacing w:after="0"/>
              <w:rPr>
                <w:sz w:val="21"/>
                <w:szCs w:val="21"/>
                <w:color w:val="auto"/>
              </w:rPr>
            </w:pPr>
          </w:p>
        </w:tc>
        <w:tc>
          <w:tcPr>
            <w:tcW w:w="8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123</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(904)</w:t>
            </w:r>
          </w:p>
        </w:tc>
        <w:tc>
          <w:tcPr>
            <w:tcW w:w="82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(781)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Pr>
          <w:p>
            <w:pPr>
              <w:spacing w:after="0" w:line="162" w:lineRule="exact"/>
              <w:rPr>
                <w:sz w:val="20"/>
                <w:szCs w:val="20"/>
                <w:color w:val="auto"/>
              </w:rPr>
            </w:pPr>
            <w:r>
              <w:rPr>
                <w:rFonts w:ascii="Arial" w:cs="Arial" w:eastAsia="Arial" w:hAnsi="Arial"/>
                <w:sz w:val="16"/>
                <w:szCs w:val="16"/>
                <w:color w:val="auto"/>
              </w:rPr>
              <w:t>Conversion and repurchase of</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(6)</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D1D2D4"/>
            </w:tcBorders>
          </w:tcPr>
          <w:p>
            <w:pPr>
              <w:spacing w:after="0"/>
              <w:rPr>
                <w:sz w:val="18"/>
                <w:szCs w:val="18"/>
                <w:color w:val="auto"/>
              </w:rPr>
            </w:pPr>
          </w:p>
        </w:tc>
        <w:tc>
          <w:tcPr>
            <w:tcW w:w="296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convertible notes</w:t>
            </w: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D1D2D4"/>
            </w:tcBorders>
            <w:shd w:val="clear" w:color="auto" w:fill="D1D2D4"/>
          </w:tcPr>
          <w:p>
            <w:pPr>
              <w:spacing w:after="0"/>
              <w:rPr>
                <w:sz w:val="22"/>
                <w:szCs w:val="22"/>
                <w:color w:val="auto"/>
              </w:rPr>
            </w:pPr>
          </w:p>
        </w:tc>
        <w:tc>
          <w:tcPr>
            <w:tcW w:w="296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6"/>
                <w:szCs w:val="16"/>
                <w:b w:val="1"/>
                <w:bCs w:val="1"/>
                <w:color w:val="auto"/>
              </w:rPr>
              <w:t>Balance at November 28, 2019</w:t>
            </w:r>
          </w:p>
        </w:tc>
        <w:tc>
          <w:tcPr>
            <w:tcW w:w="680" w:type="dxa"/>
            <w:vAlign w:val="bottom"/>
            <w:tcBorders>
              <w:bottom w:val="single" w:sz="8" w:color="auto"/>
            </w:tcBorders>
            <w:gridSpan w:val="2"/>
            <w:shd w:val="clear" w:color="auto" w:fill="D1D2D4"/>
          </w:tcPr>
          <w:p>
            <w:pPr>
              <w:jc w:val="right"/>
              <w:ind w:right="59"/>
              <w:spacing w:after="0"/>
              <w:rPr>
                <w:sz w:val="20"/>
                <w:szCs w:val="20"/>
                <w:color w:val="auto"/>
              </w:rPr>
            </w:pPr>
            <w:r>
              <w:rPr>
                <w:rFonts w:ascii="Arial" w:cs="Arial" w:eastAsia="Arial" w:hAnsi="Arial"/>
                <w:sz w:val="16"/>
                <w:szCs w:val="16"/>
                <w:color w:val="auto"/>
              </w:rPr>
              <w:t>1,185</w:t>
            </w:r>
          </w:p>
        </w:tc>
        <w:tc>
          <w:tcPr>
            <w:tcW w:w="220" w:type="dxa"/>
            <w:vAlign w:val="bottom"/>
            <w:tcBorders>
              <w:bottom w:val="single" w:sz="8" w:color="auto"/>
            </w:tcBorders>
            <w:shd w:val="clear" w:color="auto" w:fill="D1D2D4"/>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1D2D4"/>
          </w:tcPr>
          <w:p>
            <w:pPr>
              <w:jc w:val="right"/>
              <w:ind w:right="59"/>
              <w:spacing w:after="0"/>
              <w:rPr>
                <w:sz w:val="20"/>
                <w:szCs w:val="20"/>
                <w:color w:val="auto"/>
              </w:rPr>
            </w:pPr>
            <w:r>
              <w:rPr>
                <w:rFonts w:ascii="Arial" w:cs="Arial" w:eastAsia="Arial" w:hAnsi="Arial"/>
                <w:sz w:val="16"/>
                <w:szCs w:val="16"/>
                <w:color w:val="auto"/>
              </w:rPr>
              <w:t>119</w:t>
            </w:r>
          </w:p>
        </w:tc>
        <w:tc>
          <w:tcPr>
            <w:tcW w:w="1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D1D2D4"/>
          </w:tcPr>
          <w:p>
            <w:pPr>
              <w:jc w:val="right"/>
              <w:ind w:right="59"/>
              <w:spacing w:after="0"/>
              <w:rPr>
                <w:sz w:val="20"/>
                <w:szCs w:val="20"/>
                <w:color w:val="auto"/>
              </w:rPr>
            </w:pPr>
            <w:r>
              <w:rPr>
                <w:rFonts w:ascii="Arial" w:cs="Arial" w:eastAsia="Arial" w:hAnsi="Arial"/>
                <w:sz w:val="16"/>
                <w:szCs w:val="16"/>
                <w:color w:val="auto"/>
              </w:rPr>
              <w:t>8,428</w:t>
            </w:r>
          </w:p>
        </w:tc>
        <w:tc>
          <w:tcPr>
            <w:tcW w:w="800" w:type="dxa"/>
            <w:vAlign w:val="bottom"/>
            <w:tcBorders>
              <w:bottom w:val="single" w:sz="8" w:color="auto"/>
            </w:tcBorders>
            <w:shd w:val="clear" w:color="auto" w:fill="D1D2D4"/>
          </w:tcPr>
          <w:p>
            <w:pPr>
              <w:jc w:val="right"/>
              <w:ind w:right="39"/>
              <w:spacing w:after="0"/>
              <w:rPr>
                <w:sz w:val="20"/>
                <w:szCs w:val="20"/>
                <w:color w:val="auto"/>
              </w:rPr>
            </w:pPr>
            <w:r>
              <w:rPr>
                <w:rFonts w:ascii="Arial" w:cs="Arial" w:eastAsia="Arial" w:hAnsi="Arial"/>
                <w:sz w:val="16"/>
                <w:szCs w:val="16"/>
                <w:color w:val="auto"/>
              </w:rPr>
              <w:t>$ 31,218</w:t>
            </w:r>
          </w:p>
        </w:tc>
        <w:tc>
          <w:tcPr>
            <w:tcW w:w="800" w:type="dxa"/>
            <w:vAlign w:val="bottom"/>
            <w:tcBorders>
              <w:bottom w:val="single" w:sz="8" w:color="auto"/>
            </w:tcBorders>
            <w:shd w:val="clear" w:color="auto" w:fill="D1D2D4"/>
          </w:tcPr>
          <w:p>
            <w:pPr>
              <w:jc w:val="right"/>
              <w:ind w:right="19"/>
              <w:spacing w:after="0"/>
              <w:rPr>
                <w:sz w:val="20"/>
                <w:szCs w:val="20"/>
                <w:color w:val="auto"/>
              </w:rPr>
            </w:pPr>
            <w:r>
              <w:rPr>
                <w:rFonts w:ascii="Arial" w:cs="Arial" w:eastAsia="Arial" w:hAnsi="Arial"/>
                <w:sz w:val="16"/>
                <w:szCs w:val="16"/>
                <w:color w:val="auto"/>
              </w:rPr>
              <w:t>$ (3,271)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1D2D4"/>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1D2D4"/>
          </w:tcPr>
          <w:p>
            <w:pPr>
              <w:jc w:val="right"/>
              <w:ind w:right="59"/>
              <w:spacing w:after="0"/>
              <w:rPr>
                <w:sz w:val="20"/>
                <w:szCs w:val="20"/>
                <w:color w:val="auto"/>
              </w:rPr>
            </w:pPr>
            <w:r>
              <w:rPr>
                <w:rFonts w:ascii="Arial" w:cs="Arial" w:eastAsia="Arial" w:hAnsi="Arial"/>
                <w:sz w:val="16"/>
                <w:szCs w:val="16"/>
                <w:color w:val="auto"/>
              </w:rPr>
              <w:t>36,500</w:t>
            </w:r>
          </w:p>
        </w:tc>
        <w:tc>
          <w:tcPr>
            <w:tcW w:w="140" w:type="dxa"/>
            <w:vAlign w:val="bottom"/>
            <w:tcBorders>
              <w:bottom w:val="single" w:sz="8" w:color="auto"/>
            </w:tcBorders>
            <w:gridSpan w:val="2"/>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1D2D4"/>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1D2D4"/>
          </w:tcPr>
          <w:p>
            <w:pPr>
              <w:jc w:val="right"/>
              <w:ind w:right="59"/>
              <w:spacing w:after="0"/>
              <w:rPr>
                <w:sz w:val="20"/>
                <w:szCs w:val="20"/>
                <w:color w:val="auto"/>
              </w:rPr>
            </w:pPr>
            <w:r>
              <w:rPr>
                <w:rFonts w:ascii="Arial" w:cs="Arial" w:eastAsia="Arial" w:hAnsi="Arial"/>
                <w:sz w:val="16"/>
                <w:szCs w:val="16"/>
                <w:color w:val="auto"/>
              </w:rPr>
              <w:t>$ 36,500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1D2D4"/>
            </w:tcBorders>
          </w:tcPr>
          <w:p>
            <w:pPr>
              <w:spacing w:after="0" w:line="20" w:lineRule="exact"/>
              <w:rPr>
                <w:sz w:val="1"/>
                <w:szCs w:val="1"/>
                <w:color w:val="auto"/>
              </w:rPr>
            </w:pPr>
          </w:p>
        </w:tc>
        <w:tc>
          <w:tcPr>
            <w:tcW w:w="2960" w:type="dxa"/>
            <w:vAlign w:val="bottom"/>
            <w:tcBorders>
              <w:top w:val="single" w:sz="8" w:color="D1D2D4"/>
            </w:tcBorders>
          </w:tcPr>
          <w:p>
            <w:pPr>
              <w:spacing w:after="0" w:line="20" w:lineRule="exact"/>
              <w:rPr>
                <w:sz w:val="1"/>
                <w:szCs w:val="1"/>
                <w:color w:val="auto"/>
              </w:rPr>
            </w:pPr>
          </w:p>
        </w:tc>
        <w:tc>
          <w:tcPr>
            <w:tcW w:w="2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5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1740" w:type="dxa"/>
            <w:vAlign w:val="bottom"/>
            <w:tcBorders>
              <w:top w:val="single" w:sz="8" w:color="D1D2D4"/>
              <w:bottom w:val="single" w:sz="8" w:color="auto"/>
            </w:tcBorders>
            <w:gridSpan w:val="3"/>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90DA"/>
            </w:tcBorders>
          </w:tcPr>
          <w:p>
            <w:pPr>
              <w:spacing w:after="0"/>
              <w:rPr>
                <w:sz w:val="24"/>
                <w:szCs w:val="24"/>
                <w:color w:val="auto"/>
              </w:rPr>
            </w:pPr>
          </w:p>
        </w:tc>
        <w:tc>
          <w:tcPr>
            <w:tcW w:w="220" w:type="dxa"/>
            <w:vAlign w:val="bottom"/>
            <w:tcBorders>
              <w:bottom w:val="single" w:sz="8" w:color="0090DA"/>
            </w:tcBorders>
          </w:tcPr>
          <w:p>
            <w:pPr>
              <w:spacing w:after="0"/>
              <w:rPr>
                <w:sz w:val="24"/>
                <w:szCs w:val="24"/>
                <w:color w:val="auto"/>
              </w:rPr>
            </w:pPr>
          </w:p>
        </w:tc>
        <w:tc>
          <w:tcPr>
            <w:tcW w:w="500" w:type="dxa"/>
            <w:vAlign w:val="bottom"/>
            <w:tcBorders>
              <w:bottom w:val="single" w:sz="8" w:color="0090DA"/>
            </w:tcBorders>
          </w:tcPr>
          <w:p>
            <w:pPr>
              <w:spacing w:after="0"/>
              <w:rPr>
                <w:sz w:val="24"/>
                <w:szCs w:val="24"/>
                <w:color w:val="auto"/>
              </w:rPr>
            </w:pPr>
          </w:p>
        </w:tc>
        <w:tc>
          <w:tcPr>
            <w:tcW w:w="2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740" w:type="dxa"/>
            <w:vAlign w:val="bottom"/>
            <w:tcBorders>
              <w:bottom w:val="single" w:sz="8" w:color="0090DA"/>
            </w:tcBorders>
          </w:tcPr>
          <w:p>
            <w:pPr>
              <w:spacing w:after="0"/>
              <w:rPr>
                <w:sz w:val="24"/>
                <w:szCs w:val="24"/>
                <w:color w:val="auto"/>
              </w:rPr>
            </w:pPr>
          </w:p>
        </w:tc>
        <w:tc>
          <w:tcPr>
            <w:tcW w:w="1740" w:type="dxa"/>
            <w:vAlign w:val="bottom"/>
            <w:tcBorders>
              <w:bottom w:val="single" w:sz="8" w:color="0090DA"/>
            </w:tcBorders>
            <w:gridSpan w:val="3"/>
          </w:tcPr>
          <w:p>
            <w:pPr>
              <w:jc w:val="right"/>
              <w:spacing w:after="0"/>
              <w:rPr>
                <w:sz w:val="20"/>
                <w:szCs w:val="20"/>
                <w:color w:val="auto"/>
              </w:rPr>
            </w:pPr>
            <w:r>
              <w:rPr>
                <w:rFonts w:ascii="Arial" w:cs="Arial" w:eastAsia="Arial" w:hAnsi="Arial"/>
                <w:sz w:val="16"/>
                <w:szCs w:val="16"/>
                <w:b w:val="1"/>
                <w:bCs w:val="1"/>
                <w:color w:val="auto"/>
              </w:rPr>
              <w:t>Micron Shareholders</w:t>
            </w:r>
          </w:p>
        </w:tc>
        <w:tc>
          <w:tcPr>
            <w:tcW w:w="116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1080" w:type="dxa"/>
            <w:vAlign w:val="bottom"/>
            <w:tcBorders>
              <w:bottom w:val="single" w:sz="8" w:color="0090DA"/>
            </w:tcBorders>
          </w:tcPr>
          <w:p>
            <w:pPr>
              <w:spacing w:after="0"/>
              <w:rPr>
                <w:sz w:val="24"/>
                <w:szCs w:val="24"/>
                <w:color w:val="auto"/>
              </w:rPr>
            </w:pPr>
          </w:p>
        </w:tc>
        <w:tc>
          <w:tcPr>
            <w:tcW w:w="20" w:type="dxa"/>
            <w:vAlign w:val="bottom"/>
            <w:tcBorders>
              <w:bottom w:val="single" w:sz="8" w:color="0090DA"/>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bottom w:val="single" w:sz="8" w:color="0090DA"/>
            </w:tcBorders>
            <w:gridSpan w:val="3"/>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Total Micron</w:t>
            </w:r>
          </w:p>
        </w:tc>
        <w:tc>
          <w:tcPr>
            <w:tcW w:w="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Noncontrolling</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Additional</w:t>
            </w:r>
          </w:p>
        </w:tc>
        <w:tc>
          <w:tcPr>
            <w:tcW w:w="800" w:type="dxa"/>
            <w:vAlign w:val="bottom"/>
          </w:tcPr>
          <w:p>
            <w:pPr>
              <w:ind w:left="80"/>
              <w:spacing w:after="0"/>
              <w:rPr>
                <w:sz w:val="20"/>
                <w:szCs w:val="20"/>
                <w:color w:val="auto"/>
              </w:rPr>
            </w:pPr>
            <w:r>
              <w:rPr>
                <w:rFonts w:ascii="Arial" w:cs="Arial" w:eastAsia="Arial" w:hAnsi="Arial"/>
                <w:sz w:val="16"/>
                <w:szCs w:val="16"/>
                <w:b w:val="1"/>
                <w:bCs w:val="1"/>
                <w:color w:val="auto"/>
              </w:rPr>
              <w:t>Retained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Treasury</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Shareholders’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rPr>
              <w:t>Interests in</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Borders>
              <w:bottom w:val="single" w:sz="8" w:color="0090DA"/>
            </w:tcBorders>
          </w:tcPr>
          <w:p>
            <w:pPr>
              <w:spacing w:after="0"/>
              <w:rPr>
                <w:sz w:val="20"/>
                <w:szCs w:val="20"/>
                <w:color w:val="auto"/>
              </w:rPr>
            </w:pPr>
          </w:p>
        </w:tc>
        <w:tc>
          <w:tcPr>
            <w:tcW w:w="20" w:type="dxa"/>
            <w:vAlign w:val="bottom"/>
            <w:tcBorders>
              <w:bottom w:val="single" w:sz="8" w:color="0090DA"/>
            </w:tcBorders>
          </w:tcPr>
          <w:p>
            <w:pPr>
              <w:spacing w:after="0"/>
              <w:rPr>
                <w:sz w:val="20"/>
                <w:szCs w:val="20"/>
                <w:color w:val="auto"/>
              </w:rPr>
            </w:pPr>
          </w:p>
        </w:tc>
        <w:tc>
          <w:tcPr>
            <w:tcW w:w="6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2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74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Capital</w:t>
            </w:r>
          </w:p>
        </w:tc>
        <w:tc>
          <w:tcPr>
            <w:tcW w:w="800" w:type="dxa"/>
            <w:vAlign w:val="bottom"/>
            <w:tcBorders>
              <w:bottom w:val="single" w:sz="8" w:color="0090DA"/>
            </w:tcBorders>
          </w:tcPr>
          <w:p>
            <w:pPr>
              <w:ind w:left="80"/>
              <w:spacing w:after="0"/>
              <w:rPr>
                <w:sz w:val="20"/>
                <w:szCs w:val="20"/>
                <w:color w:val="auto"/>
              </w:rPr>
            </w:pPr>
            <w:r>
              <w:rPr>
                <w:rFonts w:ascii="Arial" w:cs="Arial" w:eastAsia="Arial" w:hAnsi="Arial"/>
                <w:sz w:val="16"/>
                <w:szCs w:val="16"/>
                <w:b w:val="1"/>
                <w:bCs w:val="1"/>
                <w:color w:val="auto"/>
              </w:rPr>
              <w:t>Earnings</w:t>
            </w:r>
          </w:p>
        </w:tc>
        <w:tc>
          <w:tcPr>
            <w:tcW w:w="8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Stock</w:t>
            </w:r>
          </w:p>
        </w:tc>
        <w:tc>
          <w:tcPr>
            <w:tcW w:w="13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Equity</w:t>
            </w:r>
          </w:p>
        </w:tc>
        <w:tc>
          <w:tcPr>
            <w:tcW w:w="2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Subsidiaries</w:t>
            </w:r>
          </w:p>
        </w:tc>
        <w:tc>
          <w:tcPr>
            <w:tcW w:w="8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Equity</w:t>
            </w:r>
          </w:p>
        </w:tc>
        <w:tc>
          <w:tcPr>
            <w:tcW w:w="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30, 2018</w:t>
            </w:r>
          </w:p>
        </w:tc>
        <w:tc>
          <w:tcPr>
            <w:tcW w:w="680" w:type="dxa"/>
            <w:vAlign w:val="bottom"/>
            <w:gridSpan w:val="2"/>
            <w:shd w:val="clear" w:color="auto" w:fill="D1D2D4"/>
          </w:tcPr>
          <w:p>
            <w:pPr>
              <w:jc w:val="right"/>
              <w:ind w:right="59"/>
              <w:spacing w:after="0"/>
              <w:rPr>
                <w:sz w:val="20"/>
                <w:szCs w:val="20"/>
                <w:color w:val="auto"/>
              </w:rPr>
            </w:pPr>
            <w:r>
              <w:rPr>
                <w:rFonts w:ascii="Arial" w:cs="Arial" w:eastAsia="Arial" w:hAnsi="Arial"/>
                <w:sz w:val="16"/>
                <w:szCs w:val="16"/>
                <w:color w:val="auto"/>
              </w:rPr>
              <w:t>1,170</w:t>
            </w:r>
          </w:p>
        </w:tc>
        <w:tc>
          <w:tcPr>
            <w:tcW w:w="22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117</w:t>
            </w:r>
          </w:p>
        </w:tc>
        <w:tc>
          <w:tcPr>
            <w:tcW w:w="1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8,201</w:t>
            </w:r>
          </w:p>
        </w:tc>
        <w:tc>
          <w:tcPr>
            <w:tcW w:w="800" w:type="dxa"/>
            <w:vAlign w:val="bottom"/>
            <w:shd w:val="clear" w:color="auto" w:fill="D1D2D4"/>
          </w:tcPr>
          <w:p>
            <w:pPr>
              <w:jc w:val="right"/>
              <w:ind w:right="39"/>
              <w:spacing w:after="0"/>
              <w:rPr>
                <w:sz w:val="20"/>
                <w:szCs w:val="20"/>
                <w:color w:val="auto"/>
              </w:rPr>
            </w:pPr>
            <w:r>
              <w:rPr>
                <w:rFonts w:ascii="Arial" w:cs="Arial" w:eastAsia="Arial" w:hAnsi="Arial"/>
                <w:sz w:val="16"/>
                <w:szCs w:val="16"/>
                <w:color w:val="auto"/>
              </w:rPr>
              <w:t>$ 24,395</w:t>
            </w:r>
          </w:p>
        </w:tc>
        <w:tc>
          <w:tcPr>
            <w:tcW w:w="80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  (429)</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32,294</w:t>
            </w:r>
          </w:p>
        </w:tc>
        <w:tc>
          <w:tcPr>
            <w:tcW w:w="140" w:type="dxa"/>
            <w:vAlign w:val="bottom"/>
            <w:gridSpan w:val="2"/>
            <w:shd w:val="clear" w:color="auto" w:fill="D1D2D4"/>
          </w:tcPr>
          <w:p>
            <w:pPr>
              <w:ind w:left="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1D2D4"/>
          </w:tcPr>
          <w:p>
            <w:pPr>
              <w:jc w:val="right"/>
              <w:ind w:right="39"/>
              <w:spacing w:after="0"/>
              <w:rPr>
                <w:sz w:val="20"/>
                <w:szCs w:val="20"/>
                <w:color w:val="auto"/>
              </w:rPr>
            </w:pPr>
            <w:r>
              <w:rPr>
                <w:rFonts w:ascii="Arial" w:cs="Arial" w:eastAsia="Arial" w:hAnsi="Arial"/>
                <w:sz w:val="16"/>
                <w:szCs w:val="16"/>
                <w:color w:val="auto"/>
              </w:rPr>
              <w:t>870</w:t>
            </w:r>
          </w:p>
        </w:tc>
        <w:tc>
          <w:tcPr>
            <w:tcW w:w="82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$ 33,164</w:t>
            </w: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Pr>
          <w:p>
            <w:pPr>
              <w:ind w:left="20"/>
              <w:spacing w:after="0" w:line="162" w:lineRule="exact"/>
              <w:rPr>
                <w:sz w:val="20"/>
                <w:szCs w:val="20"/>
                <w:color w:val="auto"/>
              </w:rPr>
            </w:pPr>
            <w:r>
              <w:rPr>
                <w:rFonts w:ascii="Arial" w:cs="Arial" w:eastAsia="Arial" w:hAnsi="Arial"/>
                <w:sz w:val="16"/>
                <w:szCs w:val="16"/>
                <w:color w:val="auto"/>
              </w:rPr>
              <w:t>Cumulative effect of adopting new</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92</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6"/>
                <w:szCs w:val="16"/>
                <w:color w:val="auto"/>
              </w:rPr>
              <w:t>accounting standards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shd w:val="clear" w:color="auto" w:fill="D1D2D4"/>
          </w:tcPr>
          <w:p>
            <w:pPr>
              <w:spacing w:after="0"/>
              <w:rPr>
                <w:sz w:val="21"/>
                <w:szCs w:val="21"/>
                <w:color w:val="auto"/>
              </w:rPr>
            </w:pPr>
          </w:p>
        </w:tc>
        <w:tc>
          <w:tcPr>
            <w:tcW w:w="66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500" w:type="dxa"/>
            <w:vAlign w:val="bottom"/>
            <w:shd w:val="clear" w:color="auto" w:fill="D1D2D4"/>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shd w:val="clear" w:color="auto" w:fill="D1D2D4"/>
          </w:tcPr>
          <w:p>
            <w:pPr>
              <w:spacing w:after="0"/>
              <w:rPr>
                <w:sz w:val="21"/>
                <w:szCs w:val="21"/>
                <w:color w:val="auto"/>
              </w:rPr>
            </w:pPr>
          </w:p>
        </w:tc>
        <w:tc>
          <w:tcPr>
            <w:tcW w:w="800" w:type="dxa"/>
            <w:vAlign w:val="bottom"/>
            <w:shd w:val="clear" w:color="auto" w:fill="D1D2D4"/>
          </w:tcPr>
          <w:p>
            <w:pPr>
              <w:jc w:val="right"/>
              <w:ind w:right="39"/>
              <w:spacing w:after="0"/>
              <w:rPr>
                <w:sz w:val="20"/>
                <w:szCs w:val="20"/>
                <w:color w:val="auto"/>
              </w:rPr>
            </w:pPr>
            <w:r>
              <w:rPr>
                <w:rFonts w:ascii="Arial" w:cs="Arial" w:eastAsia="Arial" w:hAnsi="Arial"/>
                <w:sz w:val="16"/>
                <w:szCs w:val="16"/>
                <w:color w:val="auto"/>
              </w:rPr>
              <w:t>3,293</w:t>
            </w:r>
          </w:p>
        </w:tc>
        <w:tc>
          <w:tcPr>
            <w:tcW w:w="8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3,293</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3,293</w:t>
            </w: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Other comprehensive income (loss), net</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680" w:type="dxa"/>
            <w:vAlign w:val="bottom"/>
            <w:gridSpan w:val="2"/>
            <w:shd w:val="clear" w:color="auto" w:fill="D1D2D4"/>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shd w:val="clear" w:color="auto" w:fill="D1D2D4"/>
          </w:tcPr>
          <w:p>
            <w:pPr>
              <w:spacing w:after="0"/>
              <w:rPr>
                <w:sz w:val="21"/>
                <w:szCs w:val="21"/>
                <w:color w:val="auto"/>
              </w:rPr>
            </w:pPr>
          </w:p>
        </w:tc>
        <w:tc>
          <w:tcPr>
            <w:tcW w:w="50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15</w:t>
            </w:r>
          </w:p>
        </w:tc>
        <w:tc>
          <w:tcPr>
            <w:tcW w:w="800" w:type="dxa"/>
            <w:vAlign w:val="bottom"/>
            <w:shd w:val="clear" w:color="auto" w:fill="D1D2D4"/>
          </w:tcPr>
          <w:p>
            <w:pPr>
              <w:spacing w:after="0"/>
              <w:rPr>
                <w:sz w:val="21"/>
                <w:szCs w:val="21"/>
                <w:color w:val="auto"/>
              </w:rPr>
            </w:pPr>
          </w:p>
        </w:tc>
        <w:tc>
          <w:tcPr>
            <w:tcW w:w="8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15</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82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15</w:t>
            </w: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680" w:type="dxa"/>
            <w:vAlign w:val="bottom"/>
            <w:gridSpan w:val="2"/>
            <w:shd w:val="clear" w:color="auto" w:fill="D1D2D4"/>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shd w:val="clear" w:color="auto" w:fill="D1D2D4"/>
          </w:tcPr>
          <w:p>
            <w:pPr>
              <w:spacing w:after="0"/>
              <w:rPr>
                <w:sz w:val="21"/>
                <w:szCs w:val="21"/>
                <w:color w:val="auto"/>
              </w:rPr>
            </w:pPr>
          </w:p>
        </w:tc>
        <w:tc>
          <w:tcPr>
            <w:tcW w:w="50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108</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80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(1,933)</w:t>
            </w:r>
          </w:p>
        </w:tc>
        <w:tc>
          <w:tcPr>
            <w:tcW w:w="14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(1,836)</w:t>
            </w:r>
          </w:p>
        </w:tc>
        <w:tc>
          <w:tcPr>
            <w:tcW w:w="2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82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rPr>
              <w:t>(1,836)</w:t>
            </w: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Pr>
          <w:p>
            <w:pPr>
              <w:ind w:left="20"/>
              <w:spacing w:after="0" w:line="162" w:lineRule="exact"/>
              <w:rPr>
                <w:sz w:val="20"/>
                <w:szCs w:val="20"/>
                <w:color w:val="auto"/>
              </w:rPr>
            </w:pPr>
            <w:r>
              <w:rPr>
                <w:rFonts w:ascii="Arial" w:cs="Arial" w:eastAsia="Arial" w:hAnsi="Arial"/>
                <w:sz w:val="16"/>
                <w:szCs w:val="16"/>
                <w:color w:val="auto"/>
              </w:rPr>
              <w:t>Reclassification of redeemable</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Arial" w:cs="Arial" w:eastAsia="Arial" w:hAnsi="Arial"/>
                <w:sz w:val="16"/>
                <w:szCs w:val="16"/>
                <w:color w:val="auto"/>
              </w:rPr>
              <w:t>convertible notes, net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Conversion and repurchase of</w:t>
            </w:r>
          </w:p>
        </w:tc>
        <w:tc>
          <w:tcPr>
            <w:tcW w:w="20" w:type="dxa"/>
            <w:vAlign w:val="bottom"/>
            <w:shd w:val="clear" w:color="auto" w:fill="D1D2D4"/>
          </w:tcPr>
          <w:p>
            <w:pPr>
              <w:spacing w:after="0"/>
              <w:rPr>
                <w:sz w:val="14"/>
                <w:szCs w:val="14"/>
                <w:color w:val="auto"/>
              </w:rPr>
            </w:pPr>
          </w:p>
        </w:tc>
        <w:tc>
          <w:tcPr>
            <w:tcW w:w="66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500" w:type="dxa"/>
            <w:vAlign w:val="bottom"/>
            <w:shd w:val="clear" w:color="auto" w:fill="D1D2D4"/>
          </w:tcPr>
          <w:p>
            <w:pPr>
              <w:spacing w:after="0"/>
              <w:rPr>
                <w:sz w:val="14"/>
                <w:szCs w:val="14"/>
                <w:color w:val="auto"/>
              </w:rPr>
            </w:pPr>
          </w:p>
        </w:tc>
        <w:tc>
          <w:tcPr>
            <w:tcW w:w="20" w:type="dxa"/>
            <w:vAlign w:val="bottom"/>
            <w:shd w:val="clear" w:color="auto" w:fill="D1D2D4"/>
          </w:tcPr>
          <w:p>
            <w:pPr>
              <w:spacing w:after="0"/>
              <w:rPr>
                <w:sz w:val="14"/>
                <w:szCs w:val="14"/>
                <w:color w:val="auto"/>
              </w:rPr>
            </w:pPr>
          </w:p>
        </w:tc>
        <w:tc>
          <w:tcPr>
            <w:tcW w:w="12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(36)</w:t>
            </w:r>
          </w:p>
        </w:tc>
        <w:tc>
          <w:tcPr>
            <w:tcW w:w="80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4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c>
          <w:tcPr>
            <w:tcW w:w="12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jc w:val="right"/>
              <w:ind w:right="19"/>
              <w:spacing w:after="0"/>
              <w:rPr>
                <w:sz w:val="20"/>
                <w:szCs w:val="20"/>
                <w:color w:val="auto"/>
              </w:rPr>
            </w:pPr>
            <w:r>
              <w:rPr>
                <w:rFonts w:ascii="Arial" w:cs="Arial" w:eastAsia="Arial" w:hAnsi="Arial"/>
                <w:sz w:val="16"/>
                <w:szCs w:val="16"/>
                <w:color w:val="auto"/>
              </w:rPr>
              <w:t>(36)</w:t>
            </w:r>
          </w:p>
        </w:tc>
        <w:tc>
          <w:tcPr>
            <w:tcW w:w="20" w:type="dxa"/>
            <w:vAlign w:val="bottom"/>
            <w:shd w:val="clear" w:color="auto" w:fill="D1D2D4"/>
          </w:tcPr>
          <w:p>
            <w:pPr>
              <w:spacing w:after="0"/>
              <w:rPr>
                <w:sz w:val="14"/>
                <w:szCs w:val="14"/>
                <w:color w:val="auto"/>
              </w:rPr>
            </w:pPr>
          </w:p>
        </w:tc>
        <w:tc>
          <w:tcPr>
            <w:tcW w:w="12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820" w:type="dxa"/>
            <w:vAlign w:val="bottom"/>
            <w:vMerge w:val="restart"/>
            <w:shd w:val="clear" w:color="auto" w:fill="D1D2D4"/>
          </w:tcPr>
          <w:p>
            <w:pPr>
              <w:jc w:val="right"/>
              <w:ind w:right="19"/>
              <w:spacing w:after="0"/>
              <w:rPr>
                <w:sz w:val="20"/>
                <w:szCs w:val="20"/>
                <w:color w:val="auto"/>
              </w:rPr>
            </w:pPr>
            <w:r>
              <w:rPr>
                <w:rFonts w:ascii="Arial" w:cs="Arial" w:eastAsia="Arial" w:hAnsi="Arial"/>
                <w:sz w:val="16"/>
                <w:szCs w:val="16"/>
                <w:color w:val="auto"/>
              </w:rPr>
              <w:t>(36)</w:t>
            </w:r>
          </w:p>
        </w:tc>
        <w:tc>
          <w:tcPr>
            <w:tcW w:w="2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D1D2D4"/>
          </w:tcPr>
          <w:p>
            <w:pPr>
              <w:ind w:left="100"/>
              <w:spacing w:after="0"/>
              <w:rPr>
                <w:sz w:val="20"/>
                <w:szCs w:val="20"/>
                <w:color w:val="auto"/>
              </w:rPr>
            </w:pPr>
            <w:r>
              <w:rPr>
                <w:rFonts w:ascii="Arial" w:cs="Arial" w:eastAsia="Arial" w:hAnsi="Arial"/>
                <w:sz w:val="16"/>
                <w:szCs w:val="16"/>
                <w:color w:val="auto"/>
              </w:rPr>
              <w:t>convertible notes</w:t>
            </w:r>
          </w:p>
        </w:tc>
        <w:tc>
          <w:tcPr>
            <w:tcW w:w="20" w:type="dxa"/>
            <w:vAlign w:val="bottom"/>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spacing w:after="0"/>
              <w:rPr>
                <w:sz w:val="18"/>
                <w:szCs w:val="18"/>
                <w:color w:val="auto"/>
              </w:rPr>
            </w:pPr>
          </w:p>
        </w:tc>
        <w:tc>
          <w:tcPr>
            <w:tcW w:w="220" w:type="dxa"/>
            <w:vAlign w:val="bottom"/>
            <w:tcBorders>
              <w:bottom w:val="single" w:sz="8" w:color="auto"/>
            </w:tcBorders>
            <w:shd w:val="clear" w:color="auto" w:fill="D1D2D4"/>
          </w:tcPr>
          <w:p>
            <w:pPr>
              <w:spacing w:after="0"/>
              <w:rPr>
                <w:sz w:val="18"/>
                <w:szCs w:val="18"/>
                <w:color w:val="auto"/>
              </w:rPr>
            </w:pPr>
          </w:p>
        </w:tc>
        <w:tc>
          <w:tcPr>
            <w:tcW w:w="500" w:type="dxa"/>
            <w:vAlign w:val="bottom"/>
            <w:tcBorders>
              <w:bottom w:val="single" w:sz="8" w:color="auto"/>
            </w:tcBorders>
            <w:shd w:val="clear" w:color="auto" w:fill="D1D2D4"/>
          </w:tcPr>
          <w:p>
            <w:pPr>
              <w:spacing w:after="0"/>
              <w:rPr>
                <w:sz w:val="18"/>
                <w:szCs w:val="18"/>
                <w:color w:val="auto"/>
              </w:rPr>
            </w:pPr>
          </w:p>
        </w:tc>
        <w:tc>
          <w:tcPr>
            <w:tcW w:w="20" w:type="dxa"/>
            <w:vAlign w:val="bottom"/>
            <w:tcBorders>
              <w:bottom w:val="single" w:sz="8" w:color="auto"/>
            </w:tcBorders>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740" w:type="dxa"/>
            <w:vAlign w:val="bottom"/>
            <w:tcBorders>
              <w:bottom w:val="single" w:sz="8" w:color="auto"/>
            </w:tcBorders>
            <w:vMerge w:val="continue"/>
            <w:shd w:val="clear" w:color="auto" w:fill="D1D2D4"/>
          </w:tcPr>
          <w:p>
            <w:pPr>
              <w:spacing w:after="0"/>
              <w:rPr>
                <w:sz w:val="18"/>
                <w:szCs w:val="18"/>
                <w:color w:val="auto"/>
              </w:rPr>
            </w:pPr>
          </w:p>
        </w:tc>
        <w:tc>
          <w:tcPr>
            <w:tcW w:w="800" w:type="dxa"/>
            <w:vAlign w:val="bottom"/>
            <w:tcBorders>
              <w:bottom w:val="single" w:sz="8" w:color="auto"/>
            </w:tcBorders>
            <w:shd w:val="clear" w:color="auto" w:fill="D1D2D4"/>
          </w:tcPr>
          <w:p>
            <w:pPr>
              <w:spacing w:after="0"/>
              <w:rPr>
                <w:sz w:val="18"/>
                <w:szCs w:val="18"/>
                <w:color w:val="auto"/>
              </w:rPr>
            </w:pPr>
          </w:p>
        </w:tc>
        <w:tc>
          <w:tcPr>
            <w:tcW w:w="800" w:type="dxa"/>
            <w:vAlign w:val="bottom"/>
            <w:tcBorders>
              <w:bottom w:val="single" w:sz="8" w:color="auto"/>
            </w:tcBorders>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1080" w:type="dxa"/>
            <w:vAlign w:val="bottom"/>
            <w:tcBorders>
              <w:bottom w:val="single" w:sz="8" w:color="auto"/>
            </w:tcBorders>
            <w:vMerge w:val="continue"/>
            <w:shd w:val="clear" w:color="auto" w:fill="D1D2D4"/>
          </w:tcPr>
          <w:p>
            <w:pPr>
              <w:spacing w:after="0"/>
              <w:rPr>
                <w:sz w:val="18"/>
                <w:szCs w:val="18"/>
                <w:color w:val="auto"/>
              </w:rPr>
            </w:pPr>
          </w:p>
        </w:tc>
        <w:tc>
          <w:tcPr>
            <w:tcW w:w="20" w:type="dxa"/>
            <w:vAlign w:val="bottom"/>
            <w:tcBorders>
              <w:bottom w:val="single" w:sz="8" w:color="auto"/>
            </w:tcBorders>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1080" w:type="dxa"/>
            <w:vAlign w:val="bottom"/>
            <w:tcBorders>
              <w:bottom w:val="single" w:sz="8" w:color="auto"/>
            </w:tcBorders>
            <w:shd w:val="clear" w:color="auto" w:fill="D1D2D4"/>
          </w:tcPr>
          <w:p>
            <w:pPr>
              <w:spacing w:after="0"/>
              <w:rPr>
                <w:sz w:val="18"/>
                <w:szCs w:val="18"/>
                <w:color w:val="auto"/>
              </w:rPr>
            </w:pPr>
          </w:p>
        </w:tc>
        <w:tc>
          <w:tcPr>
            <w:tcW w:w="820" w:type="dxa"/>
            <w:vAlign w:val="bottom"/>
            <w:tcBorders>
              <w:bottom w:val="single" w:sz="8" w:color="auto"/>
            </w:tcBorders>
            <w:vMerge w:val="continue"/>
            <w:shd w:val="clear" w:color="auto" w:fill="D1D2D4"/>
          </w:tcPr>
          <w:p>
            <w:pPr>
              <w:spacing w:after="0"/>
              <w:rPr>
                <w:sz w:val="18"/>
                <w:szCs w:val="18"/>
                <w:color w:val="auto"/>
              </w:rPr>
            </w:pPr>
          </w:p>
        </w:tc>
        <w:tc>
          <w:tcPr>
            <w:tcW w:w="20" w:type="dxa"/>
            <w:vAlign w:val="bottom"/>
            <w:tcBorders>
              <w:bottom w:val="single" w:sz="8" w:color="auto"/>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at November 29, 2018</w:t>
            </w:r>
          </w:p>
        </w:tc>
        <w:tc>
          <w:tcPr>
            <w:tcW w:w="680" w:type="dxa"/>
            <w:vAlign w:val="bottom"/>
            <w:gridSpan w:val="2"/>
          </w:tcPr>
          <w:p>
            <w:pPr>
              <w:jc w:val="right"/>
              <w:ind w:right="59"/>
              <w:spacing w:after="0"/>
              <w:rPr>
                <w:sz w:val="20"/>
                <w:szCs w:val="20"/>
                <w:color w:val="auto"/>
              </w:rPr>
            </w:pPr>
            <w:r>
              <w:rPr>
                <w:rFonts w:ascii="Arial" w:cs="Arial" w:eastAsia="Arial" w:hAnsi="Arial"/>
                <w:sz w:val="16"/>
                <w:szCs w:val="16"/>
                <w:color w:val="auto"/>
              </w:rPr>
              <w:t>1,172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8,350</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$ 27,769</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 (2,362)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33,869</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870</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$ 34,739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40"/>
          <w:szCs w:val="40"/>
          <w:b w:val="1"/>
          <w:bCs w:val="1"/>
          <w:color w:val="auto"/>
        </w:rPr>
        <w:t>Micron Technology, Inc.</w:t>
      </w:r>
    </w:p>
    <w:p>
      <w:pPr>
        <w:spacing w:after="0" w:line="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November 28,</w:t>
            </w:r>
          </w:p>
        </w:tc>
        <w:tc>
          <w:tcPr>
            <w:tcW w:w="220" w:type="dxa"/>
            <w:vAlign w:val="bottom"/>
          </w:tcPr>
          <w:p>
            <w:pPr>
              <w:spacing w:after="0"/>
              <w:rPr>
                <w:sz w:val="17"/>
                <w:szCs w:val="17"/>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0090DA"/>
            </w:tcBorders>
          </w:tcPr>
          <w:p>
            <w:pPr>
              <w:spacing w:after="0"/>
              <w:rPr>
                <w:sz w:val="22"/>
                <w:szCs w:val="22"/>
                <w:color w:val="auto"/>
              </w:rPr>
            </w:pPr>
          </w:p>
        </w:tc>
        <w:tc>
          <w:tcPr>
            <w:tcW w:w="140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0090DA"/>
            </w:tcBorders>
          </w:tcPr>
          <w:p>
            <w:pPr>
              <w:spacing w:after="0"/>
              <w:rPr>
                <w:sz w:val="22"/>
                <w:szCs w:val="22"/>
                <w:color w:val="auto"/>
              </w:rPr>
            </w:pPr>
          </w:p>
        </w:tc>
        <w:tc>
          <w:tcPr>
            <w:tcW w:w="1440" w:type="dxa"/>
            <w:vAlign w:val="bottom"/>
            <w:tcBorders>
              <w:bottom w:val="single" w:sz="8" w:color="0090DA"/>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35"/>
        </w:trPr>
        <w:tc>
          <w:tcPr>
            <w:tcW w:w="8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7"/>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3,296</w:t>
            </w:r>
          </w:p>
        </w:tc>
      </w:tr>
      <w:tr>
        <w:trPr>
          <w:trHeight w:val="261"/>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180" w:type="dxa"/>
            <w:vAlign w:val="bottom"/>
          </w:tcPr>
          <w:p>
            <w:pPr>
              <w:ind w:left="200"/>
              <w:spacing w:after="0"/>
              <w:rPr>
                <w:sz w:val="20"/>
                <w:szCs w:val="20"/>
                <w:color w:val="auto"/>
              </w:rPr>
            </w:pPr>
            <w:r>
              <w:rPr>
                <w:rFonts w:ascii="Arial" w:cs="Arial" w:eastAsia="Arial" w:hAnsi="Arial"/>
                <w:sz w:val="18"/>
                <w:szCs w:val="18"/>
                <w:color w:val="auto"/>
              </w:rPr>
              <w:t>Depreciation expense and amortization of intangible assets</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1,335</w:t>
            </w:r>
          </w:p>
        </w:tc>
      </w:tr>
      <w:tr>
        <w:trPr>
          <w:trHeight w:val="261"/>
        </w:trPr>
        <w:tc>
          <w:tcPr>
            <w:tcW w:w="81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r>
      <w:tr>
        <w:trPr>
          <w:trHeight w:val="252"/>
        </w:trPr>
        <w:tc>
          <w:tcPr>
            <w:tcW w:w="81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61</w:t>
            </w:r>
          </w:p>
        </w:tc>
      </w:tr>
      <w:tr>
        <w:trPr>
          <w:trHeight w:val="261"/>
        </w:trPr>
        <w:tc>
          <w:tcPr>
            <w:tcW w:w="81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Gain on debt prepayments, repurchases, and conversions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818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8180" w:type="dxa"/>
            <w:vAlign w:val="bottom"/>
            <w:shd w:val="clear" w:color="auto" w:fill="D1D2D4"/>
          </w:tcPr>
          <w:p>
            <w:pPr>
              <w:ind w:left="44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189</w:t>
            </w:r>
          </w:p>
        </w:tc>
      </w:tr>
      <w:tr>
        <w:trPr>
          <w:trHeight w:val="252"/>
        </w:trPr>
        <w:tc>
          <w:tcPr>
            <w:tcW w:w="81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(286)</w:t>
            </w:r>
          </w:p>
        </w:tc>
      </w:tr>
      <w:tr>
        <w:trPr>
          <w:trHeight w:val="261"/>
        </w:trPr>
        <w:tc>
          <w:tcPr>
            <w:tcW w:w="8180" w:type="dxa"/>
            <w:vAlign w:val="bottom"/>
            <w:shd w:val="clear" w:color="auto" w:fill="D1D2D4"/>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(46)</w:t>
            </w:r>
          </w:p>
        </w:tc>
      </w:tr>
      <w:tr>
        <w:trPr>
          <w:trHeight w:val="252"/>
        </w:trPr>
        <w:tc>
          <w:tcPr>
            <w:tcW w:w="81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192</w:t>
            </w:r>
          </w:p>
        </w:tc>
      </w:tr>
      <w:tr>
        <w:trPr>
          <w:trHeight w:val="261"/>
        </w:trPr>
        <w:tc>
          <w:tcPr>
            <w:tcW w:w="81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D1D2D4"/>
          </w:tcPr>
          <w:p>
            <w:pPr>
              <w:spacing w:after="0"/>
              <w:rPr>
                <w:sz w:val="22"/>
                <w:szCs w:val="22"/>
                <w:color w:val="auto"/>
              </w:rPr>
            </w:pPr>
          </w:p>
        </w:tc>
        <w:tc>
          <w:tcPr>
            <w:tcW w:w="14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65</w:t>
            </w:r>
          </w:p>
        </w:tc>
      </w:tr>
      <w:tr>
        <w:trPr>
          <w:trHeight w:val="245"/>
        </w:trPr>
        <w:tc>
          <w:tcPr>
            <w:tcW w:w="81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4,810</w:t>
            </w:r>
          </w:p>
        </w:tc>
      </w:tr>
      <w:tr>
        <w:trPr>
          <w:trHeight w:val="241"/>
        </w:trPr>
        <w:tc>
          <w:tcPr>
            <w:tcW w:w="81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40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440" w:type="dxa"/>
            <w:vAlign w:val="bottom"/>
            <w:shd w:val="clear" w:color="auto" w:fill="D1D2D4"/>
          </w:tcPr>
          <w:p>
            <w:pPr>
              <w:spacing w:after="0"/>
              <w:rPr>
                <w:sz w:val="20"/>
                <w:szCs w:val="20"/>
                <w:color w:val="auto"/>
              </w:rPr>
            </w:pP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(2,700)</w:t>
            </w: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(2,047)</w:t>
            </w:r>
          </w:p>
        </w:tc>
      </w:tr>
      <w:tr>
        <w:trPr>
          <w:trHeight w:val="261"/>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77</w:t>
            </w: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261"/>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236</w:t>
            </w:r>
          </w:p>
        </w:tc>
      </w:tr>
      <w:tr>
        <w:trPr>
          <w:trHeight w:val="252"/>
        </w:trPr>
        <w:tc>
          <w:tcPr>
            <w:tcW w:w="81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r>
      <w:tr>
        <w:trPr>
          <w:trHeight w:val="250"/>
        </w:trPr>
        <w:tc>
          <w:tcPr>
            <w:tcW w:w="81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Borders>
              <w:bottom w:val="single" w:sz="8" w:color="auto"/>
            </w:tcBorders>
            <w:shd w:val="clear" w:color="auto" w:fill="D1D2D4"/>
          </w:tcPr>
          <w:p>
            <w:pPr>
              <w:spacing w:after="0"/>
              <w:rPr>
                <w:sz w:val="21"/>
                <w:szCs w:val="21"/>
                <w:color w:val="auto"/>
              </w:rPr>
            </w:pPr>
          </w:p>
        </w:tc>
        <w:tc>
          <w:tcPr>
            <w:tcW w:w="1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(1,189)</w:t>
            </w:r>
          </w:p>
        </w:tc>
        <w:tc>
          <w:tcPr>
            <w:tcW w:w="220" w:type="dxa"/>
            <w:vAlign w:val="bottom"/>
            <w:tcBorders>
              <w:bottom w:val="single" w:sz="8" w:color="auto"/>
            </w:tcBorders>
            <w:shd w:val="clear" w:color="auto" w:fill="D1D2D4"/>
          </w:tcPr>
          <w:p>
            <w:pPr>
              <w:spacing w:after="0"/>
              <w:rPr>
                <w:sz w:val="21"/>
                <w:szCs w:val="21"/>
                <w:color w:val="auto"/>
              </w:rPr>
            </w:pPr>
          </w:p>
        </w:tc>
        <w:tc>
          <w:tcPr>
            <w:tcW w:w="14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(4,427)</w:t>
            </w:r>
          </w:p>
        </w:tc>
      </w:tr>
      <w:tr>
        <w:trPr>
          <w:trHeight w:val="241"/>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7"/>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(577)</w:t>
            </w:r>
          </w:p>
        </w:tc>
      </w:tr>
      <w:tr>
        <w:trPr>
          <w:trHeight w:val="261"/>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Payments to acquire treasury stock</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(1,836)</w:t>
            </w:r>
          </w:p>
        </w:tc>
      </w:tr>
      <w:tr>
        <w:trPr>
          <w:trHeight w:val="261"/>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(20)</w:t>
            </w: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1"/>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D1D2D4"/>
          </w:tcPr>
          <w:p>
            <w:pPr>
              <w:spacing w:after="0"/>
              <w:rPr>
                <w:sz w:val="22"/>
                <w:szCs w:val="22"/>
                <w:color w:val="auto"/>
              </w:rPr>
            </w:pPr>
          </w:p>
        </w:tc>
        <w:tc>
          <w:tcPr>
            <w:tcW w:w="14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w:t>
            </w:r>
          </w:p>
        </w:tc>
      </w:tr>
      <w:tr>
        <w:trPr>
          <w:trHeight w:val="245"/>
        </w:trPr>
        <w:tc>
          <w:tcPr>
            <w:tcW w:w="81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(2,435)</w:t>
            </w:r>
          </w:p>
        </w:tc>
      </w:tr>
      <w:tr>
        <w:trPr>
          <w:trHeight w:val="241"/>
        </w:trPr>
        <w:tc>
          <w:tcPr>
            <w:tcW w:w="81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40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440" w:type="dxa"/>
            <w:vAlign w:val="bottom"/>
            <w:shd w:val="clear" w:color="auto" w:fill="D1D2D4"/>
          </w:tcPr>
          <w:p>
            <w:pPr>
              <w:spacing w:after="0"/>
              <w:rPr>
                <w:sz w:val="20"/>
                <w:szCs w:val="20"/>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81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4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440" w:type="dxa"/>
            <w:vAlign w:val="bottom"/>
            <w:shd w:val="clear" w:color="auto" w:fill="D1D2D4"/>
          </w:tcPr>
          <w:p>
            <w:pPr>
              <w:spacing w:after="0"/>
              <w:rPr>
                <w:sz w:val="22"/>
                <w:szCs w:val="22"/>
                <w:color w:val="auto"/>
              </w:rPr>
            </w:pPr>
          </w:p>
        </w:tc>
      </w:tr>
      <w:tr>
        <w:trPr>
          <w:trHeight w:val="252"/>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(2,062)</w:t>
            </w:r>
          </w:p>
        </w:tc>
      </w:tr>
      <w:tr>
        <w:trPr>
          <w:trHeight w:val="257"/>
        </w:trPr>
        <w:tc>
          <w:tcPr>
            <w:tcW w:w="8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7,279</w:t>
            </w:r>
          </w:p>
        </w:tc>
        <w:tc>
          <w:tcPr>
            <w:tcW w:w="220" w:type="dxa"/>
            <w:vAlign w:val="bottom"/>
            <w:tcBorders>
              <w:bottom w:val="single" w:sz="8" w:color="auto"/>
            </w:tcBorders>
            <w:shd w:val="clear" w:color="auto" w:fill="D1D2D4"/>
          </w:tcPr>
          <w:p>
            <w:pPr>
              <w:spacing w:after="0"/>
              <w:rPr>
                <w:sz w:val="22"/>
                <w:szCs w:val="22"/>
                <w:color w:val="auto"/>
              </w:rPr>
            </w:pPr>
          </w:p>
        </w:tc>
        <w:tc>
          <w:tcPr>
            <w:tcW w:w="14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6,587</w:t>
            </w:r>
          </w:p>
        </w:tc>
      </w:tr>
      <w:tr>
        <w:trPr>
          <w:trHeight w:val="255"/>
        </w:trPr>
        <w:tc>
          <w:tcPr>
            <w:tcW w:w="81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4,525</w:t>
            </w: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913"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0340"/>
        <w:spacing w:after="0"/>
        <w:rPr>
          <w:sz w:val="20"/>
          <w:szCs w:val="20"/>
          <w:color w:val="auto"/>
        </w:rPr>
      </w:pPr>
      <w:r>
        <w:rPr>
          <w:sz w:val="1"/>
          <w:szCs w:val="1"/>
          <w:color w:val="auto"/>
        </w:rPr>
        <w:drawing>
          <wp:inline distT="0" distB="0" distL="0" distR="0">
            <wp:extent cx="591820" cy="1543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2"/>
          <w:szCs w:val="12"/>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0"/>
          <w:szCs w:val="40"/>
          <w:b w:val="1"/>
          <w:bCs w:val="1"/>
          <w:color w:val="auto"/>
        </w:rPr>
        <w:t>Micron Technology, Inc.</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Basis of Presentation</w:t>
      </w:r>
    </w:p>
    <w:p>
      <w:pPr>
        <w:spacing w:after="0" w:line="2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29, 2019, except for changes related to recently adopted accounting standards. See “Recently Adopted Accounting Standards” note. Prior year information is presented in accordance with the accounting guidance in effect during that period and has not been recast for recently adopted accounting standards.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fiscal year is the 52 or 53-week period ending on the Thursday closest to August 31. Fiscal year 2020 contains 53 weeks and the fourth quarter of 2020 will contain 14 weeks. The first quarters of fiscal 2020 and 2019 each contained 13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29, 2019.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a discussion of our significant accounting policies, see "Part I – Item 8. Financial Statements and Supplementary Data – Notes to Consolidated Financial Statements – Significant Accounting Policies" of our Annual Report on Form 10-K for the year ended August 29, 2019. Except for the significant accounting policy associated with leases as discussed below, there have been no material changes to our significant accounting policies since our Annual Report on Form 10-K for the year ended August 29, 2019.</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Leases</w:t>
      </w:r>
    </w:p>
    <w:p>
      <w:pPr>
        <w:spacing w:after="0" w:line="24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In the first quarter of 2020, we elected new accounting policies in connection with the adoption of ASC 842 – </w:t>
      </w:r>
      <w:r>
        <w:rPr>
          <w:rFonts w:ascii="Arial" w:cs="Arial" w:eastAsia="Arial" w:hAnsi="Arial"/>
          <w:sz w:val="18"/>
          <w:szCs w:val="18"/>
          <w:i w:val="1"/>
          <w:iCs w:val="1"/>
          <w:color w:val="auto"/>
        </w:rPr>
        <w:t>Leases</w:t>
      </w:r>
      <w:r>
        <w:rPr>
          <w:rFonts w:ascii="Arial" w:cs="Arial" w:eastAsia="Arial" w:hAnsi="Arial"/>
          <w:sz w:val="18"/>
          <w:szCs w:val="18"/>
          <w:color w:val="auto"/>
        </w:rPr>
        <w:t>. We do not recognize a right-of-use asset or lease liability for leases with a term of 12 months or less. For real estate and gas plant leases entered into after adoption, we do not separate lease and non-lease components. Sublease income is presented within lease expense.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0090DA"/>
        </w:rPr>
        <w:t>Unconsolidated VIE</w:t>
      </w:r>
    </w:p>
    <w:p>
      <w:pPr>
        <w:spacing w:after="0" w:line="2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PTI Xi’an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Powertech Technology Inc. Xi’an (“PTI Xi’an”) is a wholly-owned subsidiary of Powertech Technology Inc. (“PTI”) and was created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In connection with our assembly services with PTI, as of November 28, 2019 and August 29, 2019, we had net property, plant, and equipment of $47 million and $50 million, respectively, and capital lease obligations of $44 million and $47 million,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VIE</w:t>
      </w:r>
    </w:p>
    <w:p>
      <w:pPr>
        <w:spacing w:after="0" w:line="2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date we acquired Intel's noncontrolling interest in IMFT, IMFT was a VIE because all of its costs were passed to us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member, Intel, through product purchase agreements and because IMFT was dependent upon us or Intel for additional cash requirements. The primary activities of IMFT were driven by the constant introduction of product and process technology. Because we performed a significant majority of the technology development, we had the power to direct its key activities. Prior to October 31, 2019, we consolidated IMFT because we had the power to direct the activities of IMFT that most significantly impacted its economic performance and because we had the obligation to absorb losses and the right to receive benefits from IMFT that could have been potentially significant to it. On October 31, 2019, we acquired Intel’s interest in IMFT at which time IMFT, now known as MTU, became a wholly-owned subsidiary. (See “Equity – Noncontrolling Interest in Subsidiary” note.)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February 2016, the Financial Accounting Standards Board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We adopted ASC 842 in the first quarter of 2020 under the modified retrospective method and elected to not recast prior periods. We elected the practical expedients available under the transition guidance, including but not limited to, not reassessing past lease accounting or using hindsight to evaluate lease term. In addition, we elected to not separate lease and non-lease components for real estate or gas plant leases. As a result of adopting ASC 842, we recognized $567 million for operating lease liabilities and right-of-use assets and reclassified an additional $66 million of other balances to right-of-use assets to conform to the new presentation requirements of ASC 842.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November 2018, the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which was August 31, 2018, by recognizing a cumulative-effect adjustment to the opening balance of retained earnings of the earliest annual period presented. We do not anticipate the adoption of this ASU will have a material impact on our financial statements.</w:t>
      </w:r>
    </w:p>
    <w:p>
      <w:pPr>
        <w:spacing w:after="0" w:line="20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ind w:right="40"/>
        <w:spacing w:after="0" w:line="264" w:lineRule="auto"/>
        <w:rPr>
          <w:sz w:val="20"/>
          <w:szCs w:val="20"/>
          <w:color w:val="auto"/>
        </w:rPr>
      </w:pPr>
      <w:r>
        <w:rPr>
          <w:rFonts w:ascii="Arial" w:cs="Arial" w:eastAsia="Arial" w:hAnsi="Arial"/>
          <w:sz w:val="18"/>
          <w:szCs w:val="18"/>
          <w:color w:val="auto"/>
        </w:rPr>
        <w:t>available-for-sale be recorded through an allowance for credit losses and limits the credit loss to the amount by which fair value is below amortized cost. This ASU will be effective for us in the first quarter of 2021 with early adoption permitted.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4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1040" w:type="dxa"/>
            <w:vAlign w:val="bottom"/>
            <w:tcBorders>
              <w:bottom w:val="single" w:sz="8" w:color="0090DA"/>
            </w:tcBorders>
          </w:tcPr>
          <w:p>
            <w:pPr>
              <w:spacing w:after="0"/>
              <w:rPr>
                <w:sz w:val="20"/>
                <w:szCs w:val="20"/>
                <w:color w:val="auto"/>
              </w:rPr>
            </w:pPr>
          </w:p>
        </w:tc>
        <w:tc>
          <w:tcPr>
            <w:tcW w:w="2440" w:type="dxa"/>
            <w:vAlign w:val="bottom"/>
            <w:tcBorders>
              <w:bottom w:val="single" w:sz="8" w:color="0090DA"/>
            </w:tcBorders>
            <w:gridSpan w:val="2"/>
          </w:tcPr>
          <w:p>
            <w:pPr>
              <w:ind w:left="400"/>
              <w:spacing w:after="0"/>
              <w:rPr>
                <w:sz w:val="20"/>
                <w:szCs w:val="20"/>
                <w:color w:val="auto"/>
              </w:rPr>
            </w:pPr>
            <w:r>
              <w:rPr>
                <w:rFonts w:ascii="Arial" w:cs="Arial" w:eastAsia="Arial" w:hAnsi="Arial"/>
                <w:sz w:val="16"/>
                <w:szCs w:val="16"/>
                <w:b w:val="1"/>
                <w:bCs w:val="1"/>
                <w:color w:val="auto"/>
              </w:rPr>
              <w:t>November 28, 2019</w:t>
            </w:r>
          </w:p>
        </w:tc>
        <w:tc>
          <w:tcPr>
            <w:tcW w:w="88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0090DA"/>
            </w:tcBorders>
          </w:tcPr>
          <w:p>
            <w:pPr>
              <w:spacing w:after="0"/>
              <w:rPr>
                <w:sz w:val="20"/>
                <w:szCs w:val="20"/>
                <w:color w:val="auto"/>
              </w:rPr>
            </w:pPr>
          </w:p>
        </w:tc>
        <w:tc>
          <w:tcPr>
            <w:tcW w:w="2460" w:type="dxa"/>
            <w:vAlign w:val="bottom"/>
            <w:tcBorders>
              <w:bottom w:val="single" w:sz="8" w:color="0090DA"/>
            </w:tcBorders>
            <w:gridSpan w:val="2"/>
          </w:tcPr>
          <w:p>
            <w:pPr>
              <w:ind w:left="540"/>
              <w:spacing w:after="0"/>
              <w:rPr>
                <w:sz w:val="20"/>
                <w:szCs w:val="20"/>
                <w:color w:val="auto"/>
              </w:rPr>
            </w:pPr>
            <w:r>
              <w:rPr>
                <w:rFonts w:ascii="Arial" w:cs="Arial" w:eastAsia="Arial" w:hAnsi="Arial"/>
                <w:sz w:val="16"/>
                <w:szCs w:val="16"/>
                <w:b w:val="1"/>
                <w:bCs w:val="1"/>
                <w:color w:val="auto"/>
              </w:rPr>
              <w:t>August 29, 2019</w:t>
            </w:r>
          </w:p>
        </w:tc>
        <w:tc>
          <w:tcPr>
            <w:tcW w:w="88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Cash and</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Short-term</w:t>
            </w:r>
          </w:p>
        </w:tc>
        <w:tc>
          <w:tcPr>
            <w:tcW w:w="12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Long-term</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9"/>
              </w:rPr>
              <w:t>Total Fair</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Cash and</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Short-term</w:t>
            </w:r>
          </w:p>
        </w:tc>
        <w:tc>
          <w:tcPr>
            <w:tcW w:w="13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Long-term</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Fair</w:t>
            </w:r>
          </w:p>
        </w:tc>
        <w:tc>
          <w:tcPr>
            <w:tcW w:w="0" w:type="dxa"/>
            <w:vAlign w:val="bottom"/>
          </w:tcPr>
          <w:p>
            <w:pPr>
              <w:spacing w:after="0"/>
              <w:rPr>
                <w:sz w:val="1"/>
                <w:szCs w:val="1"/>
                <w:color w:val="auto"/>
              </w:rPr>
            </w:pPr>
          </w:p>
        </w:tc>
      </w:tr>
      <w:tr>
        <w:trPr>
          <w:trHeight w:val="162"/>
        </w:trPr>
        <w:tc>
          <w:tcPr>
            <w:tcW w:w="2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0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Marketable</w:t>
            </w:r>
          </w:p>
        </w:tc>
        <w:tc>
          <w:tcPr>
            <w:tcW w:w="10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Marketable</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0090DA"/>
            </w:tcBorders>
            <w:vMerge w:val="continue"/>
          </w:tcPr>
          <w:p>
            <w:pPr>
              <w:spacing w:after="0"/>
              <w:rPr>
                <w:sz w:val="18"/>
                <w:szCs w:val="18"/>
                <w:color w:val="auto"/>
              </w:rPr>
            </w:pPr>
          </w:p>
        </w:tc>
        <w:tc>
          <w:tcPr>
            <w:tcW w:w="104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Equivalents</w:t>
            </w: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Investments</w:t>
            </w:r>
          </w:p>
        </w:tc>
        <w:tc>
          <w:tcPr>
            <w:tcW w:w="1280" w:type="dxa"/>
            <w:vAlign w:val="bottom"/>
            <w:tcBorders>
              <w:bottom w:val="single" w:sz="8" w:color="0090DA"/>
            </w:tcBorders>
          </w:tcPr>
          <w:p>
            <w:pPr>
              <w:jc w:val="center"/>
              <w:spacing w:after="0" w:line="216"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color w:val="auto"/>
                <w:w w:val="97"/>
                <w:vertAlign w:val="superscript"/>
              </w:rPr>
              <w:t>(1)</w:t>
            </w:r>
          </w:p>
        </w:tc>
        <w:tc>
          <w:tcPr>
            <w:tcW w:w="88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10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Equivalents</w:t>
            </w: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Investments</w:t>
            </w:r>
          </w:p>
        </w:tc>
        <w:tc>
          <w:tcPr>
            <w:tcW w:w="1300" w:type="dxa"/>
            <w:vAlign w:val="bottom"/>
            <w:tcBorders>
              <w:bottom w:val="single" w:sz="8" w:color="0090DA"/>
            </w:tcBorders>
          </w:tcPr>
          <w:p>
            <w:pPr>
              <w:jc w:val="center"/>
              <w:spacing w:after="0" w:line="216"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color w:val="auto"/>
                <w:w w:val="97"/>
                <w:vertAlign w:val="superscript"/>
              </w:rPr>
              <w:t>(1)</w:t>
            </w:r>
          </w:p>
        </w:tc>
        <w:tc>
          <w:tcPr>
            <w:tcW w:w="88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2,319</w:t>
            </w:r>
          </w:p>
        </w:tc>
        <w:tc>
          <w:tcPr>
            <w:tcW w:w="40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D1D2D4"/>
          </w:tcPr>
          <w:p>
            <w:pPr>
              <w:spacing w:after="0"/>
              <w:rPr>
                <w:sz w:val="22"/>
                <w:szCs w:val="22"/>
                <w:color w:val="auto"/>
              </w:rPr>
            </w:pP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2,388</w:t>
            </w:r>
          </w:p>
        </w:tc>
        <w:tc>
          <w:tcPr>
            <w:tcW w:w="40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Level 1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60" w:type="dxa"/>
            <w:vAlign w:val="bottom"/>
            <w:shd w:val="clear" w:color="auto" w:fill="D1D2D4"/>
          </w:tcPr>
          <w:p>
            <w:pPr>
              <w:ind w:left="10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D1D2D4"/>
          </w:tcPr>
          <w:p>
            <w:pPr>
              <w:spacing w:after="0"/>
              <w:rPr>
                <w:sz w:val="22"/>
                <w:szCs w:val="22"/>
                <w:color w:val="auto"/>
              </w:rPr>
            </w:pPr>
          </w:p>
        </w:tc>
        <w:tc>
          <w:tcPr>
            <w:tcW w:w="8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2,565</w:t>
            </w:r>
          </w:p>
        </w:tc>
        <w:tc>
          <w:tcPr>
            <w:tcW w:w="40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3,418</w:t>
            </w:r>
          </w:p>
        </w:tc>
        <w:tc>
          <w:tcPr>
            <w:tcW w:w="400" w:type="dxa"/>
            <w:vAlign w:val="bottom"/>
            <w:shd w:val="clear" w:color="auto" w:fill="D1D2D4"/>
          </w:tcPr>
          <w:p>
            <w:pPr>
              <w:spacing w:after="0"/>
              <w:rPr>
                <w:sz w:val="22"/>
                <w:szCs w:val="22"/>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Level 2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60" w:type="dxa"/>
            <w:vAlign w:val="bottom"/>
            <w:shd w:val="clear" w:color="auto" w:fill="D1D2D4"/>
          </w:tcPr>
          <w:p>
            <w:pPr>
              <w:ind w:left="100"/>
              <w:spacing w:after="0"/>
              <w:rPr>
                <w:sz w:val="20"/>
                <w:szCs w:val="20"/>
                <w:color w:val="auto"/>
              </w:rPr>
            </w:pPr>
            <w:r>
              <w:rPr>
                <w:rFonts w:ascii="Arial" w:cs="Arial" w:eastAsia="Arial" w:hAnsi="Arial"/>
                <w:sz w:val="16"/>
                <w:szCs w:val="16"/>
                <w:color w:val="auto"/>
              </w:rPr>
              <w:t>Certificates of deposits</w:t>
            </w:r>
          </w:p>
        </w:tc>
        <w:tc>
          <w:tcPr>
            <w:tcW w:w="300" w:type="dxa"/>
            <w:vAlign w:val="bottom"/>
            <w:shd w:val="clear" w:color="auto" w:fill="D1D2D4"/>
          </w:tcPr>
          <w:p>
            <w:pPr>
              <w:spacing w:after="0"/>
              <w:rPr>
                <w:sz w:val="22"/>
                <w:szCs w:val="22"/>
                <w:color w:val="auto"/>
              </w:rPr>
            </w:pPr>
          </w:p>
        </w:tc>
        <w:tc>
          <w:tcPr>
            <w:tcW w:w="8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2,063</w:t>
            </w:r>
          </w:p>
        </w:tc>
        <w:tc>
          <w:tcPr>
            <w:tcW w:w="40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223</w:t>
            </w:r>
          </w:p>
        </w:tc>
        <w:tc>
          <w:tcPr>
            <w:tcW w:w="5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1,292</w:t>
            </w:r>
          </w:p>
        </w:tc>
        <w:tc>
          <w:tcPr>
            <w:tcW w:w="400" w:type="dxa"/>
            <w:vAlign w:val="bottom"/>
            <w:shd w:val="clear" w:color="auto" w:fill="D1D2D4"/>
          </w:tcPr>
          <w:p>
            <w:pPr>
              <w:spacing w:after="0"/>
              <w:rPr>
                <w:sz w:val="22"/>
                <w:szCs w:val="22"/>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56"/>
        </w:trPr>
        <w:tc>
          <w:tcPr>
            <w:tcW w:w="256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30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58"/>
        </w:trPr>
        <w:tc>
          <w:tcPr>
            <w:tcW w:w="2560" w:type="dxa"/>
            <w:vAlign w:val="bottom"/>
            <w:shd w:val="clear" w:color="auto" w:fill="D1D2D4"/>
          </w:tcPr>
          <w:p>
            <w:pPr>
              <w:ind w:left="100"/>
              <w:spacing w:after="0"/>
              <w:rPr>
                <w:sz w:val="20"/>
                <w:szCs w:val="20"/>
                <w:color w:val="auto"/>
              </w:rPr>
            </w:pPr>
            <w:r>
              <w:rPr>
                <w:rFonts w:ascii="Arial" w:cs="Arial" w:eastAsia="Arial" w:hAnsi="Arial"/>
                <w:sz w:val="16"/>
                <w:szCs w:val="16"/>
                <w:color w:val="auto"/>
              </w:rPr>
              <w:t>Government securities</w:t>
            </w:r>
          </w:p>
        </w:tc>
        <w:tc>
          <w:tcPr>
            <w:tcW w:w="300" w:type="dxa"/>
            <w:vAlign w:val="bottom"/>
            <w:shd w:val="clear" w:color="auto" w:fill="D1D2D4"/>
          </w:tcPr>
          <w:p>
            <w:pPr>
              <w:spacing w:after="0"/>
              <w:rPr>
                <w:sz w:val="22"/>
                <w:szCs w:val="22"/>
                <w:color w:val="auto"/>
              </w:rPr>
            </w:pPr>
          </w:p>
        </w:tc>
        <w:tc>
          <w:tcPr>
            <w:tcW w:w="8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w:t>
            </w:r>
          </w:p>
        </w:tc>
        <w:tc>
          <w:tcPr>
            <w:tcW w:w="5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8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D1D2D4"/>
          </w:tcPr>
          <w:p>
            <w:pPr>
              <w:spacing w:after="0"/>
              <w:rPr>
                <w:sz w:val="22"/>
                <w:szCs w:val="22"/>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D1D2D4"/>
          </w:tcPr>
          <w:p>
            <w:pPr>
              <w:spacing w:after="0"/>
              <w:rPr>
                <w:sz w:val="22"/>
                <w:szCs w:val="22"/>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6"/>
        </w:trPr>
        <w:tc>
          <w:tcPr>
            <w:tcW w:w="2560" w:type="dxa"/>
            <w:vAlign w:val="bottom"/>
          </w:tcPr>
          <w:p>
            <w:pPr>
              <w:ind w:left="100"/>
              <w:spacing w:after="0"/>
              <w:rPr>
                <w:sz w:val="20"/>
                <w:szCs w:val="20"/>
                <w:color w:val="auto"/>
              </w:rPr>
            </w:pPr>
            <w:r>
              <w:rPr>
                <w:rFonts w:ascii="Arial" w:cs="Arial" w:eastAsia="Arial" w:hAnsi="Arial"/>
                <w:sz w:val="16"/>
                <w:szCs w:val="16"/>
                <w:color w:val="auto"/>
              </w:rPr>
              <w:t>Asset-backed securities</w:t>
            </w:r>
          </w:p>
        </w:tc>
        <w:tc>
          <w:tcPr>
            <w:tcW w:w="30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2560" w:type="dxa"/>
            <w:vAlign w:val="bottom"/>
            <w:shd w:val="clear" w:color="auto" w:fill="D1D2D4"/>
          </w:tcPr>
          <w:p>
            <w:pPr>
              <w:ind w:left="100"/>
              <w:spacing w:after="0"/>
              <w:rPr>
                <w:sz w:val="20"/>
                <w:szCs w:val="20"/>
                <w:color w:val="auto"/>
              </w:rPr>
            </w:pPr>
            <w:r>
              <w:rPr>
                <w:rFonts w:ascii="Arial" w:cs="Arial" w:eastAsia="Arial" w:hAnsi="Arial"/>
                <w:sz w:val="16"/>
                <w:szCs w:val="16"/>
                <w:color w:val="auto"/>
              </w:rPr>
              <w:t>Commercial paper</w:t>
            </w:r>
          </w:p>
        </w:tc>
        <w:tc>
          <w:tcPr>
            <w:tcW w:w="300" w:type="dxa"/>
            <w:vAlign w:val="bottom"/>
            <w:tcBorders>
              <w:bottom w:val="single" w:sz="8" w:color="auto"/>
            </w:tcBorders>
            <w:shd w:val="clear" w:color="auto" w:fill="D1D2D4"/>
          </w:tcPr>
          <w:p>
            <w:pPr>
              <w:spacing w:after="0"/>
              <w:rPr>
                <w:sz w:val="22"/>
                <w:szCs w:val="22"/>
                <w:color w:val="auto"/>
              </w:rPr>
            </w:pPr>
          </w:p>
        </w:tc>
        <w:tc>
          <w:tcPr>
            <w:tcW w:w="8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shd w:val="clear" w:color="auto" w:fill="D1D2D4"/>
          </w:tcPr>
          <w:p>
            <w:pPr>
              <w:spacing w:after="0"/>
              <w:rPr>
                <w:sz w:val="22"/>
                <w:szCs w:val="22"/>
                <w:color w:val="auto"/>
              </w:rPr>
            </w:pPr>
          </w:p>
        </w:tc>
        <w:tc>
          <w:tcPr>
            <w:tcW w:w="6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2"/>
                <w:szCs w:val="22"/>
                <w:color w:val="auto"/>
              </w:rPr>
            </w:pPr>
          </w:p>
        </w:tc>
        <w:tc>
          <w:tcPr>
            <w:tcW w:w="6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D1D2D4"/>
          </w:tcPr>
          <w:p>
            <w:pPr>
              <w:spacing w:after="0"/>
              <w:rPr>
                <w:sz w:val="22"/>
                <w:szCs w:val="22"/>
                <w:color w:val="auto"/>
              </w:rPr>
            </w:pPr>
          </w:p>
        </w:tc>
        <w:tc>
          <w:tcPr>
            <w:tcW w:w="300" w:type="dxa"/>
            <w:vAlign w:val="bottom"/>
            <w:tcBorders>
              <w:bottom w:val="single" w:sz="8" w:color="auto"/>
            </w:tcBorders>
            <w:shd w:val="clear" w:color="auto" w:fill="D1D2D4"/>
          </w:tcPr>
          <w:p>
            <w:pPr>
              <w:spacing w:after="0"/>
              <w:rPr>
                <w:sz w:val="22"/>
                <w:szCs w:val="22"/>
                <w:color w:val="auto"/>
              </w:rPr>
            </w:pPr>
          </w:p>
        </w:tc>
        <w:tc>
          <w:tcPr>
            <w:tcW w:w="8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shd w:val="clear" w:color="auto" w:fill="D1D2D4"/>
          </w:tcPr>
          <w:p>
            <w:pPr>
              <w:spacing w:after="0"/>
              <w:rPr>
                <w:sz w:val="22"/>
                <w:szCs w:val="22"/>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shd w:val="clear" w:color="auto" w:fill="D1D2D4"/>
          </w:tcPr>
          <w:p>
            <w:pPr>
              <w:spacing w:after="0"/>
              <w:rPr>
                <w:sz w:val="22"/>
                <w:szCs w:val="22"/>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2"/>
                <w:szCs w:val="22"/>
                <w:color w:val="auto"/>
              </w:rPr>
            </w:pPr>
          </w:p>
        </w:tc>
        <w:tc>
          <w:tcPr>
            <w:tcW w:w="6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1"/>
        </w:trPr>
        <w:tc>
          <w:tcPr>
            <w:tcW w:w="2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6,969</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7,152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0"/>
        </w:trPr>
        <w:tc>
          <w:tcPr>
            <w:tcW w:w="2560" w:type="dxa"/>
            <w:vAlign w:val="bottom"/>
            <w:tcBorders>
              <w:bottom w:val="single" w:sz="8" w:color="D1D2D4"/>
            </w:tcBorders>
          </w:tcPr>
          <w:p>
            <w:pPr>
              <w:spacing w:after="0" w:line="20" w:lineRule="exact"/>
              <w:rPr>
                <w:sz w:val="1"/>
                <w:szCs w:val="1"/>
                <w:color w:val="auto"/>
              </w:rPr>
            </w:pPr>
          </w:p>
        </w:tc>
        <w:tc>
          <w:tcPr>
            <w:tcW w:w="300" w:type="dxa"/>
            <w:vAlign w:val="bottom"/>
            <w:tcBorders>
              <w:bottom w:val="single" w:sz="8" w:color="D1D2D4"/>
            </w:tcBorders>
          </w:tcPr>
          <w:p>
            <w:pPr>
              <w:spacing w:after="0" w:line="20" w:lineRule="exact"/>
              <w:rPr>
                <w:sz w:val="1"/>
                <w:szCs w:val="1"/>
                <w:color w:val="auto"/>
              </w:rPr>
            </w:pPr>
          </w:p>
        </w:tc>
        <w:tc>
          <w:tcPr>
            <w:tcW w:w="800" w:type="dxa"/>
            <w:vAlign w:val="bottom"/>
            <w:tcBorders>
              <w:bottom w:val="single" w:sz="8" w:color="D1D2D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300" w:type="dxa"/>
            <w:vAlign w:val="bottom"/>
            <w:tcBorders>
              <w:bottom w:val="single" w:sz="8" w:color="D1D2D4"/>
            </w:tcBorders>
          </w:tcPr>
          <w:p>
            <w:pPr>
              <w:spacing w:after="0" w:line="20" w:lineRule="exact"/>
              <w:rPr>
                <w:sz w:val="1"/>
                <w:szCs w:val="1"/>
                <w:color w:val="auto"/>
              </w:rPr>
            </w:pPr>
          </w:p>
        </w:tc>
        <w:tc>
          <w:tcPr>
            <w:tcW w:w="800" w:type="dxa"/>
            <w:vAlign w:val="bottom"/>
            <w:tcBorders>
              <w:bottom w:val="single" w:sz="8" w:color="D1D2D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D1D2D4"/>
          </w:tcPr>
          <w:p>
            <w:pPr>
              <w:ind w:left="180"/>
              <w:spacing w:after="0" w:line="224"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(4)</w:t>
            </w:r>
          </w:p>
        </w:tc>
        <w:tc>
          <w:tcPr>
            <w:tcW w:w="30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D1D2D4"/>
          </w:tcPr>
          <w:p>
            <w:pPr>
              <w:spacing w:after="0"/>
              <w:rPr>
                <w:sz w:val="19"/>
                <w:szCs w:val="19"/>
                <w:color w:val="auto"/>
              </w:rPr>
            </w:pPr>
          </w:p>
        </w:tc>
        <w:tc>
          <w:tcPr>
            <w:tcW w:w="68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30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8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Arial" w:cs="Arial" w:eastAsia="Arial" w:hAnsi="Arial"/>
                <w:sz w:val="16"/>
                <w:szCs w:val="16"/>
                <w:color w:val="auto"/>
              </w:rPr>
              <w:t>Cash, cash equivalents,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7,095</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7,279</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6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range from one year to four years.</w:t>
      </w:r>
    </w:p>
    <w:p>
      <w:pPr>
        <w:ind w:left="240" w:hanging="232"/>
        <w:spacing w:after="0" w:line="196" w:lineRule="auto"/>
        <w:tabs>
          <w:tab w:leader="none" w:pos="2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November 28, 2019 or August 29, 2019.</w:t>
      </w:r>
    </w:p>
    <w:p>
      <w:pPr>
        <w:spacing w:after="0" w:line="1" w:lineRule="exact"/>
        <w:rPr>
          <w:rFonts w:ascii="Arial" w:cs="Arial" w:eastAsia="Arial" w:hAnsi="Arial"/>
          <w:sz w:val="23"/>
          <w:szCs w:val="23"/>
          <w:i w:val="1"/>
          <w:iCs w:val="1"/>
          <w:color w:val="auto"/>
          <w:vertAlign w:val="superscript"/>
        </w:rPr>
      </w:pPr>
    </w:p>
    <w:p>
      <w:pPr>
        <w:ind w:left="260" w:right="80" w:hanging="252"/>
        <w:spacing w:after="0" w:line="231"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the MMJ Creditor Payments and certain government incentives received prior to being earned. The restrictions lapse on the MMJ Creditor Payments upon approval by the trustees and/or Tokyo District Court and for the government incentives upon achieving certain performance conditions.</w:t>
      </w:r>
    </w:p>
    <w:p>
      <w:pPr>
        <w:spacing w:after="0" w:line="21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 As of November 28, 2019, there were no available-for-sale securities that had been in a loss position for longer than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 w:name="page13"/>
    <w:bookmarkEnd w:id="12"/>
    <w:p>
      <w:pPr>
        <w:spacing w:after="0"/>
        <w:rPr>
          <w:sz w:val="20"/>
          <w:szCs w:val="20"/>
          <w:color w:val="auto"/>
        </w:rPr>
      </w:pPr>
      <w:r>
        <w:rPr>
          <w:rFonts w:ascii="Arial" w:cs="Arial" w:eastAsia="Arial" w:hAnsi="Arial"/>
          <w:sz w:val="40"/>
          <w:szCs w:val="40"/>
          <w:b w:val="1"/>
          <w:bCs w:val="1"/>
          <w:color w:val="auto"/>
        </w:rPr>
        <w:t>Receivables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3,030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2,778</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242</w:t>
            </w: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175</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3,195</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Inventories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757</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3,825</w:t>
            </w: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589</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536</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5,118</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352</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11,441</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10,931</w:t>
            </w:r>
          </w:p>
        </w:tc>
      </w:tr>
      <w:tr>
        <w:trPr>
          <w:trHeight w:val="261"/>
        </w:trPr>
        <w:tc>
          <w:tcPr>
            <w:tcW w:w="8740" w:type="dxa"/>
            <w:vAlign w:val="bottom"/>
            <w:shd w:val="clear" w:color="auto" w:fill="D1D2D4"/>
          </w:tcPr>
          <w:p>
            <w:pPr>
              <w:ind w:left="20"/>
              <w:spacing w:after="0" w:line="262"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(1)</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45,637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44,051</w:t>
            </w:r>
          </w:p>
        </w:tc>
      </w:tr>
      <w:tr>
        <w:trPr>
          <w:trHeight w:val="257"/>
        </w:trPr>
        <w:tc>
          <w:tcPr>
            <w:tcW w:w="874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1,795</w:t>
            </w:r>
          </w:p>
        </w:tc>
        <w:tc>
          <w:tcPr>
            <w:tcW w:w="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1,700</w:t>
            </w:r>
          </w:p>
        </w:tc>
      </w:tr>
      <w:tr>
        <w:trPr>
          <w:trHeight w:val="252"/>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80" w:type="dxa"/>
            <w:vAlign w:val="bottom"/>
            <w:tcBorders>
              <w:bottom w:val="single" w:sz="8" w:color="auto"/>
            </w:tcBorders>
            <w:shd w:val="clear" w:color="auto" w:fill="D1D2D4"/>
          </w:tcPr>
          <w:p>
            <w:pPr>
              <w:spacing w:after="0"/>
              <w:rPr>
                <w:sz w:val="21"/>
                <w:szCs w:val="21"/>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793</w:t>
            </w:r>
          </w:p>
        </w:tc>
        <w:tc>
          <w:tcPr>
            <w:tcW w:w="2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790</w:t>
            </w:r>
          </w:p>
        </w:tc>
      </w:tr>
      <w:tr>
        <w:trPr>
          <w:trHeight w:val="250"/>
        </w:trPr>
        <w:tc>
          <w:tcPr>
            <w:tcW w:w="8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60,018</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57,824</w:t>
            </w: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(30,666)</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(29,584)</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29,352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28,240</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87" w:lineRule="exact"/>
        <w:rPr>
          <w:sz w:val="20"/>
          <w:szCs w:val="20"/>
          <w:color w:val="auto"/>
        </w:rPr>
      </w:pPr>
    </w:p>
    <w:p>
      <w:pPr>
        <w:ind w:left="260" w:right="500" w:hanging="252"/>
        <w:spacing w:after="0" w:line="230" w:lineRule="auto"/>
        <w:tabs>
          <w:tab w:leader="none" w:pos="254"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$1.80 billion as of November 28, 2019 and $2.33 billion as of August 29, 2019.</w:t>
      </w:r>
    </w:p>
    <w:p>
      <w:pPr>
        <w:ind w:left="240" w:hanging="232"/>
        <w:spacing w:after="0" w:line="200"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placed into service.</w:t>
      </w:r>
    </w:p>
    <w:p>
      <w:pPr>
        <w:spacing w:after="0" w:line="2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re-use rates, we revised the estimated useful lives of equipment in our NAND wafer fabrication facilities and our research and development ("R&amp;D") facilities from five years to seven years as of the beginning in the first quarter of 2020. As a result, we estimate the reduction in non-cash depreciation expense benefited operating income and net income by approximately $74 million and diluted earnings per share by approximately $0.07 for the first quarter of 2020.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rPr>
              <w:t>November 28, 2019</w:t>
            </w:r>
          </w:p>
        </w:tc>
        <w:tc>
          <w:tcPr>
            <w:tcW w:w="260" w:type="dxa"/>
            <w:vAlign w:val="bottom"/>
          </w:tcPr>
          <w:p>
            <w:pPr>
              <w:spacing w:after="0"/>
              <w:rPr>
                <w:sz w:val="20"/>
                <w:szCs w:val="20"/>
                <w:color w:val="auto"/>
              </w:rPr>
            </w:pPr>
          </w:p>
        </w:tc>
        <w:tc>
          <w:tcPr>
            <w:tcW w:w="27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9"/>
              </w:rPr>
              <w:t>August 29, 2019</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right"/>
              <w:ind w:right="310"/>
              <w:spacing w:after="0" w:line="170" w:lineRule="exact"/>
              <w:rPr>
                <w:sz w:val="20"/>
                <w:szCs w:val="20"/>
                <w:color w:val="auto"/>
              </w:rPr>
            </w:pPr>
            <w:r>
              <w:rPr>
                <w:rFonts w:ascii="Arial" w:cs="Arial" w:eastAsia="Arial" w:hAnsi="Arial"/>
                <w:sz w:val="18"/>
                <w:szCs w:val="18"/>
                <w:b w:val="1"/>
                <w:bCs w:val="1"/>
                <w:color w:val="auto"/>
              </w:rPr>
              <w:t>Gross</w:t>
            </w:r>
          </w:p>
        </w:tc>
        <w:tc>
          <w:tcPr>
            <w:tcW w:w="240" w:type="dxa"/>
            <w:vAlign w:val="bottom"/>
            <w:tcBorders>
              <w:top w:val="single" w:sz="8" w:color="0090DA"/>
            </w:tcBorders>
          </w:tcPr>
          <w:p>
            <w:pPr>
              <w:spacing w:after="0"/>
              <w:rPr>
                <w:sz w:val="14"/>
                <w:szCs w:val="14"/>
                <w:color w:val="auto"/>
              </w:rPr>
            </w:pPr>
          </w:p>
        </w:tc>
        <w:tc>
          <w:tcPr>
            <w:tcW w:w="1400" w:type="dxa"/>
            <w:vAlign w:val="bottom"/>
            <w:tcBorders>
              <w:top w:val="single" w:sz="8" w:color="0090DA"/>
            </w:tcBorders>
          </w:tcPr>
          <w:p>
            <w:pPr>
              <w:ind w:left="40"/>
              <w:spacing w:after="0" w:line="170"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right"/>
              <w:ind w:right="310"/>
              <w:spacing w:after="0" w:line="170" w:lineRule="exact"/>
              <w:rPr>
                <w:sz w:val="20"/>
                <w:szCs w:val="20"/>
                <w:color w:val="auto"/>
              </w:rPr>
            </w:pPr>
            <w:r>
              <w:rPr>
                <w:rFonts w:ascii="Arial" w:cs="Arial" w:eastAsia="Arial" w:hAnsi="Arial"/>
                <w:sz w:val="18"/>
                <w:szCs w:val="18"/>
                <w:b w:val="1"/>
                <w:bCs w:val="1"/>
                <w:color w:val="auto"/>
              </w:rPr>
              <w:t>Gross</w:t>
            </w:r>
          </w:p>
        </w:tc>
        <w:tc>
          <w:tcPr>
            <w:tcW w:w="240" w:type="dxa"/>
            <w:vAlign w:val="bottom"/>
            <w:tcBorders>
              <w:top w:val="single" w:sz="8" w:color="0090DA"/>
            </w:tcBorders>
          </w:tcPr>
          <w:p>
            <w:pPr>
              <w:spacing w:after="0"/>
              <w:rPr>
                <w:sz w:val="14"/>
                <w:szCs w:val="14"/>
                <w:color w:val="auto"/>
              </w:rPr>
            </w:pPr>
          </w:p>
        </w:tc>
        <w:tc>
          <w:tcPr>
            <w:tcW w:w="1380" w:type="dxa"/>
            <w:vAlign w:val="bottom"/>
            <w:tcBorders>
              <w:top w:val="single" w:sz="8" w:color="0090DA"/>
            </w:tcBorders>
          </w:tcPr>
          <w:p>
            <w:pPr>
              <w:ind w:left="40"/>
              <w:spacing w:after="0" w:line="170"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0"/>
        </w:trPr>
        <w:tc>
          <w:tcPr>
            <w:tcW w:w="5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380" w:type="dxa"/>
            <w:vAlign w:val="bottom"/>
          </w:tcPr>
          <w:p>
            <w:pPr>
              <w:ind w:left="6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02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4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38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21"/>
                <w:szCs w:val="21"/>
                <w:color w:val="auto"/>
              </w:rPr>
            </w:pP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21"/>
                <w:szCs w:val="21"/>
                <w:color w:val="auto"/>
              </w:rPr>
            </w:pPr>
          </w:p>
        </w:tc>
        <w:tc>
          <w:tcPr>
            <w:tcW w:w="1380" w:type="dxa"/>
            <w:vAlign w:val="bottom"/>
          </w:tcPr>
          <w:p>
            <w:pPr>
              <w:ind w:left="108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240"/>
        <w:spacing w:after="0"/>
        <w:rPr>
          <w:sz w:val="20"/>
          <w:szCs w:val="20"/>
          <w:color w:val="auto"/>
        </w:rPr>
      </w:pPr>
      <w:r>
        <w:rPr>
          <w:sz w:val="1"/>
          <w:szCs w:val="1"/>
          <w:color w:val="auto"/>
        </w:rPr>
        <w:drawing>
          <wp:inline distT="0" distB="0" distL="0" distR="0">
            <wp:extent cx="591820" cy="1543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4"/>
          <w:szCs w:val="14"/>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type w:val="continuous"/>
        </w:sectPr>
      </w:pPr>
    </w:p>
    <w:bookmarkStart w:id="13" w:name="page14"/>
    <w:bookmarkEnd w:id="13"/>
    <w:p>
      <w:pPr>
        <w:ind w:right="140"/>
        <w:spacing w:after="0" w:line="271" w:lineRule="auto"/>
        <w:rPr>
          <w:sz w:val="20"/>
          <w:szCs w:val="20"/>
          <w:color w:val="auto"/>
        </w:rPr>
      </w:pPr>
      <w:r>
        <w:rPr>
          <w:rFonts w:ascii="Arial" w:cs="Arial" w:eastAsia="Arial" w:hAnsi="Arial"/>
          <w:sz w:val="18"/>
          <w:szCs w:val="18"/>
          <w:color w:val="auto"/>
        </w:rPr>
        <w:t>In the first quarters of 2020 and 2019, we capitalized $12 million and $49 million, respectively, for product and process technology with weighted-average useful lives of 11 years and 7 years, respectively. Expected amortization expense for our intangible assets is $56 million for the remainder of 2020, $63 million for 2021, $51 million for 2022, $45 million for 2023, and $41 million for 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6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We have finance and operating leases through which we acquire or utilize equipment and facilities in our manufacturing operations and R&amp;D activities as well as office space and other facilities used in our selling, general, and administrative ("SG&amp;A") functions.</w:t>
      </w:r>
    </w:p>
    <w:p>
      <w:pPr>
        <w:spacing w:after="0" w:line="172"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Our finance leases consist primarily of equipment used in our manufacturing operations and gas or other supply agreements that are deemed to be embedded leases in which we effectively control the underlying gas plants or other assets used to fulfill the supply agreements.</w:t>
      </w:r>
    </w:p>
    <w:p>
      <w:pPr>
        <w:spacing w:after="0" w:line="17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Our operating leases consist primarily of offices, other facilities, and land used in SG&amp;A, R&amp;D, and certain of our manufacturing operations. Certain of our operating leases include one or more options to extend the lease term for periods from one year to 10 years for real estate and one year to 30 years for land.</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of a right-of-use asset. Our assessment includes determining whether we or the supplier control the assets used to fulfill the supply or service agreement by identifying whether we or the supplier have the right to change the type, quantity, timing, or location of the output of the assets. In determining the lease term, we assess whether we are reasonably certain to exercise options to renew or terminate a lease, and when or whether we would exercise an option to purchase the right-of-use asset. Measuring the present value of the initial lease liability requires exercising judgment to determine the discount rate, which we base on interest rates for similar borrowings issued by entities with credit ratings similar to ours at the time of issuance.</w:t>
      </w:r>
    </w:p>
    <w:p>
      <w:pPr>
        <w:spacing w:after="0" w:line="206"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Measuring the initial lease liability and corresponding right-of-use asset also requires us to exercise judgment to estimate the present value of lease payments.</w:t>
      </w:r>
    </w:p>
    <w:p>
      <w:pPr>
        <w:spacing w:after="0" w:line="172"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below. Sublease income was not significant in the period presented below. The components of lease expenses are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r>
      <w:tr>
        <w:trPr>
          <w:trHeight w:val="254"/>
        </w:trPr>
        <w:tc>
          <w:tcPr>
            <w:tcW w:w="100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35"/>
        </w:trPr>
        <w:tc>
          <w:tcPr>
            <w:tcW w:w="10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1006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30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r>
      <w:tr>
        <w:trPr>
          <w:trHeight w:val="252"/>
        </w:trPr>
        <w:tc>
          <w:tcPr>
            <w:tcW w:w="10060" w:type="dxa"/>
            <w:vAlign w:val="bottom"/>
          </w:tcPr>
          <w:p>
            <w:pPr>
              <w:ind w:left="120"/>
              <w:spacing w:after="0"/>
              <w:rPr>
                <w:sz w:val="20"/>
                <w:szCs w:val="20"/>
                <w:color w:val="auto"/>
              </w:rPr>
            </w:pPr>
            <w:r>
              <w:rPr>
                <w:rFonts w:ascii="Arial" w:cs="Arial" w:eastAsia="Arial" w:hAnsi="Arial"/>
                <w:sz w:val="18"/>
                <w:szCs w:val="18"/>
                <w:color w:val="auto"/>
              </w:rPr>
              <w:t>Amortization of right-of-use asset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40</w:t>
            </w:r>
          </w:p>
        </w:tc>
      </w:tr>
      <w:tr>
        <w:trPr>
          <w:trHeight w:val="261"/>
        </w:trPr>
        <w:tc>
          <w:tcPr>
            <w:tcW w:w="10060" w:type="dxa"/>
            <w:vAlign w:val="bottom"/>
            <w:shd w:val="clear" w:color="auto" w:fill="DDDDDD"/>
          </w:tcPr>
          <w:p>
            <w:pPr>
              <w:ind w:left="120"/>
              <w:spacing w:after="0"/>
              <w:rPr>
                <w:sz w:val="20"/>
                <w:szCs w:val="20"/>
                <w:color w:val="auto"/>
              </w:rPr>
            </w:pPr>
            <w:r>
              <w:rPr>
                <w:rFonts w:ascii="Arial" w:cs="Arial" w:eastAsia="Arial" w:hAnsi="Arial"/>
                <w:sz w:val="18"/>
                <w:szCs w:val="18"/>
                <w:color w:val="auto"/>
              </w:rPr>
              <w:t>Interest on lease liability</w:t>
            </w:r>
          </w:p>
        </w:tc>
        <w:tc>
          <w:tcPr>
            <w:tcW w:w="300" w:type="dxa"/>
            <w:vAlign w:val="bottom"/>
            <w:shd w:val="clear" w:color="auto" w:fill="DDDDDD"/>
          </w:tcPr>
          <w:p>
            <w:pPr>
              <w:spacing w:after="0"/>
              <w:rPr>
                <w:sz w:val="22"/>
                <w:szCs w:val="22"/>
                <w:color w:val="auto"/>
              </w:rPr>
            </w:pPr>
          </w:p>
        </w:tc>
        <w:tc>
          <w:tcPr>
            <w:tcW w:w="10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6</w:t>
            </w:r>
          </w:p>
        </w:tc>
      </w:tr>
      <w:tr>
        <w:trPr>
          <w:trHeight w:val="252"/>
        </w:trPr>
        <w:tc>
          <w:tcPr>
            <w:tcW w:w="100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w:t>
            </w:r>
          </w:p>
        </w:tc>
      </w:tr>
      <w:tr>
        <w:trPr>
          <w:trHeight w:val="275"/>
        </w:trPr>
        <w:tc>
          <w:tcPr>
            <w:tcW w:w="1006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auto"/>
            </w:tcBorders>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DDDDD"/>
          </w:tcPr>
          <w:p>
            <w:pPr>
              <w:jc w:val="right"/>
              <w:ind w:right="70"/>
              <w:spacing w:after="0"/>
              <w:rPr>
                <w:sz w:val="20"/>
                <w:szCs w:val="20"/>
                <w:color w:val="auto"/>
              </w:rPr>
            </w:pPr>
            <w:r>
              <w:rPr>
                <w:rFonts w:ascii="Arial" w:cs="Arial" w:eastAsia="Arial" w:hAnsi="Arial"/>
                <w:sz w:val="18"/>
                <w:szCs w:val="18"/>
                <w:color w:val="auto"/>
              </w:rPr>
              <w:t>70</w:t>
            </w:r>
          </w:p>
        </w:tc>
      </w:tr>
      <w:tr>
        <w:trPr>
          <w:trHeight w:val="20"/>
        </w:trPr>
        <w:tc>
          <w:tcPr>
            <w:tcW w:w="1006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7260" w:type="dxa"/>
            <w:vAlign w:val="bottom"/>
            <w:gridSpan w:val="2"/>
          </w:tcPr>
          <w:p>
            <w:pPr>
              <w:spacing w:after="0"/>
              <w:rPr>
                <w:sz w:val="20"/>
                <w:szCs w:val="20"/>
                <w:color w:val="auto"/>
              </w:rPr>
            </w:pPr>
            <w:r>
              <w:rPr>
                <w:rFonts w:ascii="Arial" w:cs="Arial" w:eastAsia="Arial" w:hAnsi="Arial"/>
                <w:sz w:val="18"/>
                <w:szCs w:val="18"/>
                <w:color w:val="auto"/>
              </w:rPr>
              <w:t>Other information related to our leases were as follows:</w:t>
            </w:r>
          </w:p>
        </w:tc>
        <w:tc>
          <w:tcPr>
            <w:tcW w:w="3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r>
      <w:tr>
        <w:trPr>
          <w:trHeight w:val="254"/>
        </w:trPr>
        <w:tc>
          <w:tcPr>
            <w:tcW w:w="20" w:type="dxa"/>
            <w:vAlign w:val="bottom"/>
          </w:tcPr>
          <w:p>
            <w:pPr>
              <w:spacing w:after="0"/>
              <w:rPr>
                <w:sz w:val="22"/>
                <w:szCs w:val="22"/>
                <w:color w:val="auto"/>
              </w:rPr>
            </w:pPr>
          </w:p>
        </w:tc>
        <w:tc>
          <w:tcPr>
            <w:tcW w:w="72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3100" w:type="dxa"/>
            <w:vAlign w:val="bottom"/>
            <w:tcBorders>
              <w:bottom w:val="single" w:sz="8" w:color="0090DA"/>
            </w:tcBorders>
          </w:tcPr>
          <w:p>
            <w:pPr>
              <w:spacing w:after="0"/>
              <w:rPr>
                <w:sz w:val="22"/>
                <w:szCs w:val="22"/>
                <w:color w:val="auto"/>
              </w:rPr>
            </w:pPr>
          </w:p>
        </w:tc>
        <w:tc>
          <w:tcPr>
            <w:tcW w:w="10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35"/>
        </w:trPr>
        <w:tc>
          <w:tcPr>
            <w:tcW w:w="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7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310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57"/>
        </w:trPr>
        <w:tc>
          <w:tcPr>
            <w:tcW w:w="20" w:type="dxa"/>
            <w:vAlign w:val="bottom"/>
          </w:tcPr>
          <w:p>
            <w:pPr>
              <w:spacing w:after="0"/>
              <w:rPr>
                <w:sz w:val="22"/>
                <w:szCs w:val="22"/>
                <w:color w:val="auto"/>
              </w:rPr>
            </w:pPr>
          </w:p>
        </w:tc>
        <w:tc>
          <w:tcPr>
            <w:tcW w:w="7240" w:type="dxa"/>
            <w:vAlign w:val="bottom"/>
            <w:shd w:val="clear" w:color="auto" w:fill="DDDDDD"/>
          </w:tcPr>
          <w:p>
            <w:pPr>
              <w:ind w:left="120"/>
              <w:spacing w:after="0"/>
              <w:rPr>
                <w:sz w:val="20"/>
                <w:szCs w:val="20"/>
                <w:color w:val="auto"/>
              </w:rPr>
            </w:pPr>
            <w:r>
              <w:rPr>
                <w:rFonts w:ascii="Arial" w:cs="Arial" w:eastAsia="Arial" w:hAnsi="Arial"/>
                <w:sz w:val="18"/>
                <w:szCs w:val="18"/>
                <w:color w:val="auto"/>
              </w:rPr>
              <w:t>Operating leases</w:t>
            </w:r>
          </w:p>
        </w:tc>
        <w:tc>
          <w:tcPr>
            <w:tcW w:w="31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17</w:t>
            </w:r>
          </w:p>
        </w:tc>
      </w:tr>
      <w:tr>
        <w:trPr>
          <w:trHeight w:val="252"/>
        </w:trPr>
        <w:tc>
          <w:tcPr>
            <w:tcW w:w="2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1"/>
        </w:trPr>
        <w:tc>
          <w:tcPr>
            <w:tcW w:w="20" w:type="dxa"/>
            <w:vAlign w:val="bottom"/>
          </w:tcPr>
          <w:p>
            <w:pPr>
              <w:spacing w:after="0"/>
              <w:rPr>
                <w:sz w:val="22"/>
                <w:szCs w:val="22"/>
                <w:color w:val="auto"/>
              </w:rPr>
            </w:pPr>
          </w:p>
        </w:tc>
        <w:tc>
          <w:tcPr>
            <w:tcW w:w="7240" w:type="dxa"/>
            <w:vAlign w:val="bottom"/>
            <w:shd w:val="clear" w:color="auto" w:fill="DDDDDD"/>
          </w:tcPr>
          <w:p>
            <w:pPr>
              <w:ind w:left="120"/>
              <w:spacing w:after="0" w:line="262"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31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64</w:t>
            </w:r>
          </w:p>
        </w:tc>
      </w:tr>
      <w:tr>
        <w:trPr>
          <w:trHeight w:val="247"/>
        </w:trPr>
        <w:tc>
          <w:tcPr>
            <w:tcW w:w="2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Noncash acquisitions of right of use assets</w:t>
            </w:r>
          </w:p>
        </w:tc>
        <w:tc>
          <w:tcPr>
            <w:tcW w:w="31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723773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9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repayments of debt in the accompanying statement of cash flows.</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3773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7730" cy="16319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29845</wp:posOffset>
            </wp:positionV>
            <wp:extent cx="7237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(in years)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20320</wp:posOffset>
            </wp:positionV>
            <wp:extent cx="723773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November 28,</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2019</w:t>
      </w:r>
    </w:p>
    <w:p>
      <w:pPr>
        <w:spacing w:after="0" w:line="33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7.8</w:t>
      </w:r>
    </w:p>
    <w:p>
      <w:pPr>
        <w:spacing w:after="0" w:line="312" w:lineRule="exact"/>
        <w:rPr>
          <w:sz w:val="20"/>
          <w:szCs w:val="20"/>
          <w:color w:val="auto"/>
        </w:rPr>
      </w:pPr>
    </w:p>
    <w:p>
      <w:pPr>
        <w:sectPr>
          <w:pgSz w:w="11900" w:h="16838" w:orient="portrait"/>
          <w:cols w:equalWidth="0" w:num="2">
            <w:col w:w="9400" w:space="720"/>
            <w:col w:w="1300"/>
          </w:cols>
          <w:pgMar w:left="240" w:top="927" w:right="2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7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20" w:type="dxa"/>
            <w:vAlign w:val="bottom"/>
            <w:shd w:val="clear" w:color="auto" w:fill="D1D2D4"/>
          </w:tcPr>
          <w:p>
            <w:pPr>
              <w:jc w:val="center"/>
              <w:ind w:left="410"/>
              <w:spacing w:after="0"/>
              <w:rPr>
                <w:sz w:val="20"/>
                <w:szCs w:val="20"/>
                <w:color w:val="auto"/>
              </w:rPr>
            </w:pPr>
            <w:r>
              <w:rPr>
                <w:rFonts w:ascii="Arial" w:cs="Arial" w:eastAsia="Arial" w:hAnsi="Arial"/>
                <w:sz w:val="18"/>
                <w:szCs w:val="18"/>
                <w:color w:val="auto"/>
              </w:rPr>
              <w:t>4.84 %</w:t>
            </w:r>
          </w:p>
        </w:tc>
      </w:tr>
      <w:tr>
        <w:trPr>
          <w:trHeight w:val="261"/>
        </w:trPr>
        <w:tc>
          <w:tcPr>
            <w:tcW w:w="20" w:type="dxa"/>
            <w:vAlign w:val="bottom"/>
          </w:tcPr>
          <w:p>
            <w:pPr>
              <w:spacing w:after="0"/>
              <w:rPr>
                <w:sz w:val="22"/>
                <w:szCs w:val="22"/>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center"/>
              <w:ind w:left="410"/>
              <w:spacing w:after="0"/>
              <w:rPr>
                <w:sz w:val="20"/>
                <w:szCs w:val="20"/>
                <w:color w:val="auto"/>
              </w:rPr>
            </w:pPr>
            <w:r>
              <w:rPr>
                <w:rFonts w:ascii="Arial" w:cs="Arial" w:eastAsia="Arial" w:hAnsi="Arial"/>
                <w:sz w:val="18"/>
                <w:szCs w:val="18"/>
                <w:color w:val="auto"/>
              </w:rPr>
              <w:t>2.66 %</w:t>
            </w:r>
          </w:p>
        </w:tc>
      </w:tr>
      <w:tr>
        <w:trPr>
          <w:trHeight w:val="567"/>
        </w:trPr>
        <w:tc>
          <w:tcPr>
            <w:tcW w:w="874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Operating</w:t>
            </w:r>
          </w:p>
        </w:tc>
        <w:tc>
          <w:tcPr>
            <w:tcW w:w="26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Finance</w:t>
            </w:r>
          </w:p>
        </w:tc>
      </w:tr>
      <w:tr>
        <w:trPr>
          <w:trHeight w:val="254"/>
        </w:trPr>
        <w:tc>
          <w:tcPr>
            <w:tcW w:w="20" w:type="dxa"/>
            <w:vAlign w:val="bottom"/>
          </w:tcPr>
          <w:p>
            <w:pPr>
              <w:spacing w:after="0"/>
              <w:rPr>
                <w:sz w:val="22"/>
                <w:szCs w:val="22"/>
                <w:color w:val="auto"/>
              </w:rPr>
            </w:pPr>
          </w:p>
        </w:tc>
        <w:tc>
          <w:tcPr>
            <w:tcW w:w="8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8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Leases</w:t>
            </w:r>
          </w:p>
        </w:tc>
        <w:tc>
          <w:tcPr>
            <w:tcW w:w="260" w:type="dxa"/>
            <w:vAlign w:val="bottom"/>
            <w:tcBorders>
              <w:bottom w:val="single" w:sz="8" w:color="0090DA"/>
            </w:tcBorders>
          </w:tcPr>
          <w:p>
            <w:pPr>
              <w:spacing w:after="0"/>
              <w:rPr>
                <w:sz w:val="22"/>
                <w:szCs w:val="22"/>
                <w:color w:val="auto"/>
              </w:rPr>
            </w:pPr>
          </w:p>
        </w:tc>
        <w:tc>
          <w:tcPr>
            <w:tcW w:w="11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Leases</w:t>
            </w:r>
          </w:p>
        </w:tc>
      </w:tr>
      <w:tr>
        <w:trPr>
          <w:trHeight w:val="35"/>
        </w:trPr>
        <w:tc>
          <w:tcPr>
            <w:tcW w:w="20" w:type="dxa"/>
            <w:vAlign w:val="bottom"/>
          </w:tcPr>
          <w:p>
            <w:pPr>
              <w:spacing w:after="0"/>
              <w:rPr>
                <w:sz w:val="3"/>
                <w:szCs w:val="3"/>
                <w:color w:val="auto"/>
              </w:rPr>
            </w:pPr>
          </w:p>
        </w:tc>
        <w:tc>
          <w:tcPr>
            <w:tcW w:w="8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8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174</w:t>
            </w:r>
          </w:p>
        </w:tc>
      </w:tr>
      <w:tr>
        <w:trPr>
          <w:trHeight w:val="252"/>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107</w:t>
            </w:r>
          </w:p>
        </w:tc>
      </w:tr>
      <w:tr>
        <w:trPr>
          <w:trHeight w:val="261"/>
        </w:trPr>
        <w:tc>
          <w:tcPr>
            <w:tcW w:w="20" w:type="dxa"/>
            <w:vAlign w:val="bottom"/>
          </w:tcPr>
          <w:p>
            <w:pPr>
              <w:spacing w:after="0"/>
              <w:rPr>
                <w:sz w:val="22"/>
                <w:szCs w:val="22"/>
                <w:color w:val="auto"/>
              </w:rPr>
            </w:pPr>
          </w:p>
        </w:tc>
        <w:tc>
          <w:tcPr>
            <w:tcW w:w="8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75</w:t>
            </w:r>
          </w:p>
        </w:tc>
      </w:tr>
      <w:tr>
        <w:trPr>
          <w:trHeight w:val="252"/>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61"/>
        </w:trPr>
        <w:tc>
          <w:tcPr>
            <w:tcW w:w="20" w:type="dxa"/>
            <w:vAlign w:val="bottom"/>
          </w:tcPr>
          <w:p>
            <w:pPr>
              <w:spacing w:after="0"/>
              <w:rPr>
                <w:sz w:val="22"/>
                <w:szCs w:val="22"/>
                <w:color w:val="auto"/>
              </w:rPr>
            </w:pPr>
          </w:p>
        </w:tc>
        <w:tc>
          <w:tcPr>
            <w:tcW w:w="8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D1D2D4"/>
          </w:tcPr>
          <w:p>
            <w:pPr>
              <w:spacing w:after="0"/>
              <w:rPr>
                <w:sz w:val="22"/>
                <w:szCs w:val="22"/>
                <w:color w:val="auto"/>
              </w:rPr>
            </w:pP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37</w:t>
            </w:r>
          </w:p>
        </w:tc>
      </w:tr>
      <w:tr>
        <w:trPr>
          <w:trHeight w:val="252"/>
        </w:trPr>
        <w:tc>
          <w:tcPr>
            <w:tcW w:w="20" w:type="dxa"/>
            <w:vAlign w:val="bottom"/>
          </w:tcPr>
          <w:p>
            <w:pPr>
              <w:spacing w:after="0"/>
              <w:rPr>
                <w:sz w:val="21"/>
                <w:szCs w:val="21"/>
                <w:color w:val="auto"/>
              </w:rPr>
            </w:pPr>
          </w:p>
        </w:tc>
        <w:tc>
          <w:tcPr>
            <w:tcW w:w="872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191</w:t>
            </w:r>
          </w:p>
        </w:tc>
      </w:tr>
      <w:tr>
        <w:trPr>
          <w:trHeight w:val="261"/>
        </w:trPr>
        <w:tc>
          <w:tcPr>
            <w:tcW w:w="20" w:type="dxa"/>
            <w:vAlign w:val="bottom"/>
          </w:tcPr>
          <w:p>
            <w:pPr>
              <w:spacing w:after="0"/>
              <w:rPr>
                <w:sz w:val="22"/>
                <w:szCs w:val="22"/>
                <w:color w:val="auto"/>
              </w:rPr>
            </w:pPr>
          </w:p>
        </w:tc>
        <w:tc>
          <w:tcPr>
            <w:tcW w:w="8720" w:type="dxa"/>
            <w:vAlign w:val="bottom"/>
            <w:shd w:val="clear" w:color="auto" w:fill="D1D2D4"/>
          </w:tcPr>
          <w:p>
            <w:pPr>
              <w:ind w:left="20"/>
              <w:spacing w:after="0" w:line="262" w:lineRule="exact"/>
              <w:rPr>
                <w:sz w:val="20"/>
                <w:szCs w:val="20"/>
                <w:color w:val="auto"/>
              </w:rPr>
            </w:pPr>
            <w:r>
              <w:rPr>
                <w:rFonts w:ascii="Arial" w:cs="Arial" w:eastAsia="Arial" w:hAnsi="Arial"/>
                <w:sz w:val="18"/>
                <w:szCs w:val="18"/>
                <w:color w:val="auto"/>
              </w:rPr>
              <w:t xml:space="preserve">Less imputed interest and reimbursement of tenant improvements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center"/>
              <w:ind w:left="370"/>
              <w:spacing w:after="0"/>
              <w:rPr>
                <w:sz w:val="20"/>
                <w:szCs w:val="20"/>
                <w:color w:val="auto"/>
              </w:rPr>
            </w:pPr>
            <w:r>
              <w:rPr>
                <w:rFonts w:ascii="Arial" w:cs="Arial" w:eastAsia="Arial" w:hAnsi="Arial"/>
                <w:sz w:val="18"/>
                <w:szCs w:val="18"/>
                <w:color w:val="auto"/>
                <w:w w:val="99"/>
              </w:rPr>
              <w:t>(103)</w:t>
            </w:r>
          </w:p>
        </w:tc>
      </w:tr>
      <w:tr>
        <w:trPr>
          <w:trHeight w:val="245"/>
        </w:trPr>
        <w:tc>
          <w:tcPr>
            <w:tcW w:w="20" w:type="dxa"/>
            <w:vAlign w:val="bottom"/>
          </w:tcPr>
          <w:p>
            <w:pPr>
              <w:spacing w:after="0"/>
              <w:rPr>
                <w:sz w:val="21"/>
                <w:szCs w:val="21"/>
                <w:color w:val="auto"/>
              </w:rPr>
            </w:pPr>
          </w:p>
        </w:tc>
        <w:tc>
          <w:tcPr>
            <w:tcW w:w="87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529</w:t>
            </w:r>
          </w:p>
        </w:tc>
      </w:tr>
      <w:tr>
        <w:trPr>
          <w:trHeight w:val="25"/>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6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$50 million under operating leases for the reimbursement due in 2020 of tenant improvements.</w:t>
      </w:r>
    </w:p>
    <w:p>
      <w:pPr>
        <w:spacing w:after="0" w:line="216" w:lineRule="exact"/>
        <w:rPr>
          <w:sz w:val="20"/>
          <w:szCs w:val="20"/>
          <w:color w:val="auto"/>
        </w:rPr>
      </w:pPr>
    </w:p>
    <w:p>
      <w:pPr>
        <w:ind w:right="580"/>
        <w:spacing w:after="0" w:line="280" w:lineRule="auto"/>
        <w:rPr>
          <w:sz w:val="20"/>
          <w:szCs w:val="20"/>
          <w:color w:val="auto"/>
        </w:rPr>
      </w:pPr>
      <w:r>
        <w:rPr>
          <w:rFonts w:ascii="Arial" w:cs="Arial" w:eastAsia="Arial" w:hAnsi="Arial"/>
          <w:sz w:val="18"/>
          <w:szCs w:val="18"/>
          <w:color w:val="auto"/>
        </w:rPr>
        <w:t>Prior to adopting ASC 842, future minimum operating lease commitments under all noncancelable operating leases with an initial term in excess of one year as of August 29, 2019 were as follows:</w:t>
      </w:r>
    </w:p>
    <w:tbl>
      <w:tblPr>
        <w:tblLayout w:type="fixed"/>
        <w:tblInd w:w="20" w:type="dxa"/>
        <w:tblCellMar>
          <w:top w:w="0" w:type="dxa"/>
          <w:left w:w="0" w:type="dxa"/>
          <w:bottom w:w="0" w:type="dxa"/>
          <w:right w:w="0" w:type="dxa"/>
        </w:tblCellMar>
      </w:tblPr>
      <w:tr>
        <w:trPr>
          <w:trHeight w:val="204"/>
        </w:trPr>
        <w:tc>
          <w:tcPr>
            <w:tcW w:w="10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rPr>
              <w:t>Operating</w:t>
            </w:r>
          </w:p>
        </w:tc>
      </w:tr>
      <w:tr>
        <w:trPr>
          <w:trHeight w:val="254"/>
        </w:trPr>
        <w:tc>
          <w:tcPr>
            <w:tcW w:w="100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8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Leases</w:t>
            </w:r>
          </w:p>
        </w:tc>
      </w:tr>
      <w:tr>
        <w:trPr>
          <w:trHeight w:val="35"/>
        </w:trPr>
        <w:tc>
          <w:tcPr>
            <w:tcW w:w="10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10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54</w:t>
            </w:r>
          </w:p>
        </w:tc>
      </w:tr>
      <w:tr>
        <w:trPr>
          <w:trHeight w:val="252"/>
        </w:trPr>
        <w:tc>
          <w:tcPr>
            <w:tcW w:w="1006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64</w:t>
            </w:r>
          </w:p>
        </w:tc>
      </w:tr>
      <w:tr>
        <w:trPr>
          <w:trHeight w:val="261"/>
        </w:trPr>
        <w:tc>
          <w:tcPr>
            <w:tcW w:w="10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w:t>
            </w:r>
          </w:p>
        </w:tc>
      </w:tr>
      <w:tr>
        <w:trPr>
          <w:trHeight w:val="252"/>
        </w:trPr>
        <w:tc>
          <w:tcPr>
            <w:tcW w:w="1006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59</w:t>
            </w:r>
          </w:p>
        </w:tc>
      </w:tr>
      <w:tr>
        <w:trPr>
          <w:trHeight w:val="261"/>
        </w:trPr>
        <w:tc>
          <w:tcPr>
            <w:tcW w:w="10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53</w:t>
            </w:r>
          </w:p>
        </w:tc>
      </w:tr>
      <w:tr>
        <w:trPr>
          <w:trHeight w:val="252"/>
        </w:trPr>
        <w:tc>
          <w:tcPr>
            <w:tcW w:w="100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2025 and thereafter</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459</w:t>
            </w:r>
          </w:p>
        </w:tc>
      </w:tr>
      <w:tr>
        <w:trPr>
          <w:trHeight w:val="275"/>
        </w:trPr>
        <w:tc>
          <w:tcPr>
            <w:tcW w:w="10060" w:type="dxa"/>
            <w:vAlign w:val="bottom"/>
            <w:tcBorders>
              <w:bottom w:val="single" w:sz="8" w:color="D1D2D4"/>
            </w:tcBorders>
            <w:shd w:val="clear" w:color="auto" w:fill="D1D2D4"/>
          </w:tcPr>
          <w:p>
            <w:pPr>
              <w:spacing w:after="0"/>
              <w:rPr>
                <w:sz w:val="23"/>
                <w:szCs w:val="23"/>
                <w:color w:val="auto"/>
              </w:rPr>
            </w:pP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752</w:t>
            </w:r>
          </w:p>
        </w:tc>
      </w:tr>
      <w:tr>
        <w:trPr>
          <w:trHeight w:val="20"/>
        </w:trPr>
        <w:tc>
          <w:tcPr>
            <w:tcW w:w="100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40"/>
        <w:spacing w:after="0"/>
        <w:rPr>
          <w:sz w:val="20"/>
          <w:szCs w:val="20"/>
          <w:color w:val="auto"/>
        </w:rPr>
      </w:pPr>
      <w:r>
        <w:rPr>
          <w:sz w:val="1"/>
          <w:szCs w:val="1"/>
          <w:color w:val="auto"/>
        </w:rPr>
        <w:drawing>
          <wp:inline distT="0" distB="0" distL="0" distR="0">
            <wp:extent cx="591820" cy="1543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4"/>
          <w:szCs w:val="14"/>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1,677</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2,425</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1,782</w:t>
            </w:r>
          </w:p>
        </w:tc>
      </w:tr>
      <w:tr>
        <w:trPr>
          <w:trHeight w:val="261"/>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695</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309</w:t>
            </w: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163</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4,626</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1240" w:type="dxa"/>
            <w:vAlign w:val="bottom"/>
            <w:tcBorders>
              <w:bottom w:val="single" w:sz="8" w:color="0090DA"/>
            </w:tcBorders>
          </w:tcPr>
          <w:p>
            <w:pPr>
              <w:spacing w:after="0"/>
              <w:rPr>
                <w:sz w:val="20"/>
                <w:szCs w:val="20"/>
                <w:color w:val="auto"/>
              </w:rPr>
            </w:pPr>
          </w:p>
        </w:tc>
        <w:tc>
          <w:tcPr>
            <w:tcW w:w="2580" w:type="dxa"/>
            <w:vAlign w:val="bottom"/>
            <w:tcBorders>
              <w:bottom w:val="single" w:sz="8" w:color="0090DA"/>
            </w:tcBorders>
            <w:gridSpan w:val="4"/>
          </w:tcPr>
          <w:p>
            <w:pPr>
              <w:ind w:left="800"/>
              <w:spacing w:after="0"/>
              <w:rPr>
                <w:sz w:val="20"/>
                <w:szCs w:val="20"/>
                <w:color w:val="auto"/>
              </w:rPr>
            </w:pPr>
            <w:r>
              <w:rPr>
                <w:rFonts w:ascii="Arial" w:cs="Arial" w:eastAsia="Arial" w:hAnsi="Arial"/>
                <w:sz w:val="18"/>
                <w:szCs w:val="18"/>
                <w:b w:val="1"/>
                <w:bCs w:val="1"/>
                <w:color w:val="auto"/>
              </w:rPr>
              <w:t>November 28, 2019</w:t>
            </w:r>
          </w:p>
        </w:tc>
        <w:tc>
          <w:tcPr>
            <w:tcW w:w="700" w:type="dxa"/>
            <w:vAlign w:val="bottom"/>
            <w:tcBorders>
              <w:bottom w:val="single" w:sz="8" w:color="0090DA"/>
            </w:tcBorders>
          </w:tcPr>
          <w:p>
            <w:pPr>
              <w:spacing w:after="0"/>
              <w:rPr>
                <w:sz w:val="20"/>
                <w:szCs w:val="20"/>
                <w:color w:val="auto"/>
              </w:rPr>
            </w:pPr>
          </w:p>
        </w:tc>
        <w:tc>
          <w:tcPr>
            <w:tcW w:w="34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820" w:type="dxa"/>
            <w:vAlign w:val="bottom"/>
            <w:tcBorders>
              <w:bottom w:val="single" w:sz="8" w:color="0090DA"/>
            </w:tcBorders>
          </w:tcPr>
          <w:p>
            <w:pPr>
              <w:spacing w:after="0"/>
              <w:rPr>
                <w:sz w:val="20"/>
                <w:szCs w:val="20"/>
                <w:color w:val="auto"/>
              </w:rPr>
            </w:pPr>
          </w:p>
        </w:tc>
        <w:tc>
          <w:tcPr>
            <w:tcW w:w="1540" w:type="dxa"/>
            <w:vAlign w:val="bottom"/>
            <w:tcBorders>
              <w:bottom w:val="single" w:sz="8" w:color="0090DA"/>
            </w:tcBorders>
            <w:gridSpan w:val="3"/>
          </w:tcPr>
          <w:p>
            <w:pPr>
              <w:jc w:val="right"/>
              <w:ind w:right="70"/>
              <w:spacing w:after="0"/>
              <w:rPr>
                <w:sz w:val="20"/>
                <w:szCs w:val="20"/>
                <w:color w:val="auto"/>
              </w:rPr>
            </w:pPr>
            <w:r>
              <w:rPr>
                <w:rFonts w:ascii="Arial" w:cs="Arial" w:eastAsia="Arial" w:hAnsi="Arial"/>
                <w:sz w:val="18"/>
                <w:szCs w:val="18"/>
                <w:b w:val="1"/>
                <w:bCs w:val="1"/>
                <w:color w:val="auto"/>
                <w:w w:val="99"/>
              </w:rPr>
              <w:t>August 29, 2019</w:t>
            </w:r>
          </w:p>
        </w:tc>
        <w:tc>
          <w:tcPr>
            <w:tcW w:w="820" w:type="dxa"/>
            <w:vAlign w:val="bottom"/>
            <w:tcBorders>
              <w:bottom w:val="single" w:sz="8" w:color="0090DA"/>
            </w:tcBorders>
          </w:tcPr>
          <w:p>
            <w:pPr>
              <w:spacing w:after="0"/>
              <w:rPr>
                <w:sz w:val="20"/>
                <w:szCs w:val="20"/>
                <w:color w:val="auto"/>
              </w:rPr>
            </w:pPr>
          </w:p>
        </w:tc>
      </w:tr>
      <w:tr>
        <w:trPr>
          <w:trHeight w:val="249"/>
        </w:trPr>
        <w:tc>
          <w:tcPr>
            <w:tcW w:w="2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360" w:type="dxa"/>
            <w:vAlign w:val="bottom"/>
            <w:tcBorders>
              <w:bottom w:val="single" w:sz="8" w:color="0090DA"/>
            </w:tcBorders>
            <w:gridSpan w:val="4"/>
          </w:tcPr>
          <w:p>
            <w:pPr>
              <w:jc w:val="right"/>
              <w:spacing w:after="0"/>
              <w:rPr>
                <w:sz w:val="20"/>
                <w:szCs w:val="20"/>
                <w:color w:val="auto"/>
              </w:rPr>
            </w:pPr>
            <w:r>
              <w:rPr>
                <w:rFonts w:ascii="Arial" w:cs="Arial" w:eastAsia="Arial" w:hAnsi="Arial"/>
                <w:sz w:val="18"/>
                <w:szCs w:val="18"/>
                <w:b w:val="1"/>
                <w:bCs w:val="1"/>
                <w:color w:val="auto"/>
              </w:rPr>
              <w:t>Net Carrying Amount</w:t>
            </w:r>
          </w:p>
        </w:tc>
        <w:tc>
          <w:tcPr>
            <w:tcW w:w="84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360" w:type="dxa"/>
            <w:vAlign w:val="bottom"/>
            <w:tcBorders>
              <w:bottom w:val="single" w:sz="8" w:color="0090DA"/>
            </w:tcBorders>
            <w:gridSpan w:val="4"/>
          </w:tcPr>
          <w:p>
            <w:pPr>
              <w:jc w:val="right"/>
              <w:spacing w:after="0"/>
              <w:rPr>
                <w:sz w:val="20"/>
                <w:szCs w:val="20"/>
                <w:color w:val="auto"/>
              </w:rPr>
            </w:pPr>
            <w:r>
              <w:rPr>
                <w:rFonts w:ascii="Arial" w:cs="Arial" w:eastAsia="Arial" w:hAnsi="Arial"/>
                <w:sz w:val="18"/>
                <w:szCs w:val="18"/>
                <w:b w:val="1"/>
                <w:bCs w:val="1"/>
                <w:color w:val="auto"/>
              </w:rPr>
              <w:t>Net Carrying Amount</w:t>
            </w:r>
          </w:p>
        </w:tc>
        <w:tc>
          <w:tcPr>
            <w:tcW w:w="820" w:type="dxa"/>
            <w:vAlign w:val="bottom"/>
            <w:tcBorders>
              <w:bottom w:val="single" w:sz="8" w:color="0090DA"/>
            </w:tcBorders>
          </w:tcPr>
          <w:p>
            <w:pPr>
              <w:spacing w:after="0"/>
              <w:rPr>
                <w:sz w:val="21"/>
                <w:szCs w:val="21"/>
                <w:color w:val="auto"/>
              </w:rPr>
            </w:pPr>
          </w:p>
        </w:tc>
      </w:tr>
      <w:tr>
        <w:trPr>
          <w:trHeight w:val="185"/>
        </w:trPr>
        <w:tc>
          <w:tcPr>
            <w:tcW w:w="2220" w:type="dxa"/>
            <w:vAlign w:val="bottom"/>
          </w:tcPr>
          <w:p>
            <w:pPr>
              <w:spacing w:after="0"/>
              <w:rPr>
                <w:sz w:val="16"/>
                <w:szCs w:val="16"/>
                <w:color w:val="auto"/>
              </w:rPr>
            </w:pPr>
          </w:p>
        </w:tc>
        <w:tc>
          <w:tcPr>
            <w:tcW w:w="1240" w:type="dxa"/>
            <w:vAlign w:val="bottom"/>
          </w:tcPr>
          <w:p>
            <w:pPr>
              <w:jc w:val="right"/>
              <w:ind w:right="370"/>
              <w:spacing w:after="0" w:line="186" w:lineRule="exact"/>
              <w:rPr>
                <w:sz w:val="20"/>
                <w:szCs w:val="20"/>
                <w:color w:val="auto"/>
              </w:rPr>
            </w:pPr>
            <w:r>
              <w:rPr>
                <w:rFonts w:ascii="Arial" w:cs="Arial" w:eastAsia="Arial" w:hAnsi="Arial"/>
                <w:sz w:val="18"/>
                <w:szCs w:val="18"/>
                <w:b w:val="1"/>
                <w:bCs w:val="1"/>
                <w:color w:val="auto"/>
              </w:rPr>
              <w:t>Stated</w:t>
            </w:r>
          </w:p>
        </w:tc>
        <w:tc>
          <w:tcPr>
            <w:tcW w:w="1120" w:type="dxa"/>
            <w:vAlign w:val="bottom"/>
          </w:tcPr>
          <w:p>
            <w:pPr>
              <w:jc w:val="right"/>
              <w:ind w:right="210"/>
              <w:spacing w:after="0" w:line="186" w:lineRule="exact"/>
              <w:rPr>
                <w:sz w:val="20"/>
                <w:szCs w:val="20"/>
                <w:color w:val="auto"/>
              </w:rPr>
            </w:pPr>
            <w:r>
              <w:rPr>
                <w:rFonts w:ascii="Arial" w:cs="Arial" w:eastAsia="Arial" w:hAnsi="Arial"/>
                <w:sz w:val="18"/>
                <w:szCs w:val="18"/>
                <w:b w:val="1"/>
                <w:bCs w:val="1"/>
                <w:color w:val="auto"/>
              </w:rPr>
              <w:t>Effective</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4"/>
        </w:trPr>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Rate</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Long-Term</w:t>
            </w:r>
          </w:p>
        </w:tc>
        <w:tc>
          <w:tcPr>
            <w:tcW w:w="34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Current</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Long-Term</w:t>
            </w:r>
          </w:p>
        </w:tc>
        <w:tc>
          <w:tcPr>
            <w:tcW w:w="360" w:type="dxa"/>
            <w:vAlign w:val="bottom"/>
          </w:tcPr>
          <w:p>
            <w:pPr>
              <w:spacing w:after="0"/>
              <w:rPr>
                <w:sz w:val="22"/>
                <w:szCs w:val="22"/>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2"/>
              </w:rPr>
              <w:t>Total</w:t>
            </w:r>
          </w:p>
        </w:tc>
      </w:tr>
      <w:tr>
        <w:trPr>
          <w:trHeight w:val="35"/>
        </w:trPr>
        <w:tc>
          <w:tcPr>
            <w:tcW w:w="2220" w:type="dxa"/>
            <w:vAlign w:val="bottom"/>
            <w:tcBorders>
              <w:top w:val="single" w:sz="8" w:color="0090DA"/>
            </w:tcBorders>
          </w:tcPr>
          <w:p>
            <w:pPr>
              <w:spacing w:after="0"/>
              <w:rPr>
                <w:sz w:val="3"/>
                <w:szCs w:val="3"/>
                <w:color w:val="auto"/>
              </w:rPr>
            </w:pPr>
          </w:p>
        </w:tc>
        <w:tc>
          <w:tcPr>
            <w:tcW w:w="1240" w:type="dxa"/>
            <w:vAlign w:val="bottom"/>
            <w:tcBorders>
              <w:top w:val="single" w:sz="8" w:color="0090DA"/>
            </w:tcBorders>
          </w:tcPr>
          <w:p>
            <w:pPr>
              <w:spacing w:after="0"/>
              <w:rPr>
                <w:sz w:val="3"/>
                <w:szCs w:val="3"/>
                <w:color w:val="auto"/>
              </w:rPr>
            </w:pPr>
          </w:p>
        </w:tc>
        <w:tc>
          <w:tcPr>
            <w:tcW w:w="1120" w:type="dxa"/>
            <w:vAlign w:val="bottom"/>
            <w:tcBorders>
              <w:top w:val="single" w:sz="8" w:color="0090DA"/>
            </w:tcBorders>
          </w:tcPr>
          <w:p>
            <w:pPr>
              <w:spacing w:after="0"/>
              <w:rPr>
                <w:sz w:val="3"/>
                <w:szCs w:val="3"/>
                <w:color w:val="auto"/>
              </w:rPr>
            </w:pPr>
          </w:p>
        </w:tc>
        <w:tc>
          <w:tcPr>
            <w:tcW w:w="140" w:type="dxa"/>
            <w:vAlign w:val="bottom"/>
            <w:tcBorders>
              <w:top w:val="single" w:sz="8" w:color="0090DA"/>
            </w:tcBorders>
          </w:tcPr>
          <w:p>
            <w:pPr>
              <w:spacing w:after="0"/>
              <w:rPr>
                <w:sz w:val="3"/>
                <w:szCs w:val="3"/>
                <w:color w:val="auto"/>
              </w:rPr>
            </w:pPr>
          </w:p>
        </w:tc>
        <w:tc>
          <w:tcPr>
            <w:tcW w:w="920" w:type="dxa"/>
            <w:vAlign w:val="bottom"/>
            <w:tcBorders>
              <w:top w:val="single" w:sz="8" w:color="0090DA"/>
            </w:tcBorders>
          </w:tcPr>
          <w:p>
            <w:pPr>
              <w:spacing w:after="0"/>
              <w:rPr>
                <w:sz w:val="3"/>
                <w:szCs w:val="3"/>
                <w:color w:val="auto"/>
              </w:rPr>
            </w:pPr>
          </w:p>
        </w:tc>
        <w:tc>
          <w:tcPr>
            <w:tcW w:w="400" w:type="dxa"/>
            <w:vAlign w:val="bottom"/>
            <w:tcBorders>
              <w:top w:val="single" w:sz="8" w:color="0090DA"/>
            </w:tcBorders>
          </w:tcPr>
          <w:p>
            <w:pPr>
              <w:spacing w:after="0"/>
              <w:rPr>
                <w:sz w:val="3"/>
                <w:szCs w:val="3"/>
                <w:color w:val="auto"/>
              </w:rPr>
            </w:pPr>
          </w:p>
        </w:tc>
        <w:tc>
          <w:tcPr>
            <w:tcW w:w="700" w:type="dxa"/>
            <w:vAlign w:val="bottom"/>
            <w:tcBorders>
              <w:top w:val="single" w:sz="8" w:color="0090DA"/>
            </w:tcBorders>
          </w:tcPr>
          <w:p>
            <w:pPr>
              <w:spacing w:after="0"/>
              <w:rPr>
                <w:sz w:val="3"/>
                <w:szCs w:val="3"/>
                <w:color w:val="auto"/>
              </w:rPr>
            </w:pPr>
          </w:p>
        </w:tc>
        <w:tc>
          <w:tcPr>
            <w:tcW w:w="340" w:type="dxa"/>
            <w:vAlign w:val="bottom"/>
            <w:tcBorders>
              <w:top w:val="single" w:sz="8" w:color="0090DA"/>
            </w:tcBorders>
          </w:tcPr>
          <w:p>
            <w:pPr>
              <w:spacing w:after="0"/>
              <w:rPr>
                <w:sz w:val="3"/>
                <w:szCs w:val="3"/>
                <w:color w:val="auto"/>
              </w:rPr>
            </w:pPr>
          </w:p>
        </w:tc>
        <w:tc>
          <w:tcPr>
            <w:tcW w:w="84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0090DA"/>
            </w:tcBorders>
          </w:tcPr>
          <w:p>
            <w:pPr>
              <w:spacing w:after="0"/>
              <w:rPr>
                <w:sz w:val="3"/>
                <w:szCs w:val="3"/>
                <w:color w:val="auto"/>
              </w:rPr>
            </w:pPr>
          </w:p>
        </w:tc>
        <w:tc>
          <w:tcPr>
            <w:tcW w:w="820" w:type="dxa"/>
            <w:vAlign w:val="bottom"/>
            <w:tcBorders>
              <w:top w:val="single" w:sz="8" w:color="0090DA"/>
            </w:tcBorders>
          </w:tcPr>
          <w:p>
            <w:pPr>
              <w:spacing w:after="0"/>
              <w:rPr>
                <w:sz w:val="3"/>
                <w:szCs w:val="3"/>
                <w:color w:val="auto"/>
              </w:rPr>
            </w:pPr>
          </w:p>
        </w:tc>
        <w:tc>
          <w:tcPr>
            <w:tcW w:w="460" w:type="dxa"/>
            <w:vAlign w:val="bottom"/>
            <w:tcBorders>
              <w:top w:val="single" w:sz="8" w:color="0090DA"/>
            </w:tcBorders>
          </w:tcPr>
          <w:p>
            <w:pPr>
              <w:spacing w:after="0"/>
              <w:rPr>
                <w:sz w:val="3"/>
                <w:szCs w:val="3"/>
                <w:color w:val="auto"/>
              </w:rPr>
            </w:pPr>
          </w:p>
        </w:tc>
        <w:tc>
          <w:tcPr>
            <w:tcW w:w="720" w:type="dxa"/>
            <w:vAlign w:val="bottom"/>
            <w:tcBorders>
              <w:top w:val="single" w:sz="8" w:color="0090DA"/>
            </w:tcBorders>
          </w:tcPr>
          <w:p>
            <w:pPr>
              <w:spacing w:after="0"/>
              <w:rPr>
                <w:sz w:val="3"/>
                <w:szCs w:val="3"/>
                <w:color w:val="auto"/>
              </w:rPr>
            </w:pPr>
          </w:p>
        </w:tc>
        <w:tc>
          <w:tcPr>
            <w:tcW w:w="360" w:type="dxa"/>
            <w:vAlign w:val="bottom"/>
            <w:tcBorders>
              <w:top w:val="single" w:sz="8" w:color="0090DA"/>
            </w:tcBorders>
          </w:tcPr>
          <w:p>
            <w:pPr>
              <w:spacing w:after="0"/>
              <w:rPr>
                <w:sz w:val="3"/>
                <w:szCs w:val="3"/>
                <w:color w:val="auto"/>
              </w:rPr>
            </w:pPr>
          </w:p>
        </w:tc>
        <w:tc>
          <w:tcPr>
            <w:tcW w:w="820" w:type="dxa"/>
            <w:vAlign w:val="bottom"/>
            <w:tcBorders>
              <w:top w:val="single" w:sz="8" w:color="0090DA"/>
            </w:tcBorders>
          </w:tcPr>
          <w:p>
            <w:pPr>
              <w:spacing w:after="0"/>
              <w:rPr>
                <w:sz w:val="3"/>
                <w:szCs w:val="3"/>
                <w:color w:val="auto"/>
              </w:rPr>
            </w:pPr>
          </w:p>
        </w:tc>
      </w:tr>
      <w:tr>
        <w:trPr>
          <w:trHeight w:val="257"/>
        </w:trPr>
        <w:tc>
          <w:tcPr>
            <w:tcW w:w="2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24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4.84 % $</w:t>
            </w: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D1D2D4"/>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D1D2D4"/>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368</w:t>
            </w:r>
          </w:p>
        </w:tc>
        <w:tc>
          <w:tcPr>
            <w:tcW w:w="3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591</w:t>
            </w: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MMJ Creditor Payments</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9.76 %</w:t>
            </w:r>
          </w:p>
        </w:tc>
        <w:tc>
          <w:tcPr>
            <w:tcW w:w="1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198</w:t>
            </w:r>
          </w:p>
        </w:tc>
      </w:tr>
      <w:tr>
        <w:trPr>
          <w:trHeight w:val="257"/>
        </w:trPr>
        <w:tc>
          <w:tcPr>
            <w:tcW w:w="2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14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597</w:t>
            </w: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1240" w:type="dxa"/>
            <w:vAlign w:val="bottom"/>
          </w:tcPr>
          <w:p>
            <w:pPr>
              <w:jc w:val="right"/>
              <w:spacing w:after="0"/>
              <w:rPr>
                <w:sz w:val="20"/>
                <w:szCs w:val="20"/>
                <w:color w:val="auto"/>
              </w:rPr>
            </w:pPr>
            <w:r>
              <w:rPr>
                <w:rFonts w:ascii="Arial" w:cs="Arial" w:eastAsia="Arial" w:hAnsi="Arial"/>
                <w:sz w:val="18"/>
                <w:szCs w:val="18"/>
                <w:color w:val="auto"/>
              </w:rPr>
              <w:t>3.05 %</w:t>
            </w:r>
          </w:p>
        </w:tc>
        <w:tc>
          <w:tcPr>
            <w:tcW w:w="1120" w:type="dxa"/>
            <w:vAlign w:val="bottom"/>
          </w:tcPr>
          <w:p>
            <w:pPr>
              <w:jc w:val="right"/>
              <w:spacing w:after="0"/>
              <w:rPr>
                <w:sz w:val="20"/>
                <w:szCs w:val="20"/>
                <w:color w:val="auto"/>
              </w:rPr>
            </w:pPr>
            <w:r>
              <w:rPr>
                <w:rFonts w:ascii="Arial" w:cs="Arial" w:eastAsia="Arial" w:hAnsi="Arial"/>
                <w:sz w:val="18"/>
                <w:szCs w:val="18"/>
                <w:color w:val="auto"/>
              </w:rPr>
              <w:t>3.10 %</w:t>
            </w:r>
          </w:p>
        </w:tc>
        <w:tc>
          <w:tcPr>
            <w:tcW w:w="1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34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4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3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497</w:t>
            </w: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4.19 %</w:t>
            </w:r>
          </w:p>
        </w:tc>
        <w:tc>
          <w:tcPr>
            <w:tcW w:w="1120" w:type="dxa"/>
            <w:vAlign w:val="bottom"/>
          </w:tcPr>
          <w:p>
            <w:pPr>
              <w:jc w:val="right"/>
              <w:spacing w:after="0"/>
              <w:rPr>
                <w:sz w:val="20"/>
                <w:szCs w:val="20"/>
                <w:color w:val="auto"/>
              </w:rPr>
            </w:pPr>
            <w:r>
              <w:rPr>
                <w:rFonts w:ascii="Arial" w:cs="Arial" w:eastAsia="Arial" w:hAnsi="Arial"/>
                <w:sz w:val="18"/>
                <w:szCs w:val="18"/>
                <w:color w:val="auto"/>
              </w:rPr>
              <w:t>4.27 %</w:t>
            </w:r>
          </w:p>
        </w:tc>
        <w:tc>
          <w:tcPr>
            <w:tcW w:w="1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895</w:t>
            </w:r>
          </w:p>
        </w:tc>
      </w:tr>
      <w:tr>
        <w:trPr>
          <w:trHeight w:val="257"/>
        </w:trPr>
        <w:tc>
          <w:tcPr>
            <w:tcW w:w="2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4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3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696</w:t>
            </w: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4.66 %</w:t>
            </w:r>
          </w:p>
        </w:tc>
        <w:tc>
          <w:tcPr>
            <w:tcW w:w="1120" w:type="dxa"/>
            <w:vAlign w:val="bottom"/>
          </w:tcPr>
          <w:p>
            <w:pPr>
              <w:jc w:val="right"/>
              <w:spacing w:after="0"/>
              <w:rPr>
                <w:sz w:val="20"/>
                <w:szCs w:val="20"/>
                <w:color w:val="auto"/>
              </w:rPr>
            </w:pPr>
            <w:r>
              <w:rPr>
                <w:rFonts w:ascii="Arial" w:cs="Arial" w:eastAsia="Arial" w:hAnsi="Arial"/>
                <w:sz w:val="18"/>
                <w:szCs w:val="18"/>
                <w:color w:val="auto"/>
              </w:rPr>
              <w:t>4.73 %</w:t>
            </w:r>
          </w:p>
        </w:tc>
        <w:tc>
          <w:tcPr>
            <w:tcW w:w="1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845</w:t>
            </w:r>
          </w:p>
        </w:tc>
      </w:tr>
      <w:tr>
        <w:trPr>
          <w:trHeight w:val="257"/>
        </w:trPr>
        <w:tc>
          <w:tcPr>
            <w:tcW w:w="222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 xml:space="preserve">2032D Notes </w:t>
            </w:r>
            <w:r>
              <w:rPr>
                <w:rFonts w:ascii="Arial" w:cs="Arial" w:eastAsia="Arial" w:hAnsi="Arial"/>
                <w:sz w:val="23"/>
                <w:szCs w:val="23"/>
                <w:color w:val="auto"/>
                <w:vertAlign w:val="superscript"/>
              </w:rPr>
              <w:t>(1)</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6.33 %</w:t>
            </w:r>
          </w:p>
        </w:tc>
        <w:tc>
          <w:tcPr>
            <w:tcW w:w="14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D1D2D4"/>
          </w:tcPr>
          <w:p>
            <w:pPr>
              <w:spacing w:after="0"/>
              <w:rPr>
                <w:sz w:val="22"/>
                <w:szCs w:val="22"/>
                <w:color w:val="auto"/>
              </w:rPr>
            </w:pP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127</w:t>
            </w:r>
          </w:p>
        </w:tc>
      </w:tr>
      <w:tr>
        <w:trPr>
          <w:trHeight w:val="257"/>
        </w:trPr>
        <w:tc>
          <w:tcPr>
            <w:tcW w:w="22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2033F Notes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2.13 %</w:t>
            </w:r>
          </w:p>
        </w:tc>
        <w:tc>
          <w:tcPr>
            <w:tcW w:w="1120" w:type="dxa"/>
            <w:vAlign w:val="bottom"/>
          </w:tcPr>
          <w:p>
            <w:pPr>
              <w:jc w:val="right"/>
              <w:spacing w:after="0"/>
              <w:rPr>
                <w:sz w:val="20"/>
                <w:szCs w:val="20"/>
                <w:color w:val="auto"/>
              </w:rPr>
            </w:pPr>
            <w:r>
              <w:rPr>
                <w:rFonts w:ascii="Arial" w:cs="Arial" w:eastAsia="Arial" w:hAnsi="Arial"/>
                <w:sz w:val="18"/>
                <w:szCs w:val="18"/>
                <w:color w:val="auto"/>
              </w:rPr>
              <w:t>4.93 %</w:t>
            </w:r>
          </w:p>
        </w:tc>
        <w:tc>
          <w:tcPr>
            <w:tcW w:w="1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196</w:t>
            </w:r>
          </w:p>
        </w:tc>
      </w:tr>
      <w:tr>
        <w:trPr>
          <w:trHeight w:val="257"/>
        </w:trPr>
        <w:tc>
          <w:tcPr>
            <w:tcW w:w="2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 Member Debt</w:t>
            </w:r>
          </w:p>
        </w:tc>
        <w:tc>
          <w:tcPr>
            <w:tcW w:w="124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D1D2D4"/>
          </w:tcPr>
          <w:p>
            <w:pPr>
              <w:jc w:val="right"/>
              <w:ind w:right="38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22"/>
                <w:szCs w:val="22"/>
                <w:color w:val="auto"/>
              </w:rPr>
            </w:pPr>
          </w:p>
        </w:tc>
        <w:tc>
          <w:tcPr>
            <w:tcW w:w="960" w:type="dxa"/>
            <w:vAlign w:val="bottom"/>
            <w:gridSpan w:val="2"/>
            <w:shd w:val="clear" w:color="auto" w:fill="D1D2D4"/>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46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22"/>
                <w:szCs w:val="22"/>
                <w:color w:val="auto"/>
              </w:rPr>
            </w:pP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693</w:t>
            </w:r>
          </w:p>
        </w:tc>
      </w:tr>
      <w:tr>
        <w:trPr>
          <w:trHeight w:val="257"/>
        </w:trPr>
        <w:tc>
          <w:tcPr>
            <w:tcW w:w="22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2025 Notes</w:t>
            </w:r>
          </w:p>
        </w:tc>
        <w:tc>
          <w:tcPr>
            <w:tcW w:w="12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5.50 %</w:t>
            </w:r>
          </w:p>
        </w:tc>
        <w:tc>
          <w:tcPr>
            <w:tcW w:w="11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5.56 %</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1D2D4"/>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516</w:t>
            </w:r>
          </w:p>
        </w:tc>
      </w:tr>
      <w:tr>
        <w:trPr>
          <w:trHeight w:val="265"/>
        </w:trPr>
        <w:tc>
          <w:tcPr>
            <w:tcW w:w="2220" w:type="dxa"/>
            <w:vAlign w:val="bottom"/>
            <w:shd w:val="clear" w:color="auto" w:fill="D1D2D4"/>
          </w:tcPr>
          <w:p>
            <w:pPr>
              <w:spacing w:after="0"/>
              <w:rPr>
                <w:sz w:val="23"/>
                <w:szCs w:val="23"/>
                <w:color w:val="auto"/>
              </w:rPr>
            </w:pPr>
          </w:p>
        </w:tc>
        <w:tc>
          <w:tcPr>
            <w:tcW w:w="1240" w:type="dxa"/>
            <w:vAlign w:val="bottom"/>
            <w:shd w:val="clear" w:color="auto" w:fill="D1D2D4"/>
          </w:tcPr>
          <w:p>
            <w:pPr>
              <w:spacing w:after="0"/>
              <w:rPr>
                <w:sz w:val="23"/>
                <w:szCs w:val="23"/>
                <w:color w:val="auto"/>
              </w:rPr>
            </w:pPr>
          </w:p>
        </w:tc>
        <w:tc>
          <w:tcPr>
            <w:tcW w:w="12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462</w:t>
            </w:r>
          </w:p>
        </w:tc>
        <w:tc>
          <w:tcPr>
            <w:tcW w:w="400" w:type="dxa"/>
            <w:vAlign w:val="bottom"/>
            <w:shd w:val="clear" w:color="auto" w:fill="D1D2D4"/>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5,188</w:t>
            </w:r>
          </w:p>
        </w:tc>
        <w:tc>
          <w:tcPr>
            <w:tcW w:w="3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D1D2D4"/>
          </w:tcPr>
          <w:p>
            <w:pPr>
              <w:spacing w:after="0"/>
              <w:rPr>
                <w:sz w:val="23"/>
                <w:szCs w:val="23"/>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1,310</w:t>
            </w:r>
          </w:p>
        </w:tc>
        <w:tc>
          <w:tcPr>
            <w:tcW w:w="460" w:type="dxa"/>
            <w:vAlign w:val="bottom"/>
            <w:shd w:val="clear" w:color="auto" w:fill="D1D2D4"/>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4,541</w:t>
            </w:r>
          </w:p>
        </w:tc>
        <w:tc>
          <w:tcPr>
            <w:tcW w:w="3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5,851</w:t>
            </w:r>
          </w:p>
        </w:tc>
      </w:tr>
      <w:tr>
        <w:trPr>
          <w:trHeight w:val="20"/>
        </w:trPr>
        <w:tc>
          <w:tcPr>
            <w:tcW w:w="2220" w:type="dxa"/>
            <w:vAlign w:val="bottom"/>
            <w:tcBorders>
              <w:top w:val="single" w:sz="8" w:color="D1D2D4"/>
            </w:tcBorders>
          </w:tcPr>
          <w:p>
            <w:pPr>
              <w:spacing w:after="0" w:line="20" w:lineRule="exact"/>
              <w:rPr>
                <w:sz w:val="1"/>
                <w:szCs w:val="1"/>
                <w:color w:val="auto"/>
              </w:rPr>
            </w:pPr>
          </w:p>
        </w:tc>
        <w:tc>
          <w:tcPr>
            <w:tcW w:w="1240" w:type="dxa"/>
            <w:vAlign w:val="bottom"/>
            <w:tcBorders>
              <w:top w:val="single" w:sz="8" w:color="D1D2D4"/>
            </w:tcBorders>
          </w:tcPr>
          <w:p>
            <w:pPr>
              <w:spacing w:after="0" w:line="20" w:lineRule="exact"/>
              <w:rPr>
                <w:sz w:val="1"/>
                <w:szCs w:val="1"/>
                <w:color w:val="auto"/>
              </w:rPr>
            </w:pPr>
          </w:p>
        </w:tc>
        <w:tc>
          <w:tcPr>
            <w:tcW w:w="1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260" w:right="80" w:hanging="252"/>
        <w:spacing w:after="0" w:line="241" w:lineRule="auto"/>
        <w:tabs>
          <w:tab w:leader="none" w:pos="254"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Since the closing price of our common stock exceeded 130% of the conversion price per share for at least 20 trading days in the 30 trading day period ended on September 30, 2019, these notes are convertible by the holders through the calendar quarter ended December 31, 2019. Additionally, the closing price of our common stock also exceeded the thresholds for the calendar quarter ended December 31, 2019; therefore, these notes are convertible by the holders at any time through March 31,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IMFT Member Debt</w:t>
      </w:r>
    </w:p>
    <w:p>
      <w:pPr>
        <w:spacing w:after="0" w:line="24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connection with our purchase of Intel's noncontrolling interest in IMFT on October 31, 2019, we extinguished the remaining IMFT Member Debt as a component of the cash consideration paid to Intel for their interest in IMFT and recognized a non-operating gain of $72 million for the difference between the $505 million of cash consideration allocated to the extinguishment of IMFT Member Debt and its $ 577 million carrying value. (See "Equity – Noncontrolling Interest in Subsidiary" note for the cash consideration allocated to the repurchase of noncontrolling interest.) Prior to our acquisition of Intel's interests in IMFT, IMFT repaid Intel $116 million of IMFT Member Debt in the first quarter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90DA"/>
        </w:rPr>
        <w:t>Convertible Senior Notes</w:t>
      </w:r>
    </w:p>
    <w:p>
      <w:pPr>
        <w:spacing w:after="0" w:line="24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of November 28, 2019, the $48.16 trading price of our common stock was higher than the conversion prices of our convertible notes and, as a result, the aggregate conversion value of $718 million exceeded the aggregate principal amount of $151 million by $567 million.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Credit Facility</w:t>
      </w:r>
    </w:p>
    <w:p>
      <w:pPr>
        <w:spacing w:after="0" w:line="24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credit facility provides for a term loan and a committed revolving credit facility. On October 30, 2019, we drew all of the $1.25 billion available under our term loan credit facility. Principal payments are due annually in an amount equal to 5.0% of the initial principal amount with the balance due at maturity in October 2024. The term loan facility generally bears interest at a rate equal to LIBOR plus 1.25% to 2.00%, depending on our corporate credit ratings or leverage ratio. Our revolving credit facility provides for borrowings of up to $2.50 billion at the same rates as the term loan credit facility and matures in July 2023. As of November 28, 2019, there were no outstanding amounts drawn under our revolving credit facility.</w:t>
      </w:r>
    </w:p>
    <w:p>
      <w:pPr>
        <w:spacing w:after="0" w:line="205"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Under the terms of the credit facility, we must maintain ratios, calculated as of the last day of each fiscal quarter, of total indebtedness to adjusted EBITDA and adjusted EBITDA to net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4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table below presents the effects of issuances, prepayments, and conversions of debt in the first quarter of 2020.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Increase</w:t>
            </w: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Increase</w:t>
            </w:r>
          </w:p>
        </w:tc>
        <w:tc>
          <w:tcPr>
            <w:tcW w:w="26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62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(Decrease) in</w:t>
            </w:r>
          </w:p>
        </w:tc>
        <w:tc>
          <w:tcPr>
            <w:tcW w:w="18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(Decrease) in</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1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4"/>
        </w:trPr>
        <w:tc>
          <w:tcPr>
            <w:tcW w:w="46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 November 28, 2019</w:t>
            </w:r>
          </w:p>
        </w:tc>
        <w:tc>
          <w:tcPr>
            <w:tcW w:w="200" w:type="dxa"/>
            <w:vAlign w:val="bottom"/>
            <w:tcBorders>
              <w:bottom w:val="single" w:sz="8" w:color="0090DA"/>
            </w:tcBorders>
          </w:tcPr>
          <w:p>
            <w:pPr>
              <w:spacing w:after="0"/>
              <w:rPr>
                <w:sz w:val="22"/>
                <w:szCs w:val="22"/>
                <w:color w:val="auto"/>
              </w:rPr>
            </w:pPr>
          </w:p>
        </w:tc>
        <w:tc>
          <w:tcPr>
            <w:tcW w:w="10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Principal</w:t>
            </w:r>
          </w:p>
        </w:tc>
        <w:tc>
          <w:tcPr>
            <w:tcW w:w="1440" w:type="dxa"/>
            <w:vAlign w:val="bottom"/>
            <w:tcBorders>
              <w:bottom w:val="single" w:sz="8" w:color="0090DA"/>
            </w:tcBorders>
            <w:gridSpan w:val="2"/>
          </w:tcPr>
          <w:p>
            <w:pPr>
              <w:jc w:val="center"/>
              <w:ind w:left="10"/>
              <w:spacing w:after="0"/>
              <w:rPr>
                <w:sz w:val="20"/>
                <w:szCs w:val="20"/>
                <w:color w:val="auto"/>
              </w:rPr>
            </w:pPr>
            <w:r>
              <w:rPr>
                <w:rFonts w:ascii="Arial" w:cs="Arial" w:eastAsia="Arial" w:hAnsi="Arial"/>
                <w:sz w:val="18"/>
                <w:szCs w:val="18"/>
                <w:b w:val="1"/>
                <w:bCs w:val="1"/>
                <w:color w:val="auto"/>
                <w:w w:val="99"/>
              </w:rPr>
              <w:t>Carrying Value</w:t>
            </w:r>
          </w:p>
        </w:tc>
        <w:tc>
          <w:tcPr>
            <w:tcW w:w="260" w:type="dxa"/>
            <w:vAlign w:val="bottom"/>
            <w:tcBorders>
              <w:bottom w:val="single" w:sz="8" w:color="0090DA"/>
            </w:tcBorders>
          </w:tcPr>
          <w:p>
            <w:pPr>
              <w:spacing w:after="0"/>
              <w:rPr>
                <w:sz w:val="22"/>
                <w:szCs w:val="22"/>
                <w:color w:val="auto"/>
              </w:rPr>
            </w:pPr>
          </w:p>
        </w:tc>
        <w:tc>
          <w:tcPr>
            <w:tcW w:w="108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Cash</w:t>
            </w:r>
          </w:p>
        </w:tc>
        <w:tc>
          <w:tcPr>
            <w:tcW w:w="18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ind w:left="26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0090DA"/>
            </w:tcBorders>
          </w:tcPr>
          <w:p>
            <w:pPr>
              <w:spacing w:after="0"/>
              <w:rPr>
                <w:sz w:val="22"/>
                <w:szCs w:val="22"/>
                <w:color w:val="auto"/>
              </w:rPr>
            </w:pPr>
          </w:p>
        </w:tc>
        <w:tc>
          <w:tcPr>
            <w:tcW w:w="12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Gain (Loss)</w:t>
            </w:r>
          </w:p>
        </w:tc>
      </w:tr>
      <w:tr>
        <w:trPr>
          <w:trHeight w:val="35"/>
        </w:trPr>
        <w:tc>
          <w:tcPr>
            <w:tcW w:w="4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7"/>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1"/>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7"/>
        </w:trPr>
        <w:tc>
          <w:tcPr>
            <w:tcW w:w="4620" w:type="dxa"/>
            <w:vAlign w:val="bottom"/>
          </w:tcPr>
          <w:p>
            <w:pPr>
              <w:ind w:left="120"/>
              <w:spacing w:after="0"/>
              <w:rPr>
                <w:sz w:val="20"/>
                <w:szCs w:val="20"/>
                <w:color w:val="auto"/>
              </w:rPr>
            </w:pPr>
            <w:r>
              <w:rPr>
                <w:rFonts w:ascii="Arial" w:cs="Arial" w:eastAsia="Arial" w:hAnsi="Arial"/>
                <w:sz w:val="18"/>
                <w:szCs w:val="18"/>
                <w:color w:val="auto"/>
              </w:rPr>
              <w:t>2025 Notes</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2"/>
                <w:szCs w:val="22"/>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57"/>
        </w:trPr>
        <w:tc>
          <w:tcPr>
            <w:tcW w:w="46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IMFT Member Debt</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26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72</w:t>
            </w: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Settled conversions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1"/>
        </w:trPr>
        <w:tc>
          <w:tcPr>
            <w:tcW w:w="46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2033F Notes</w:t>
            </w:r>
          </w:p>
        </w:tc>
        <w:tc>
          <w:tcPr>
            <w:tcW w:w="20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ind w:left="8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(12)</w:t>
            </w: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Conversions not settled</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7"/>
        </w:trPr>
        <w:tc>
          <w:tcPr>
            <w:tcW w:w="46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2033F Notes</w:t>
            </w:r>
          </w:p>
        </w:tc>
        <w:tc>
          <w:tcPr>
            <w:tcW w:w="20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ind w:left="86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r>
      <w:tr>
        <w:trPr>
          <w:trHeight w:val="25"/>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6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90DA"/>
        </w:rPr>
        <w:t>Patent Matters</w:t>
      </w:r>
    </w:p>
    <w:p>
      <w:pPr>
        <w:spacing w:after="0" w:line="24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2" w:lineRule="exact"/>
        <w:rPr>
          <w:sz w:val="20"/>
          <w:szCs w:val="20"/>
          <w:color w:val="auto"/>
        </w:rPr>
      </w:pPr>
    </w:p>
    <w:p>
      <w:pPr>
        <w:jc w:val="both"/>
        <w:ind w:right="100"/>
        <w:spacing w:after="0" w:line="292"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United States District Court for the Northern District of California. The complaint alleges that Micron infringes a single U.S. patent and seeks damages, attorneys’ fees, and costs.</w:t>
      </w:r>
    </w:p>
    <w:p>
      <w:pPr>
        <w:spacing w:after="0" w:line="1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July 23, 2018, IMS served a patent infringement complaint on Micron Semiconductor (Deutschland) GmbH and Micron Europe Limited in the Regional Court, Mannheim, Germany alleging that products including our SSDs infringe a European patent. The complaint seeks unspecified damages and an order forbidding Micron Semiconductor (Deutschland) GmbH and Micron Europe Limited from offering to sell, using, and importing the accused products. On June 7, 2019, the Regional Court found no infringement and dismissed the case. On August 31, 2018, Micron was served with a complaint filed by IMS in Shenzhen Intermediate People’s Court in Guangdong Province, China. On November 12, 2019 , IMS filed an amended complaint in the same court. The amended complaint alleges that certain of our NAND flash products infringe a Chinese patent. The complaint seeks an order requiring Micron to stop manufacturing, using, selling, and offering for sale the accused products in China, and to pay damages and costs of 21 million Chinese yuan.</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 w:name="page19"/>
    <w:bookmarkEnd w:id="18"/>
    <w:p>
      <w:pPr>
        <w:spacing w:after="0" w:line="26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revenues. We are complying with the ruling and have requested the Fuzhou Court to reconsider or stay its decision.</w:t>
      </w:r>
    </w:p>
    <w:p>
      <w:pPr>
        <w:spacing w:after="0" w:line="197"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two independent experts to perform an evaluation of Dr. Jaffé’s claims that the amount Micron paid for Qimonda was less than fair market value. On January 25, 2018, the court-appointed experts issued their report concluding that the amount paid by Micron was within an acceptable fair-value range. The Appeals Court held a subsequent hearing on April 30, 2019, and on May 28, 2019, the Appeals Court remanded the case to the experts for supplemental expert opinion.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0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complaint. The consolidated complaint purports to be on behalf of a nationwide class of direct purchasers of DRAM products. The complaints assert claims based on alleged price-fixing of DRAM products under federal and state law during the period from June 1, 2016 through at least February</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1, 2018, and seek treble monetary damages, costs, interest, attorneys’ fees, and other injunctive and equitable relief.</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9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 compensatory and punitive damages, fees, interest, costs, and other appropriate relief. On October 2, 2019, the parties submitted a joint stipulation to dismiss the complaint. The Court approved the stipulation and dismissed the complaint on October 3, 2019. 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fiscal year 2018 whose performance rating was calculated based upon a mandatory percentage distribution range of performance ratings. On behalf of himself and the putative class, Manning asserts claims for violation of the Idaho Wage Claim Act, breach of contract, breach of the covenant of good faith and fair dealing, and fraud.</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7"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We are unable to predict the outcome of the patent matters, the Qimonda matter, antitrust matters, securities matters, and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any other legal matter noted above, could have a material adverse effect on our business, results of operations, or financial condition.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does not obligate us to acquire any common stock and is subject to market conditions and our ongoing determination of the best use of available cash. In the first quarters of 2020 and 2019, we repurchased 1 million shares of our common stock for $50 million, and 42 million shares of our common stock for $ 1.8 billion, respectively. Through November 28, 2019, we had repurchased an aggregate of $2.71 billion under the authorization. The shares were recorded as treasury stock.</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Noncontrolling Interest in Subsidiary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2800" w:type="dxa"/>
            <w:vAlign w:val="bottom"/>
            <w:tcBorders>
              <w:bottom w:val="single" w:sz="8" w:color="0090DA"/>
            </w:tcBorders>
            <w:gridSpan w:val="2"/>
          </w:tcPr>
          <w:p>
            <w:pPr>
              <w:ind w:left="800"/>
              <w:spacing w:after="0"/>
              <w:rPr>
                <w:sz w:val="20"/>
                <w:szCs w:val="20"/>
                <w:color w:val="auto"/>
              </w:rPr>
            </w:pPr>
            <w:r>
              <w:rPr>
                <w:rFonts w:ascii="Arial" w:cs="Arial" w:eastAsia="Arial" w:hAnsi="Arial"/>
                <w:sz w:val="18"/>
                <w:szCs w:val="18"/>
                <w:b w:val="1"/>
                <w:bCs w:val="1"/>
                <w:color w:val="auto"/>
              </w:rPr>
              <w:t>November 28, 2019</w:t>
            </w:r>
          </w:p>
        </w:tc>
        <w:tc>
          <w:tcPr>
            <w:tcW w:w="44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980" w:type="dxa"/>
            <w:vAlign w:val="bottom"/>
            <w:tcBorders>
              <w:bottom w:val="single" w:sz="8" w:color="0090DA"/>
            </w:tcBorders>
            <w:gridSpan w:val="2"/>
          </w:tcPr>
          <w:p>
            <w:pPr>
              <w:jc w:val="right"/>
              <w:ind w:right="830"/>
              <w:spacing w:after="0"/>
              <w:rPr>
                <w:sz w:val="20"/>
                <w:szCs w:val="20"/>
                <w:color w:val="auto"/>
              </w:rPr>
            </w:pPr>
            <w:r>
              <w:rPr>
                <w:rFonts w:ascii="Arial" w:cs="Arial" w:eastAsia="Arial" w:hAnsi="Arial"/>
                <w:sz w:val="18"/>
                <w:szCs w:val="18"/>
                <w:b w:val="1"/>
                <w:bCs w:val="1"/>
                <w:color w:val="auto"/>
              </w:rPr>
              <w:t>August 29, 2019</w:t>
            </w:r>
          </w:p>
        </w:tc>
      </w:tr>
      <w:tr>
        <w:trPr>
          <w:trHeight w:val="251"/>
        </w:trPr>
        <w:tc>
          <w:tcPr>
            <w:tcW w:w="45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0090DA"/>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1640" w:type="dxa"/>
            <w:vAlign w:val="bottom"/>
            <w:tcBorders>
              <w:bottom w:val="single" w:sz="8" w:color="0090DA"/>
            </w:tcBorders>
          </w:tcPr>
          <w:p>
            <w:pPr>
              <w:ind w:left="640"/>
              <w:spacing w:after="0"/>
              <w:rPr>
                <w:sz w:val="20"/>
                <w:szCs w:val="20"/>
                <w:color w:val="auto"/>
              </w:rPr>
            </w:pPr>
            <w:r>
              <w:rPr>
                <w:rFonts w:ascii="Arial" w:cs="Arial" w:eastAsia="Arial" w:hAnsi="Arial"/>
                <w:sz w:val="18"/>
                <w:szCs w:val="18"/>
                <w:b w:val="1"/>
                <w:bCs w:val="1"/>
                <w:color w:val="auto"/>
              </w:rPr>
              <w:t>Percentage</w:t>
            </w:r>
          </w:p>
        </w:tc>
        <w:tc>
          <w:tcPr>
            <w:tcW w:w="44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3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16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Percentage</w:t>
            </w:r>
          </w:p>
        </w:tc>
      </w:tr>
      <w:tr>
        <w:trPr>
          <w:trHeight w:val="35"/>
        </w:trPr>
        <w:tc>
          <w:tcPr>
            <w:tcW w:w="4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7"/>
        </w:trPr>
        <w:tc>
          <w:tcPr>
            <w:tcW w:w="4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1160" w:type="dxa"/>
            <w:vAlign w:val="bottom"/>
            <w:shd w:val="clear" w:color="auto" w:fill="D1D2D4"/>
          </w:tcPr>
          <w:p>
            <w:pPr>
              <w:jc w:val="right"/>
              <w:ind w:right="9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1D2D4"/>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 %  $</w:t>
            </w:r>
          </w:p>
        </w:tc>
        <w:tc>
          <w:tcPr>
            <w:tcW w:w="13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889</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r>
    </w:tbl>
    <w:p>
      <w:pPr>
        <w:spacing w:after="0" w:line="32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October 31, 2019, we purchased Intel’s noncontrolling interest in IMFT, now known as MTU, and IMFT Member Debt for $1.25 billion. In connection therewith, we recognized a $160 million adjustment to equity for the difference between the $744 million of cash consideration allocated to Intel’s noncontrolling interest and its $904 million carrying value. (See "Debt" note for the cash consideration allocated to, and extinguishment of, IMFT Member Debt.)</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terms of the IMFT wafer supply agreement, Intel will receive supply from MTU from November 2019 through April 2020 at a volume equal to approximately 50% of their volume from IMFT in the six-month period prior to closing. IMFT sales to Intel in the first quarter of 2020 through the date of our acquisition of Intel's noncontrolling interest in IMFT were $158 million. IMFT sales to Intel in the first quarter of 2019 were $175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69"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The estimated fair values of our convertible and other notes were determined based on Level 2 inputs and, together with the carrying value of our outstanding debt instruments (excluding the carrying value of equity components of our convertible notes),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b w:val="1"/>
                <w:bCs w:val="1"/>
                <w:color w:val="auto"/>
              </w:rPr>
              <w:t>November 28, 2019</w:t>
            </w:r>
          </w:p>
        </w:tc>
        <w:tc>
          <w:tcPr>
            <w:tcW w:w="260" w:type="dxa"/>
            <w:vAlign w:val="bottom"/>
          </w:tcPr>
          <w:p>
            <w:pPr>
              <w:spacing w:after="0"/>
              <w:rPr>
                <w:sz w:val="22"/>
                <w:szCs w:val="22"/>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August 29, 2019</w:t>
            </w:r>
          </w:p>
        </w:tc>
        <w:tc>
          <w:tcPr>
            <w:tcW w:w="0" w:type="dxa"/>
            <w:vAlign w:val="bottom"/>
          </w:tcPr>
          <w:p>
            <w:pPr>
              <w:spacing w:after="0"/>
              <w:rPr>
                <w:sz w:val="1"/>
                <w:szCs w:val="1"/>
                <w:color w:val="auto"/>
              </w:rPr>
            </w:pPr>
          </w:p>
        </w:tc>
      </w:tr>
      <w:tr>
        <w:trPr>
          <w:trHeight w:val="170"/>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Borders>
              <w:top w:val="single" w:sz="8" w:color="0090DA"/>
            </w:tcBorders>
          </w:tcPr>
          <w:p>
            <w:pPr>
              <w:spacing w:after="0"/>
              <w:rPr>
                <w:sz w:val="14"/>
                <w:szCs w:val="14"/>
                <w:color w:val="auto"/>
              </w:rPr>
            </w:pPr>
          </w:p>
        </w:tc>
        <w:tc>
          <w:tcPr>
            <w:tcW w:w="1000" w:type="dxa"/>
            <w:vAlign w:val="bottom"/>
            <w:tcBorders>
              <w:top w:val="single" w:sz="8" w:color="0090DA"/>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Fair</w:t>
            </w:r>
          </w:p>
        </w:tc>
        <w:tc>
          <w:tcPr>
            <w:tcW w:w="28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center"/>
              <w:ind w:right="130"/>
              <w:spacing w:after="0" w:line="170"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000" w:type="dxa"/>
            <w:vAlign w:val="bottom"/>
            <w:tcBorders>
              <w:top w:val="single" w:sz="8" w:color="0090DA"/>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Fair</w:t>
            </w:r>
          </w:p>
        </w:tc>
        <w:tc>
          <w:tcPr>
            <w:tcW w:w="28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right"/>
              <w:ind w:right="210"/>
              <w:spacing w:after="0" w:line="170"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30"/>
        </w:trPr>
        <w:tc>
          <w:tcPr>
            <w:tcW w:w="5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96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 and MMJ Creditor Payments</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5,294</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4,975</w:t>
            </w:r>
          </w:p>
        </w:tc>
        <w:tc>
          <w:tcPr>
            <w:tcW w:w="120" w:type="dxa"/>
            <w:vAlign w:val="bottom"/>
            <w:shd w:val="clear" w:color="auto" w:fill="D1D2D4"/>
          </w:tcPr>
          <w:p>
            <w:pPr>
              <w:spacing w:after="0"/>
              <w:rPr>
                <w:sz w:val="22"/>
                <w:szCs w:val="22"/>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5,194</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values of our convertible notes in the table above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 w:name="page22"/>
    <w:bookmarkEnd w:id="21"/>
    <w:p>
      <w:pPr>
        <w:spacing w:after="0"/>
        <w:rPr>
          <w:sz w:val="20"/>
          <w:szCs w:val="20"/>
          <w:color w:val="auto"/>
        </w:rPr>
      </w:pPr>
      <w:r>
        <w:rPr>
          <w:rFonts w:ascii="Arial" w:cs="Arial" w:eastAsia="Arial" w:hAnsi="Arial"/>
          <w:sz w:val="40"/>
          <w:szCs w:val="40"/>
          <w:b w:val="1"/>
          <w:bCs w:val="1"/>
          <w:color w:val="auto"/>
        </w:rPr>
        <w:t>Derivative Instruments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Gross</w:t>
            </w:r>
          </w:p>
        </w:tc>
        <w:tc>
          <w:tcPr>
            <w:tcW w:w="200" w:type="dxa"/>
            <w:vAlign w:val="bottom"/>
          </w:tcPr>
          <w:p>
            <w:pPr>
              <w:spacing w:after="0"/>
              <w:rPr>
                <w:sz w:val="17"/>
                <w:szCs w:val="17"/>
                <w:color w:val="auto"/>
              </w:rPr>
            </w:pPr>
          </w:p>
        </w:tc>
        <w:tc>
          <w:tcPr>
            <w:tcW w:w="24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38"/>
        </w:trPr>
        <w:tc>
          <w:tcPr>
            <w:tcW w:w="6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9"/>
              </w:rPr>
              <w:t>Notional</w:t>
            </w:r>
          </w:p>
        </w:tc>
        <w:tc>
          <w:tcPr>
            <w:tcW w:w="200" w:type="dxa"/>
            <w:vAlign w:val="bottom"/>
            <w:tcBorders>
              <w:bottom w:val="single" w:sz="8" w:color="0090DA"/>
            </w:tcBorders>
          </w:tcPr>
          <w:p>
            <w:pPr>
              <w:spacing w:after="0"/>
              <w:rPr>
                <w:sz w:val="3"/>
                <w:szCs w:val="3"/>
                <w:color w:val="auto"/>
              </w:rPr>
            </w:pPr>
          </w:p>
        </w:tc>
        <w:tc>
          <w:tcPr>
            <w:tcW w:w="1040" w:type="dxa"/>
            <w:vAlign w:val="bottom"/>
            <w:tcBorders>
              <w:bottom w:val="single" w:sz="8" w:color="0090DA"/>
            </w:tcBorders>
          </w:tcPr>
          <w:p>
            <w:pPr>
              <w:spacing w:after="0"/>
              <w:rPr>
                <w:sz w:val="3"/>
                <w:szCs w:val="3"/>
                <w:color w:val="auto"/>
              </w:rPr>
            </w:pPr>
          </w:p>
        </w:tc>
        <w:tc>
          <w:tcPr>
            <w:tcW w:w="200" w:type="dxa"/>
            <w:vAlign w:val="bottom"/>
            <w:tcBorders>
              <w:bottom w:val="single" w:sz="8" w:color="0090DA"/>
            </w:tcBorders>
          </w:tcPr>
          <w:p>
            <w:pPr>
              <w:spacing w:after="0"/>
              <w:rPr>
                <w:sz w:val="3"/>
                <w:szCs w:val="3"/>
                <w:color w:val="auto"/>
              </w:rPr>
            </w:pPr>
          </w:p>
        </w:tc>
        <w:tc>
          <w:tcPr>
            <w:tcW w:w="1160" w:type="dxa"/>
            <w:vAlign w:val="bottom"/>
            <w:tcBorders>
              <w:bottom w:val="single" w:sz="8" w:color="0090DA"/>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70"/>
              <w:spacing w:after="0" w:line="170" w:lineRule="exact"/>
              <w:rPr>
                <w:sz w:val="20"/>
                <w:szCs w:val="20"/>
                <w:color w:val="auto"/>
              </w:rPr>
            </w:pPr>
            <w:r>
              <w:rPr>
                <w:rFonts w:ascii="Arial" w:cs="Arial" w:eastAsia="Arial" w:hAnsi="Arial"/>
                <w:sz w:val="18"/>
                <w:szCs w:val="18"/>
                <w:b w:val="1"/>
                <w:bCs w:val="1"/>
                <w:color w:val="auto"/>
              </w:rPr>
              <w:t>Current</w:t>
            </w:r>
          </w:p>
        </w:tc>
        <w:tc>
          <w:tcPr>
            <w:tcW w:w="200" w:type="dxa"/>
            <w:vAlign w:val="bottom"/>
          </w:tcPr>
          <w:p>
            <w:pPr>
              <w:spacing w:after="0"/>
              <w:rPr>
                <w:sz w:val="14"/>
                <w:szCs w:val="14"/>
                <w:color w:val="auto"/>
              </w:rPr>
            </w:pPr>
          </w:p>
        </w:tc>
        <w:tc>
          <w:tcPr>
            <w:tcW w:w="1160" w:type="dxa"/>
            <w:vAlign w:val="bottom"/>
          </w:tcPr>
          <w:p>
            <w:pPr>
              <w:jc w:val="right"/>
              <w:ind w:right="230"/>
              <w:spacing w:after="0" w:line="170" w:lineRule="exact"/>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21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110"/>
              <w:spacing w:after="0" w:line="230" w:lineRule="exact"/>
              <w:rPr>
                <w:sz w:val="20"/>
                <w:szCs w:val="20"/>
                <w:color w:val="auto"/>
              </w:rPr>
            </w:pPr>
            <w:r>
              <w:rPr>
                <w:rFonts w:ascii="Arial" w:cs="Arial" w:eastAsia="Arial" w:hAnsi="Arial"/>
                <w:sz w:val="18"/>
                <w:szCs w:val="18"/>
                <w:b w:val="1"/>
                <w:bCs w:val="1"/>
                <w:color w:val="auto"/>
                <w:w w:val="99"/>
              </w:rPr>
              <w:t xml:space="preserve">Assets </w:t>
            </w:r>
            <w:r>
              <w:rPr>
                <w:rFonts w:ascii="Arial" w:cs="Arial" w:eastAsia="Arial" w:hAnsi="Arial"/>
                <w:sz w:val="23"/>
                <w:szCs w:val="23"/>
                <w:b w:val="1"/>
                <w:bCs w:val="1"/>
                <w:color w:val="auto"/>
                <w:w w:val="99"/>
                <w:vertAlign w:val="superscript"/>
              </w:rPr>
              <w:t>(1)</w:t>
            </w:r>
          </w:p>
        </w:tc>
        <w:tc>
          <w:tcPr>
            <w:tcW w:w="20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50"/>
              <w:spacing w:after="0" w:line="230" w:lineRule="exact"/>
              <w:rPr>
                <w:sz w:val="20"/>
                <w:szCs w:val="20"/>
                <w:color w:val="auto"/>
              </w:rPr>
            </w:pPr>
            <w:r>
              <w:rPr>
                <w:rFonts w:ascii="Arial" w:cs="Arial" w:eastAsia="Arial" w:hAnsi="Arial"/>
                <w:sz w:val="18"/>
                <w:szCs w:val="18"/>
                <w:b w:val="1"/>
                <w:bCs w:val="1"/>
                <w:color w:val="auto"/>
                <w:w w:val="93"/>
              </w:rPr>
              <w:t xml:space="preserve">Liabilities </w:t>
            </w:r>
            <w:r>
              <w:rPr>
                <w:rFonts w:ascii="Arial" w:cs="Arial" w:eastAsia="Arial" w:hAnsi="Arial"/>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November 28, 2019</w:t>
            </w:r>
          </w:p>
        </w:tc>
        <w:tc>
          <w:tcPr>
            <w:tcW w:w="13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32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1,864</w:t>
            </w:r>
          </w:p>
        </w:tc>
        <w:tc>
          <w:tcPr>
            <w:tcW w:w="2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2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 xml:space="preserve">Convertible notes settlement obligation </w:t>
            </w:r>
            <w:r>
              <w:rPr>
                <w:rFonts w:ascii="Arial" w:cs="Arial" w:eastAsia="Arial" w:hAnsi="Arial"/>
                <w:sz w:val="23"/>
                <w:szCs w:val="23"/>
                <w:color w:val="auto"/>
                <w:vertAlign w:val="superscript"/>
              </w:rPr>
              <w:t>(3)</w:t>
            </w:r>
          </w:p>
        </w:tc>
        <w:tc>
          <w:tcPr>
            <w:tcW w:w="13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5"/>
        </w:trPr>
        <w:tc>
          <w:tcPr>
            <w:tcW w:w="6020" w:type="dxa"/>
            <w:vAlign w:val="bottom"/>
            <w:tcBorders>
              <w:bottom w:val="single" w:sz="8" w:color="D1D2D4"/>
            </w:tcBorders>
          </w:tcPr>
          <w:p>
            <w:pPr>
              <w:spacing w:after="0"/>
              <w:rPr>
                <w:sz w:val="21"/>
                <w:szCs w:val="21"/>
                <w:color w:val="auto"/>
              </w:rPr>
            </w:pPr>
          </w:p>
        </w:tc>
        <w:tc>
          <w:tcPr>
            <w:tcW w:w="1320" w:type="dxa"/>
            <w:vAlign w:val="bottom"/>
            <w:tcBorders>
              <w:bottom w:val="single" w:sz="8" w:color="D1D2D4"/>
            </w:tcBorders>
          </w:tcPr>
          <w:p>
            <w:pPr>
              <w:spacing w:after="0"/>
              <w:rPr>
                <w:sz w:val="21"/>
                <w:szCs w:val="21"/>
                <w:color w:val="auto"/>
              </w:rPr>
            </w:pPr>
          </w:p>
        </w:tc>
        <w:tc>
          <w:tcPr>
            <w:tcW w:w="1100" w:type="dxa"/>
            <w:vAlign w:val="bottom"/>
            <w:tcBorders>
              <w:bottom w:val="single" w:sz="8" w:color="D1D2D4"/>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1"/>
        </w:trPr>
        <w:tc>
          <w:tcPr>
            <w:tcW w:w="60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100" w:type="dxa"/>
            <w:vAlign w:val="bottom"/>
            <w:shd w:val="clear" w:color="auto" w:fill="D1D2D4"/>
          </w:tcPr>
          <w:p>
            <w:pPr>
              <w:spacing w:after="0"/>
              <w:rPr>
                <w:sz w:val="20"/>
                <w:szCs w:val="20"/>
                <w:color w:val="auto"/>
              </w:rPr>
            </w:pPr>
          </w:p>
        </w:tc>
        <w:tc>
          <w:tcPr>
            <w:tcW w:w="200" w:type="dxa"/>
            <w:vAlign w:val="bottom"/>
            <w:tcBorders>
              <w:bottom w:val="single" w:sz="8" w:color="auto"/>
            </w:tcBorders>
            <w:shd w:val="clear" w:color="auto" w:fill="D1D2D4"/>
          </w:tcPr>
          <w:p>
            <w:pPr>
              <w:spacing w:after="0"/>
              <w:rPr>
                <w:sz w:val="20"/>
                <w:szCs w:val="20"/>
                <w:color w:val="auto"/>
              </w:rPr>
            </w:pPr>
          </w:p>
        </w:tc>
        <w:tc>
          <w:tcPr>
            <w:tcW w:w="1040" w:type="dxa"/>
            <w:vAlign w:val="bottom"/>
            <w:tcBorders>
              <w:bottom w:val="single" w:sz="8" w:color="auto"/>
            </w:tcBorders>
            <w:shd w:val="clear" w:color="auto" w:fill="D1D2D4"/>
          </w:tcPr>
          <w:p>
            <w:pPr>
              <w:spacing w:after="0"/>
              <w:rPr>
                <w:sz w:val="20"/>
                <w:szCs w:val="20"/>
                <w:color w:val="auto"/>
              </w:rPr>
            </w:pPr>
          </w:p>
        </w:tc>
        <w:tc>
          <w:tcPr>
            <w:tcW w:w="200" w:type="dxa"/>
            <w:vAlign w:val="bottom"/>
            <w:tcBorders>
              <w:bottom w:val="single" w:sz="8" w:color="auto"/>
            </w:tcBorders>
            <w:shd w:val="clear" w:color="auto" w:fill="D1D2D4"/>
          </w:tcPr>
          <w:p>
            <w:pPr>
              <w:spacing w:after="0"/>
              <w:rPr>
                <w:sz w:val="20"/>
                <w:szCs w:val="20"/>
                <w:color w:val="auto"/>
              </w:rPr>
            </w:pPr>
          </w:p>
        </w:tc>
        <w:tc>
          <w:tcPr>
            <w:tcW w:w="1160" w:type="dxa"/>
            <w:vAlign w:val="bottom"/>
            <w:tcBorders>
              <w:bottom w:val="single" w:sz="8" w:color="auto"/>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D1D2D4"/>
            </w:tcBorders>
          </w:tcPr>
          <w:p>
            <w:pPr>
              <w:spacing w:after="0" w:line="20" w:lineRule="exact"/>
              <w:rPr>
                <w:sz w:val="1"/>
                <w:szCs w:val="1"/>
                <w:color w:val="auto"/>
              </w:rPr>
            </w:pPr>
          </w:p>
        </w:tc>
        <w:tc>
          <w:tcPr>
            <w:tcW w:w="1320" w:type="dxa"/>
            <w:vAlign w:val="bottom"/>
            <w:tcBorders>
              <w:bottom w:val="single" w:sz="8" w:color="D1D2D4"/>
            </w:tcBorders>
          </w:tcPr>
          <w:p>
            <w:pPr>
              <w:spacing w:after="0" w:line="20" w:lineRule="exact"/>
              <w:rPr>
                <w:sz w:val="1"/>
                <w:szCs w:val="1"/>
                <w:color w:val="auto"/>
              </w:rPr>
            </w:pPr>
          </w:p>
        </w:tc>
        <w:tc>
          <w:tcPr>
            <w:tcW w:w="11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As of August 29, 2019</w:t>
            </w:r>
          </w:p>
        </w:tc>
        <w:tc>
          <w:tcPr>
            <w:tcW w:w="1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320" w:type="dxa"/>
            <w:vAlign w:val="bottom"/>
            <w:shd w:val="clear" w:color="auto" w:fill="D1D2D4"/>
          </w:tcPr>
          <w:p>
            <w:pPr>
              <w:spacing w:after="0"/>
              <w:rPr>
                <w:sz w:val="20"/>
                <w:szCs w:val="20"/>
                <w:color w:val="auto"/>
              </w:rPr>
            </w:pPr>
          </w:p>
        </w:tc>
        <w:tc>
          <w:tcPr>
            <w:tcW w:w="110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32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D1D2D4"/>
            </w:tcBorders>
          </w:tcPr>
          <w:p>
            <w:pPr>
              <w:ind w:left="20"/>
              <w:spacing w:after="0" w:line="256" w:lineRule="exact"/>
              <w:rPr>
                <w:sz w:val="20"/>
                <w:szCs w:val="20"/>
                <w:color w:val="auto"/>
              </w:rPr>
            </w:pPr>
            <w:r>
              <w:rPr>
                <w:rFonts w:ascii="Arial" w:cs="Arial" w:eastAsia="Arial" w:hAnsi="Arial"/>
                <w:sz w:val="18"/>
                <w:szCs w:val="18"/>
                <w:color w:val="auto"/>
              </w:rPr>
              <w:t xml:space="preserve">Convertible notes settlement obligation </w:t>
            </w:r>
            <w:r>
              <w:rPr>
                <w:rFonts w:ascii="Arial" w:cs="Arial" w:eastAsia="Arial" w:hAnsi="Arial"/>
                <w:sz w:val="23"/>
                <w:szCs w:val="23"/>
                <w:color w:val="auto"/>
                <w:vertAlign w:val="superscript"/>
              </w:rPr>
              <w:t>(3)</w:t>
            </w:r>
          </w:p>
        </w:tc>
        <w:tc>
          <w:tcPr>
            <w:tcW w:w="1320" w:type="dxa"/>
            <w:vAlign w:val="bottom"/>
            <w:tcBorders>
              <w:bottom w:val="single" w:sz="8" w:color="D1D2D4"/>
            </w:tcBorders>
          </w:tcPr>
          <w:p>
            <w:pPr>
              <w:spacing w:after="0"/>
              <w:rPr>
                <w:sz w:val="22"/>
                <w:szCs w:val="22"/>
                <w:color w:val="auto"/>
              </w:rPr>
            </w:pPr>
          </w:p>
        </w:tc>
        <w:tc>
          <w:tcPr>
            <w:tcW w:w="1100" w:type="dxa"/>
            <w:vAlign w:val="bottom"/>
            <w:tcBorders>
              <w:bottom w:val="single" w:sz="8" w:color="D1D2D4"/>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5"/>
        </w:trPr>
        <w:tc>
          <w:tcPr>
            <w:tcW w:w="6020" w:type="dxa"/>
            <w:vAlign w:val="bottom"/>
            <w:shd w:val="clear" w:color="auto" w:fill="D1D2D4"/>
          </w:tcPr>
          <w:p>
            <w:pPr>
              <w:spacing w:after="0"/>
              <w:rPr>
                <w:sz w:val="21"/>
                <w:szCs w:val="21"/>
                <w:color w:val="auto"/>
              </w:rPr>
            </w:pPr>
          </w:p>
        </w:tc>
        <w:tc>
          <w:tcPr>
            <w:tcW w:w="132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c>
          <w:tcPr>
            <w:tcW w:w="20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1"/>
        </w:trPr>
        <w:tc>
          <w:tcPr>
            <w:tcW w:w="6020" w:type="dxa"/>
            <w:vAlign w:val="bottom"/>
            <w:tcBorders>
              <w:bottom w:val="single" w:sz="8" w:color="D1D2D4"/>
            </w:tcBorders>
          </w:tcPr>
          <w:p>
            <w:pPr>
              <w:spacing w:after="0"/>
              <w:rPr>
                <w:sz w:val="20"/>
                <w:szCs w:val="20"/>
                <w:color w:val="auto"/>
              </w:rPr>
            </w:pPr>
          </w:p>
        </w:tc>
        <w:tc>
          <w:tcPr>
            <w:tcW w:w="1320" w:type="dxa"/>
            <w:vAlign w:val="bottom"/>
            <w:tcBorders>
              <w:bottom w:val="single" w:sz="8" w:color="D1D2D4"/>
            </w:tcBorders>
          </w:tcPr>
          <w:p>
            <w:pPr>
              <w:spacing w:after="0"/>
              <w:rPr>
                <w:sz w:val="20"/>
                <w:szCs w:val="20"/>
                <w:color w:val="auto"/>
              </w:rPr>
            </w:pPr>
          </w:p>
        </w:tc>
        <w:tc>
          <w:tcPr>
            <w:tcW w:w="1100" w:type="dxa"/>
            <w:vAlign w:val="bottom"/>
            <w:tcBorders>
              <w:bottom w:val="single" w:sz="8" w:color="D1D2D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20" w:type="dxa"/>
            <w:vAlign w:val="bottom"/>
            <w:tcBorders>
              <w:bottom w:val="single" w:sz="8" w:color="D1D2D4"/>
            </w:tcBorders>
            <w:shd w:val="clear" w:color="auto" w:fill="D1D2D4"/>
          </w:tcPr>
          <w:p>
            <w:pPr>
              <w:spacing w:after="0"/>
              <w:rPr>
                <w:sz w:val="23"/>
                <w:szCs w:val="23"/>
                <w:color w:val="auto"/>
              </w:rPr>
            </w:pPr>
          </w:p>
        </w:tc>
        <w:tc>
          <w:tcPr>
            <w:tcW w:w="1320" w:type="dxa"/>
            <w:vAlign w:val="bottom"/>
            <w:tcBorders>
              <w:bottom w:val="single" w:sz="8" w:color="D1D2D4"/>
            </w:tcBorders>
            <w:shd w:val="clear" w:color="auto" w:fill="D1D2D4"/>
          </w:tcPr>
          <w:p>
            <w:pPr>
              <w:spacing w:after="0"/>
              <w:rPr>
                <w:sz w:val="23"/>
                <w:szCs w:val="23"/>
                <w:color w:val="auto"/>
              </w:rPr>
            </w:pPr>
          </w:p>
        </w:tc>
        <w:tc>
          <w:tcPr>
            <w:tcW w:w="1100" w:type="dxa"/>
            <w:vAlign w:val="bottom"/>
            <w:tcBorders>
              <w:bottom w:val="single" w:sz="8" w:color="D1D2D4"/>
            </w:tcBorders>
            <w:shd w:val="clear" w:color="auto" w:fill="D1D2D4"/>
          </w:tcPr>
          <w:p>
            <w:pPr>
              <w:spacing w:after="0"/>
              <w:rPr>
                <w:sz w:val="23"/>
                <w:szCs w:val="23"/>
                <w:color w:val="auto"/>
              </w:rPr>
            </w:pP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020" w:type="dxa"/>
            <w:vAlign w:val="bottom"/>
            <w:tcBorders>
              <w:top w:val="single" w:sz="8" w:color="D1D2D4"/>
            </w:tcBorders>
          </w:tcPr>
          <w:p>
            <w:pPr>
              <w:spacing w:after="0" w:line="20" w:lineRule="exact"/>
              <w:rPr>
                <w:sz w:val="1"/>
                <w:szCs w:val="1"/>
                <w:color w:val="auto"/>
              </w:rPr>
            </w:pPr>
          </w:p>
        </w:tc>
        <w:tc>
          <w:tcPr>
            <w:tcW w:w="1320" w:type="dxa"/>
            <w:vAlign w:val="bottom"/>
            <w:tcBorders>
              <w:top w:val="single" w:sz="8" w:color="D1D2D4"/>
            </w:tcBorders>
          </w:tcPr>
          <w:p>
            <w:pPr>
              <w:spacing w:after="0" w:line="20" w:lineRule="exact"/>
              <w:rPr>
                <w:sz w:val="1"/>
                <w:szCs w:val="1"/>
                <w:color w:val="auto"/>
              </w:rPr>
            </w:pPr>
          </w:p>
        </w:tc>
        <w:tc>
          <w:tcPr>
            <w:tcW w:w="110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w:t>
      </w:r>
    </w:p>
    <w:p>
      <w:pPr>
        <w:ind w:left="340" w:right="480" w:hanging="332"/>
        <w:spacing w:after="0" w:line="219" w:lineRule="auto"/>
        <w:tabs>
          <w:tab w:leader="none" w:pos="334"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 for forward contracts and in current debt for convertible notes settlement obligations.</w:t>
      </w:r>
    </w:p>
    <w:p>
      <w:pPr>
        <w:spacing w:after="0" w:line="1" w:lineRule="exact"/>
        <w:rPr>
          <w:rFonts w:ascii="Arial" w:cs="Arial" w:eastAsia="Arial" w:hAnsi="Arial"/>
          <w:sz w:val="23"/>
          <w:szCs w:val="23"/>
          <w:i w:val="1"/>
          <w:iCs w:val="1"/>
          <w:color w:val="auto"/>
          <w:vertAlign w:val="superscript"/>
        </w:rPr>
      </w:pPr>
    </w:p>
    <w:p>
      <w:pPr>
        <w:ind w:left="340" w:hanging="332"/>
        <w:spacing w:after="0" w:line="222" w:lineRule="auto"/>
        <w:tabs>
          <w:tab w:leader="none" w:pos="334"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Notional amounts of convertible notes settlement obligations were not significant as of November 28, 2019 and were 4 million shares of our common stock as of August 29, 2019.</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utilize currency forward contracts that generally mature within 13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costs. We recognized gains of $3 million and losses of $13 million for the first quarters of 2020 and 2019, respectively, in accumulated other comprehensive income from the effective portion of cash flow hedges. Neither the amount excluded from hedge effectiveness nor the reclassifications from accumulated other comprehensive income to earnings were material in the first quarters of 2020 or 2019. The amounts from cash flow hedges included in accumulated other comprehensive income that are expected to be reclassified into earnings in the next 12 months were also not significant.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 hedge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gains of $5 million and losses of $11 million in the first quarters of 2020 and 2019, respectively.</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losses of $12 million and gains of $16 million for the first quarters of 2020 and 2019, respectively, in other non-operating income (expense), net for the changes in fair value of the derivative settlement obligations.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28, 2019, 94 million shares of our common stock were available for future awards under our equity plans.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8"/>
        </w:trPr>
        <w:tc>
          <w:tcPr>
            <w:tcW w:w="65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9"/>
              </w:rPr>
              <w:t>November 28,</w:t>
            </w:r>
          </w:p>
        </w:tc>
        <w:tc>
          <w:tcPr>
            <w:tcW w:w="26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November 29,</w:t>
            </w:r>
          </w:p>
        </w:tc>
      </w:tr>
      <w:tr>
        <w:trPr>
          <w:trHeight w:val="254"/>
        </w:trPr>
        <w:tc>
          <w:tcPr>
            <w:tcW w:w="65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000" w:type="dxa"/>
            <w:vAlign w:val="bottom"/>
            <w:tcBorders>
              <w:bottom w:val="single" w:sz="8" w:color="0090DA"/>
            </w:tcBorders>
          </w:tcPr>
          <w:p>
            <w:pPr>
              <w:spacing w:after="0"/>
              <w:rPr>
                <w:sz w:val="22"/>
                <w:szCs w:val="22"/>
                <w:color w:val="auto"/>
              </w:rPr>
            </w:pPr>
          </w:p>
        </w:tc>
        <w:tc>
          <w:tcPr>
            <w:tcW w:w="122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0090DA"/>
            </w:tcBorders>
          </w:tcPr>
          <w:p>
            <w:pPr>
              <w:spacing w:after="0"/>
              <w:rPr>
                <w:sz w:val="22"/>
                <w:szCs w:val="22"/>
                <w:color w:val="auto"/>
              </w:rPr>
            </w:pPr>
          </w:p>
        </w:tc>
        <w:tc>
          <w:tcPr>
            <w:tcW w:w="13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35"/>
        </w:trPr>
        <w:tc>
          <w:tcPr>
            <w:tcW w:w="65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7"/>
        </w:trPr>
        <w:tc>
          <w:tcPr>
            <w:tcW w:w="65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Restricted stock award shares granted</w:t>
            </w:r>
          </w:p>
        </w:tc>
        <w:tc>
          <w:tcPr>
            <w:tcW w:w="2000" w:type="dxa"/>
            <w:vAlign w:val="bottom"/>
            <w:shd w:val="clear" w:color="auto" w:fill="DDDDDD"/>
          </w:tcPr>
          <w:p>
            <w:pPr>
              <w:spacing w:after="0"/>
              <w:rPr>
                <w:sz w:val="22"/>
                <w:szCs w:val="22"/>
                <w:color w:val="auto"/>
              </w:rPr>
            </w:pPr>
          </w:p>
        </w:tc>
        <w:tc>
          <w:tcPr>
            <w:tcW w:w="122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79"/>
              </w:rPr>
              <w:t>8</w:t>
            </w:r>
          </w:p>
        </w:tc>
        <w:tc>
          <w:tcPr>
            <w:tcW w:w="1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39.02</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w:t>
            </w:r>
          </w:p>
        </w:tc>
      </w:tr>
      <w:tr>
        <w:trPr>
          <w:trHeight w:val="252"/>
        </w:trPr>
        <w:tc>
          <w:tcPr>
            <w:tcW w:w="87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r>
      <w:tr>
        <w:trPr>
          <w:trHeight w:val="275"/>
        </w:trPr>
        <w:tc>
          <w:tcPr>
            <w:tcW w:w="8740" w:type="dxa"/>
            <w:vAlign w:val="bottom"/>
            <w:tcBorders>
              <w:bottom w:val="single" w:sz="8" w:color="D1D2D4"/>
            </w:tcBorders>
            <w:shd w:val="clear" w:color="auto" w:fill="D1D2D4"/>
          </w:tcPr>
          <w:p>
            <w:pPr>
              <w:spacing w:after="0"/>
              <w:rPr>
                <w:sz w:val="23"/>
                <w:szCs w:val="23"/>
                <w:color w:val="auto"/>
              </w:rPr>
            </w:pP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61</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r>
        <w:trPr>
          <w:trHeight w:val="208"/>
        </w:trPr>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41</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ESPP</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w:t>
            </w:r>
          </w:p>
        </w:tc>
      </w:tr>
      <w:tr>
        <w:trPr>
          <w:trHeight w:val="252"/>
        </w:trPr>
        <w:tc>
          <w:tcPr>
            <w:tcW w:w="87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r>
      <w:tr>
        <w:trPr>
          <w:trHeight w:val="275"/>
        </w:trPr>
        <w:tc>
          <w:tcPr>
            <w:tcW w:w="8740" w:type="dxa"/>
            <w:vAlign w:val="bottom"/>
            <w:tcBorders>
              <w:bottom w:val="single" w:sz="8" w:color="D1D2D4"/>
            </w:tcBorders>
            <w:shd w:val="clear" w:color="auto" w:fill="D1D2D4"/>
          </w:tcPr>
          <w:p>
            <w:pPr>
              <w:spacing w:after="0"/>
              <w:rPr>
                <w:sz w:val="23"/>
                <w:szCs w:val="23"/>
                <w:color w:val="auto"/>
              </w:rPr>
            </w:pP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61</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40"/>
        <w:spacing w:after="0"/>
        <w:rPr>
          <w:sz w:val="20"/>
          <w:szCs w:val="20"/>
          <w:color w:val="auto"/>
        </w:rPr>
      </w:pPr>
      <w:r>
        <w:rPr>
          <w:sz w:val="1"/>
          <w:szCs w:val="1"/>
          <w:color w:val="auto"/>
        </w:rPr>
        <w:drawing>
          <wp:inline distT="0" distB="0" distL="0" distR="0">
            <wp:extent cx="591820" cy="1543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4"/>
          <w:szCs w:val="14"/>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23" w:name="page24"/>
    <w:bookmarkEnd w:id="23"/>
    <w:p>
      <w:pPr>
        <w:ind w:right="300"/>
        <w:spacing w:after="0" w:line="271" w:lineRule="auto"/>
        <w:rPr>
          <w:sz w:val="20"/>
          <w:szCs w:val="20"/>
          <w:color w:val="auto"/>
        </w:rPr>
      </w:pPr>
      <w:r>
        <w:rPr>
          <w:rFonts w:ascii="Arial" w:cs="Arial" w:eastAsia="Arial" w:hAnsi="Arial"/>
          <w:sz w:val="18"/>
          <w:szCs w:val="18"/>
          <w:color w:val="auto"/>
        </w:rPr>
        <w:t>The income tax benefits related to share-based compensation were $26 million and $23 million for the first quarters of 2020 and 2019, respectively. As of November 28, 2019, $719 million of total unrecognized compensation costs for unvested awards, before the effect of any future forfeitures, was expected to be recognized through the first quarter of 2024, resulting in a weighted-average period of 1.5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Contract Liabilities</w:t>
      </w:r>
    </w:p>
    <w:p>
      <w:pPr>
        <w:spacing w:after="0" w:line="269"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Revenue by technology is presented in the table below. (See "Segment and Other Information" note for disclosure of disaggregated revenue by market segments.)</w:t>
      </w:r>
    </w:p>
    <w:tbl>
      <w:tblPr>
        <w:tblLayout w:type="fixed"/>
        <w:tblInd w:w="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130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November 28,</w:t>
            </w:r>
          </w:p>
        </w:tc>
        <w:tc>
          <w:tcPr>
            <w:tcW w:w="136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3,469</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5,893</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NAND</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1,422</w:t>
            </w:r>
          </w:p>
        </w:tc>
        <w:tc>
          <w:tcPr>
            <w:tcW w:w="3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1,660</w:t>
            </w: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253</w:t>
            </w:r>
          </w:p>
        </w:tc>
        <w:tc>
          <w:tcPr>
            <w:tcW w:w="3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360</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7,913</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i w:val="1"/>
          <w:iCs w:val="1"/>
          <w:color w:val="auto"/>
        </w:rPr>
        <w:t>Revenue for MCPs and SSDs, which contain both DRAM and NAND, are disaggregated into DRAM and NAND in the table above based on the relative values of each component. The three months ended November 29, 2018 have been conformed to current period presentation.</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Revenue and interest expense associated with contract liabilities for the time value of advance payments was not significant in any period presented. As of November 28, 2019, our future performance obligations beyond one year were not significant. Contract liabilities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2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2"/>
                <w:szCs w:val="22"/>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61</w:t>
            </w:r>
          </w:p>
        </w:tc>
      </w:tr>
      <w:tr>
        <w:trPr>
          <w:trHeight w:val="252"/>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r>
      <w:tr>
        <w:trPr>
          <w:trHeight w:val="275"/>
        </w:trPr>
        <w:tc>
          <w:tcPr>
            <w:tcW w:w="8740" w:type="dxa"/>
            <w:vAlign w:val="bottom"/>
            <w:tcBorders>
              <w:bottom w:val="single" w:sz="8" w:color="D1D2D4"/>
            </w:tcBorders>
            <w:shd w:val="clear" w:color="auto" w:fill="D1D2D4"/>
          </w:tcPr>
          <w:p>
            <w:pPr>
              <w:spacing w:after="0"/>
              <w:rPr>
                <w:sz w:val="23"/>
                <w:szCs w:val="23"/>
                <w:color w:val="auto"/>
              </w:rPr>
            </w:pP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130</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 recognized during the first quarter of 2020 from the beginning balance as of August 29, 2019 included $ 24 million from meeting performance obligations of other contract liabilities and shipments against customer advances. Contract liabilities from customer advances also decreased $22 million due to the return of unutilized customer advances upon expiration of the contract.</w:t>
      </w:r>
    </w:p>
    <w:p>
      <w:pPr>
        <w:spacing w:after="0" w:line="190"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As of November 28, 2019, other current liabilities included $363 million for estimates of consideration payable to customers, including estimates for pricing adjustments and returns.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November 28,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center"/>
              <w:ind w:left="550"/>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33</w:t>
            </w:r>
          </w:p>
        </w:tc>
      </w:tr>
      <w:tr>
        <w:trPr>
          <w:trHeight w:val="252"/>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1</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75"/>
        </w:trPr>
        <w:tc>
          <w:tcPr>
            <w:tcW w:w="8740" w:type="dxa"/>
            <w:vAlign w:val="bottom"/>
            <w:tcBorders>
              <w:bottom w:val="single" w:sz="8" w:color="D1D2D4"/>
            </w:tcBorders>
            <w:shd w:val="clear" w:color="auto" w:fill="D1D2D4"/>
          </w:tcPr>
          <w:p>
            <w:pPr>
              <w:spacing w:after="0"/>
              <w:rPr>
                <w:sz w:val="23"/>
                <w:szCs w:val="23"/>
                <w:color w:val="auto"/>
              </w:rPr>
            </w:pP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center"/>
              <w:ind w:left="550"/>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36</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on debt prepayments, repurchases, and conversions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w:t>
            </w:r>
          </w:p>
        </w:tc>
      </w:tr>
      <w:tr>
        <w:trPr>
          <w:trHeight w:val="252"/>
        </w:trPr>
        <w:tc>
          <w:tcPr>
            <w:tcW w:w="8740" w:type="dxa"/>
            <w:vAlign w:val="bottom"/>
          </w:tcPr>
          <w:p>
            <w:pPr>
              <w:ind w:left="20"/>
              <w:spacing w:after="0"/>
              <w:rPr>
                <w:sz w:val="20"/>
                <w:szCs w:val="20"/>
                <w:color w:val="auto"/>
              </w:rPr>
            </w:pPr>
            <w:r>
              <w:rPr>
                <w:rFonts w:ascii="Arial" w:cs="Arial" w:eastAsia="Arial" w:hAnsi="Arial"/>
                <w:sz w:val="18"/>
                <w:szCs w:val="18"/>
                <w:color w:val="auto"/>
              </w:rPr>
              <w:t>Loss from changes in currency exchange rates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8"/>
        </w:trPr>
        <w:tc>
          <w:tcPr>
            <w:tcW w:w="874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November 28,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excluding items below</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center"/>
              <w:ind w:left="450"/>
              <w:spacing w:after="0"/>
              <w:rPr>
                <w:sz w:val="20"/>
                <w:szCs w:val="20"/>
                <w:color w:val="auto"/>
              </w:rPr>
            </w:pPr>
            <w:r>
              <w:rPr>
                <w:rFonts w:ascii="Arial" w:cs="Arial" w:eastAsia="Arial" w:hAnsi="Arial"/>
                <w:sz w:val="18"/>
                <w:szCs w:val="18"/>
                <w:color w:val="auto"/>
                <w:w w:val="99"/>
              </w:rPr>
              <w:t>(31)</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(378)</w:t>
            </w: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color w:val="auto"/>
              </w:rPr>
              <w:t>Utilization of and other changes in net deferred tax assets of MMJ, MMT, and MTTW</w:t>
            </w:r>
          </w:p>
        </w:tc>
        <w:tc>
          <w:tcPr>
            <w:tcW w:w="280" w:type="dxa"/>
            <w:vAlign w:val="bottom"/>
          </w:tcPr>
          <w:p>
            <w:pPr>
              <w:spacing w:after="0"/>
              <w:rPr>
                <w:sz w:val="22"/>
                <w:szCs w:val="22"/>
                <w:color w:val="auto"/>
              </w:rPr>
            </w:pPr>
          </w:p>
        </w:tc>
        <w:tc>
          <w:tcPr>
            <w:tcW w:w="1020" w:type="dxa"/>
            <w:vAlign w:val="bottom"/>
          </w:tcPr>
          <w:p>
            <w:pPr>
              <w:jc w:val="center"/>
              <w:ind w:left="450"/>
              <w:spacing w:after="0"/>
              <w:rPr>
                <w:sz w:val="20"/>
                <w:szCs w:val="20"/>
                <w:color w:val="auto"/>
              </w:rPr>
            </w:pPr>
            <w:r>
              <w:rPr>
                <w:rFonts w:ascii="Arial" w:cs="Arial" w:eastAsia="Arial" w:hAnsi="Arial"/>
                <w:sz w:val="18"/>
                <w:szCs w:val="18"/>
                <w:color w:val="auto"/>
                <w:w w:val="99"/>
              </w:rPr>
              <w:t>(24)</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52"/>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280" w:type="dxa"/>
            <w:vAlign w:val="bottom"/>
            <w:tcBorders>
              <w:bottom w:val="single" w:sz="8" w:color="auto"/>
            </w:tcBorders>
            <w:shd w:val="clear" w:color="auto" w:fill="D1D2D4"/>
          </w:tcPr>
          <w:p>
            <w:pPr>
              <w:spacing w:after="0"/>
              <w:rPr>
                <w:sz w:val="21"/>
                <w:szCs w:val="21"/>
                <w:color w:val="auto"/>
              </w:rPr>
            </w:pPr>
          </w:p>
        </w:tc>
        <w:tc>
          <w:tcPr>
            <w:tcW w:w="1020" w:type="dxa"/>
            <w:vAlign w:val="bottom"/>
            <w:tcBorders>
              <w:bottom w:val="single" w:sz="8" w:color="auto"/>
            </w:tcBorders>
            <w:shd w:val="clear" w:color="auto" w:fill="D1D2D4"/>
          </w:tcPr>
          <w:p>
            <w:pPr>
              <w:jc w:val="center"/>
              <w:ind w:left="5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(47)</w:t>
            </w:r>
          </w:p>
        </w:tc>
      </w:tr>
      <w:tr>
        <w:trPr>
          <w:trHeight w:val="250"/>
        </w:trPr>
        <w:tc>
          <w:tcPr>
            <w:tcW w:w="87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9"/>
              </w:rPr>
              <w:t>(55)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The decrease in our income tax provision in the first quarter of 2020 was due primarily to reductions in profit before tax and the foreign minimum tax.</w:t>
      </w:r>
    </w:p>
    <w:p>
      <w:pPr>
        <w:spacing w:after="0" w:line="17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of November 28, 2019, gross unrecognized tax benefits were $385 million, substantially all of which would affect our effective tax rate in the future, if recognized. The amount accrued for interest and penalties related to uncertain tax positions was not significant for any period presented.</w:t>
      </w:r>
    </w:p>
    <w:p>
      <w:pPr>
        <w:spacing w:after="0" w:line="1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which expire in whole or in part at various dates through 2034, that are conditional, in part, upon meeting certain business operations and employment thresholds. The effect of tax incentive arrangements were not significant to our tax provision for the first quarter of 2020. These arrangements reduced our tax provision for the first quarter of 2019 by $427 million (benefiting our diluted earnings per share by $0.36).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3,293</w:t>
            </w:r>
          </w:p>
        </w:tc>
      </w:tr>
      <w:tr>
        <w:trPr>
          <w:trHeight w:val="252"/>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80"/>
        </w:trPr>
        <w:tc>
          <w:tcPr>
            <w:tcW w:w="87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487</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3,293</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8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1,107</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1,133</w:t>
            </w:r>
          </w:p>
        </w:tc>
      </w:tr>
      <w:tr>
        <w:trPr>
          <w:trHeight w:val="257"/>
        </w:trPr>
        <w:tc>
          <w:tcPr>
            <w:tcW w:w="87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r>
      <w:tr>
        <w:trPr>
          <w:trHeight w:val="275"/>
        </w:trPr>
        <w:tc>
          <w:tcPr>
            <w:tcW w:w="87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bottom w:val="single" w:sz="8" w:color="auto"/>
            </w:tcBorders>
            <w:shd w:val="clear" w:color="auto" w:fill="D1D2D4"/>
          </w:tcPr>
          <w:p>
            <w:pPr>
              <w:spacing w:after="0"/>
              <w:rPr>
                <w:sz w:val="23"/>
                <w:szCs w:val="23"/>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1,129</w:t>
            </w:r>
          </w:p>
        </w:tc>
        <w:tc>
          <w:tcPr>
            <w:tcW w:w="320" w:type="dxa"/>
            <w:vAlign w:val="bottom"/>
            <w:tcBorders>
              <w:bottom w:val="single" w:sz="8" w:color="auto"/>
            </w:tcBorders>
            <w:shd w:val="clear" w:color="auto" w:fill="D1D2D4"/>
          </w:tcPr>
          <w:p>
            <w:pPr>
              <w:spacing w:after="0"/>
              <w:rPr>
                <w:sz w:val="23"/>
                <w:szCs w:val="23"/>
                <w:color w:val="auto"/>
              </w:rPr>
            </w:pP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1,174</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8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52"/>
        </w:trPr>
        <w:tc>
          <w:tcPr>
            <w:tcW w:w="8740" w:type="dxa"/>
            <w:vAlign w:val="bottom"/>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2.91</w:t>
            </w:r>
          </w:p>
        </w:tc>
      </w:tr>
      <w:tr>
        <w:trPr>
          <w:trHeight w:val="261"/>
        </w:trPr>
        <w:tc>
          <w:tcPr>
            <w:tcW w:w="87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2.81</w:t>
            </w:r>
          </w:p>
        </w:tc>
      </w:tr>
    </w:tbl>
    <w:p>
      <w:pPr>
        <w:spacing w:after="0" w:line="200" w:lineRule="exact"/>
        <w:rPr>
          <w:sz w:val="20"/>
          <w:szCs w:val="20"/>
          <w:color w:val="auto"/>
        </w:rPr>
      </w:pPr>
    </w:p>
    <w:p>
      <w:pPr>
        <w:sectPr>
          <w:pgSz w:w="11900" w:h="16838" w:orient="portrait"/>
          <w:cols w:equalWidth="0" w:num="1">
            <w:col w:w="11420"/>
          </w:cols>
          <w:pgMar w:left="240" w:top="9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40"/>
        <w:spacing w:after="0"/>
        <w:rPr>
          <w:sz w:val="20"/>
          <w:szCs w:val="20"/>
          <w:color w:val="auto"/>
        </w:rPr>
      </w:pPr>
      <w:r>
        <w:rPr>
          <w:sz w:val="1"/>
          <w:szCs w:val="1"/>
          <w:color w:val="auto"/>
        </w:rPr>
        <w:drawing>
          <wp:inline distT="0" distB="0" distL="0" distR="0">
            <wp:extent cx="591820" cy="1543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4"/>
          <w:szCs w:val="14"/>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type w:val="continuous"/>
        </w:sectPr>
      </w:pPr>
    </w:p>
    <w:bookmarkStart w:id="25" w:name="page26"/>
    <w:bookmarkEnd w:id="25"/>
    <w:p>
      <w:pPr>
        <w:ind w:right="240"/>
        <w:spacing w:after="0" w:line="292"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6 million for the first quarters of 2020 and 2019.</w:t>
      </w:r>
    </w:p>
    <w:p>
      <w:pPr>
        <w:spacing w:after="0" w:line="1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69"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70" w:lineRule="exact"/>
        <w:rPr>
          <w:sz w:val="20"/>
          <w:szCs w:val="20"/>
          <w:color w:val="auto"/>
        </w:rPr>
      </w:pPr>
    </w:p>
    <w:p>
      <w:pPr>
        <w:ind w:left="180" w:right="520" w:hanging="161"/>
        <w:spacing w:after="0" w:line="264"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 and sales of certain 3D XPoint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jc w:val="both"/>
        <w:ind w:left="180" w:right="80" w:hanging="161"/>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other discrete storage products sold in component and wafer form to the removable storage market, and sales of certain 3D XPoint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29,</w:t>
            </w:r>
          </w:p>
        </w:tc>
      </w:tr>
      <w:tr>
        <w:trPr>
          <w:trHeight w:val="254"/>
        </w:trPr>
        <w:tc>
          <w:tcPr>
            <w:tcW w:w="8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0090DA"/>
            </w:tcBorders>
          </w:tcPr>
          <w:p>
            <w:pPr>
              <w:spacing w:after="0"/>
              <w:rPr>
                <w:sz w:val="22"/>
                <w:szCs w:val="22"/>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2"/>
                <w:szCs w:val="22"/>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35"/>
        </w:trPr>
        <w:tc>
          <w:tcPr>
            <w:tcW w:w="8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CNBU</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3,604</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1,457</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2,212</w:t>
            </w: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SBU</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968</w:t>
            </w:r>
          </w:p>
        </w:tc>
        <w:tc>
          <w:tcPr>
            <w:tcW w:w="3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1,143</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933</w:t>
            </w:r>
          </w:p>
        </w:tc>
      </w:tr>
      <w:tr>
        <w:trPr>
          <w:trHeight w:val="252"/>
        </w:trPr>
        <w:tc>
          <w:tcPr>
            <w:tcW w:w="87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w:t>
            </w:r>
          </w:p>
        </w:tc>
      </w:tr>
      <w:tr>
        <w:trPr>
          <w:trHeight w:val="275"/>
        </w:trPr>
        <w:tc>
          <w:tcPr>
            <w:tcW w:w="8740" w:type="dxa"/>
            <w:vAlign w:val="bottom"/>
            <w:tcBorders>
              <w:bottom w:val="single" w:sz="8" w:color="D1D2D4"/>
            </w:tcBorders>
            <w:shd w:val="clear" w:color="auto" w:fill="D1D2D4"/>
          </w:tcPr>
          <w:p>
            <w:pPr>
              <w:spacing w:after="0"/>
              <w:rPr>
                <w:sz w:val="23"/>
                <w:szCs w:val="23"/>
                <w:color w:val="auto"/>
              </w:rPr>
            </w:pP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5,144</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7,913</w:t>
            </w:r>
          </w:p>
        </w:tc>
      </w:tr>
      <w:tr>
        <w:trPr>
          <w:trHeight w:val="20"/>
        </w:trPr>
        <w:tc>
          <w:tcPr>
            <w:tcW w:w="87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r>
        <w:trPr>
          <w:trHeight w:val="208"/>
        </w:trPr>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CNBU</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2,211</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1,203</w:t>
            </w: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SBU</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80</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387</w:t>
            </w:r>
          </w:p>
        </w:tc>
      </w:tr>
      <w:tr>
        <w:trPr>
          <w:trHeight w:val="252"/>
        </w:trPr>
        <w:tc>
          <w:tcPr>
            <w:tcW w:w="87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r>
      <w:tr>
        <w:trPr>
          <w:trHeight w:val="250"/>
        </w:trPr>
        <w:tc>
          <w:tcPr>
            <w:tcW w:w="8740" w:type="dxa"/>
            <w:vAlign w:val="bottom"/>
            <w:shd w:val="clear" w:color="auto" w:fill="D1D2D4"/>
          </w:tcPr>
          <w:p>
            <w:pPr>
              <w:spacing w:after="0"/>
              <w:rPr>
                <w:sz w:val="21"/>
                <w:szCs w:val="21"/>
                <w:color w:val="auto"/>
              </w:rPr>
            </w:pPr>
          </w:p>
        </w:tc>
        <w:tc>
          <w:tcPr>
            <w:tcW w:w="280" w:type="dxa"/>
            <w:vAlign w:val="bottom"/>
            <w:tcBorders>
              <w:bottom w:val="single" w:sz="8" w:color="auto"/>
            </w:tcBorders>
            <w:shd w:val="clear" w:color="auto" w:fill="D1D2D4"/>
          </w:tcPr>
          <w:p>
            <w:pPr>
              <w:spacing w:after="0"/>
              <w:rPr>
                <w:sz w:val="21"/>
                <w:szCs w:val="21"/>
                <w:color w:val="auto"/>
              </w:rPr>
            </w:pPr>
          </w:p>
        </w:tc>
        <w:tc>
          <w:tcPr>
            <w:tcW w:w="10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594</w:t>
            </w:r>
          </w:p>
        </w:tc>
        <w:tc>
          <w:tcPr>
            <w:tcW w:w="32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3,887</w:t>
            </w:r>
          </w:p>
        </w:tc>
      </w:tr>
      <w:tr>
        <w:trPr>
          <w:trHeight w:val="241"/>
        </w:trPr>
        <w:tc>
          <w:tcPr>
            <w:tcW w:w="8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8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61"/>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Employee severance</w:t>
            </w:r>
          </w:p>
        </w:tc>
        <w:tc>
          <w:tcPr>
            <w:tcW w:w="2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w:t>
            </w:r>
          </w:p>
        </w:tc>
      </w:tr>
      <w:tr>
        <w:trPr>
          <w:trHeight w:val="252"/>
        </w:trPr>
        <w:tc>
          <w:tcPr>
            <w:tcW w:w="8740" w:type="dxa"/>
            <w:vAlign w:val="bottom"/>
          </w:tcPr>
          <w:p>
            <w:pPr>
              <w:ind w:left="120"/>
              <w:spacing w:after="0"/>
              <w:rPr>
                <w:sz w:val="20"/>
                <w:szCs w:val="20"/>
                <w:color w:val="auto"/>
              </w:rPr>
            </w:pPr>
            <w:r>
              <w:rPr>
                <w:rFonts w:ascii="Arial" w:cs="Arial" w:eastAsia="Arial" w:hAnsi="Arial"/>
                <w:sz w:val="18"/>
                <w:szCs w:val="18"/>
                <w:color w:val="auto"/>
              </w:rPr>
              <w:t>Restructure and asset impairments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87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(17)</w:t>
            </w:r>
          </w:p>
        </w:tc>
      </w:tr>
      <w:tr>
        <w:trPr>
          <w:trHeight w:val="250"/>
        </w:trPr>
        <w:tc>
          <w:tcPr>
            <w:tcW w:w="8740" w:type="dxa"/>
            <w:vAlign w:val="bottom"/>
            <w:tcBorders>
              <w:bottom w:val="single" w:sz="8" w:color="D1D2D4"/>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r>
      <w:tr>
        <w:trPr>
          <w:trHeight w:val="241"/>
        </w:trPr>
        <w:tc>
          <w:tcPr>
            <w:tcW w:w="8740" w:type="dxa"/>
            <w:vAlign w:val="bottom"/>
            <w:shd w:val="clear" w:color="auto" w:fill="D1D2D4"/>
          </w:tcPr>
          <w:p>
            <w:pPr>
              <w:spacing w:after="0"/>
              <w:rPr>
                <w:sz w:val="20"/>
                <w:szCs w:val="20"/>
                <w:color w:val="auto"/>
              </w:rPr>
            </w:pPr>
          </w:p>
        </w:tc>
        <w:tc>
          <w:tcPr>
            <w:tcW w:w="28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shd w:val="clear" w:color="auto" w:fill="D1D2D4"/>
          </w:tcPr>
          <w:p>
            <w:pPr>
              <w:spacing w:after="0"/>
              <w:rPr>
                <w:sz w:val="20"/>
                <w:szCs w:val="20"/>
                <w:color w:val="auto"/>
              </w:rPr>
            </w:pPr>
          </w:p>
        </w:tc>
        <w:tc>
          <w:tcPr>
            <w:tcW w:w="320" w:type="dxa"/>
            <w:vAlign w:val="bottom"/>
            <w:tcBorders>
              <w:bottom w:val="single" w:sz="8" w:color="auto"/>
            </w:tcBorders>
            <w:shd w:val="clear" w:color="auto" w:fill="D1D2D4"/>
          </w:tcPr>
          <w:p>
            <w:pPr>
              <w:spacing w:after="0"/>
              <w:rPr>
                <w:sz w:val="20"/>
                <w:szCs w:val="20"/>
                <w:color w:val="auto"/>
              </w:rPr>
            </w:pPr>
          </w:p>
        </w:tc>
        <w:tc>
          <w:tcPr>
            <w:tcW w:w="1040" w:type="dxa"/>
            <w:vAlign w:val="bottom"/>
            <w:tcBorders>
              <w:bottom w:val="single" w:sz="8" w:color="auto"/>
            </w:tcBorders>
            <w:shd w:val="clear" w:color="auto" w:fill="D1D2D4"/>
          </w:tcPr>
          <w:p>
            <w:pPr>
              <w:spacing w:after="0"/>
              <w:rPr>
                <w:sz w:val="20"/>
                <w:szCs w:val="20"/>
                <w:color w:val="auto"/>
              </w:rPr>
            </w:pPr>
          </w:p>
        </w:tc>
      </w:tr>
      <w:tr>
        <w:trPr>
          <w:trHeight w:val="250"/>
        </w:trPr>
        <w:tc>
          <w:tcPr>
            <w:tcW w:w="8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3,759</w:t>
            </w:r>
          </w:p>
        </w:tc>
      </w:tr>
      <w:tr>
        <w:trPr>
          <w:trHeight w:val="21"/>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9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2"/>
          <w:szCs w:val="22"/>
          <w:b w:val="1"/>
          <w:bCs w:val="1"/>
          <w:color w:val="0090DA"/>
        </w:rPr>
        <w:t>Certain Concentrations</w:t>
      </w:r>
    </w:p>
    <w:p>
      <w:pPr>
        <w:spacing w:after="0" w:line="24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Revenue from Kingston Technology Company, Inc. was 11% of total revenue for the first quarter of 2020. No other customer exceeded 10% of our total revenue for the first quarter of 2020.</w:t>
      </w:r>
    </w:p>
    <w:p>
      <w:pPr>
        <w:spacing w:after="0" w:line="200" w:lineRule="exact"/>
        <w:rPr>
          <w:sz w:val="20"/>
          <w:szCs w:val="20"/>
          <w:color w:val="auto"/>
        </w:rPr>
      </w:pPr>
    </w:p>
    <w:p>
      <w:pPr>
        <w:spacing w:after="0" w:line="204" w:lineRule="exact"/>
        <w:rPr>
          <w:sz w:val="20"/>
          <w:szCs w:val="20"/>
          <w:color w:val="auto"/>
        </w:rPr>
      </w:pPr>
    </w:p>
    <w:p>
      <w:pPr>
        <w:ind w:right="860"/>
        <w:spacing w:after="0" w:line="306"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1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August 29, 2019. All period references are to our fiscal periods unless otherwise indicated. Our fiscal year is the 52 or 53-week period ending on the Thursday closest to August 31. Fiscal year 2020 contains 53 weeks and the fourth quarter of 2020 will contain 14 weeks. The first quarters of fiscal 2020 and 2019 each contained 13 weeks. All tabular dollar amounts are in millions, except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6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 Crucial, and Ballistix — our broad portfolio of high-performance memory and storage technologies, including DRAM, NAND, 3D XPoint memory, and NOR, is transforming how the world uses information to enrich life. Backed by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manufacture our products at our wholly-owned facilities and also utilize subcontractors to perform certain manufacturing processes. In recent years, we have increased our manufacturing scale and product diversity through strategic acquisitions, expansion, and various partnering arrangements. On October 31, 2019, we purchased Intel’s noncontrolling interest in IMFT and IMFT Member Debt for $1.25 billion, at which time IMFT, now known as MTU, became a wholly-owned subsidiary.</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Our managed NAND and SSD storage products, which incorporate NAND, a controller, and firmware, constitute a significant portion of our revenues. We have developed proprietary firmware and controllers, which are included in certain of our SSDs. Development of advanced technologies enables us to diversify our product portfolio toward a richer mix of differentiated, high-value solutions and to target high-growth markets.</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market our products through our internal sales force, independent sales representatives, and distributors primarily to original equipment manufacturers and retailers located around the world. We face intense competition in the semiconductor memory and storage markets and, to remain competitive, we must continuously develop and implement new products and technologies and decrease manufacturing costs.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7" w:name="page28"/>
    <w:bookmarkEnd w:id="27"/>
    <w:p>
      <w:pPr>
        <w:spacing w:after="0"/>
        <w:rPr>
          <w:sz w:val="20"/>
          <w:szCs w:val="20"/>
          <w:color w:val="auto"/>
        </w:rPr>
      </w:pPr>
      <w:r>
        <w:rPr>
          <w:rFonts w:ascii="Arial" w:cs="Arial" w:eastAsia="Arial" w:hAnsi="Arial"/>
          <w:sz w:val="40"/>
          <w:szCs w:val="40"/>
          <w:b w:val="1"/>
          <w:bCs w:val="1"/>
          <w:color w:val="auto"/>
        </w:rPr>
        <w:t>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Fourth Quarter</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21"/>
                <w:szCs w:val="21"/>
                <w:color w:val="auto"/>
              </w:rPr>
            </w:pPr>
          </w:p>
        </w:tc>
      </w:tr>
      <w:tr>
        <w:trPr>
          <w:trHeight w:val="257"/>
        </w:trPr>
        <w:tc>
          <w:tcPr>
            <w:tcW w:w="5520" w:type="dxa"/>
            <w:vAlign w:val="bottom"/>
            <w:tcBorders>
              <w:bottom w:val="single" w:sz="8" w:color="0090DA"/>
            </w:tcBorders>
          </w:tcPr>
          <w:p>
            <w:pPr>
              <w:spacing w:after="0"/>
              <w:rPr>
                <w:sz w:val="22"/>
                <w:szCs w:val="22"/>
                <w:color w:val="auto"/>
              </w:rPr>
            </w:pPr>
          </w:p>
        </w:tc>
        <w:tc>
          <w:tcPr>
            <w:tcW w:w="280" w:type="dxa"/>
            <w:vAlign w:val="bottom"/>
            <w:tcBorders>
              <w:bottom w:val="single" w:sz="8" w:color="0090DA"/>
            </w:tcBorders>
          </w:tcPr>
          <w:p>
            <w:pPr>
              <w:spacing w:after="0"/>
              <w:rPr>
                <w:sz w:val="22"/>
                <w:szCs w:val="22"/>
                <w:color w:val="auto"/>
              </w:rPr>
            </w:pP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10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280" w:type="dxa"/>
            <w:vAlign w:val="bottom"/>
            <w:tcBorders>
              <w:bottom w:val="single" w:sz="8" w:color="0090DA"/>
            </w:tcBorders>
          </w:tcPr>
          <w:p>
            <w:pPr>
              <w:spacing w:after="0"/>
              <w:rPr>
                <w:sz w:val="22"/>
                <w:szCs w:val="22"/>
                <w:color w:val="auto"/>
              </w:rPr>
            </w:pP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r>
      <w:tr>
        <w:trPr>
          <w:trHeight w:val="35"/>
        </w:trPr>
        <w:tc>
          <w:tcPr>
            <w:tcW w:w="5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5,144</w:t>
            </w:r>
          </w:p>
        </w:tc>
        <w:tc>
          <w:tcPr>
            <w:tcW w:w="960" w:type="dxa"/>
            <w:vAlign w:val="bottom"/>
            <w:gridSpan w:val="3"/>
            <w:shd w:val="clear" w:color="auto" w:fill="D1D2D4"/>
          </w:tcPr>
          <w:p>
            <w:pPr>
              <w:jc w:val="right"/>
              <w:ind w:right="100"/>
              <w:spacing w:after="0"/>
              <w:rPr>
                <w:sz w:val="20"/>
                <w:szCs w:val="20"/>
                <w:color w:val="auto"/>
              </w:rPr>
            </w:pPr>
            <w:r>
              <w:rPr>
                <w:rFonts w:ascii="Arial" w:cs="Arial" w:eastAsia="Arial" w:hAnsi="Arial"/>
                <w:sz w:val="18"/>
                <w:szCs w:val="18"/>
                <w:color w:val="auto"/>
              </w:rPr>
              <w:t>100 % $</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4,870</w:t>
            </w:r>
          </w:p>
        </w:tc>
        <w:tc>
          <w:tcPr>
            <w:tcW w:w="1020" w:type="dxa"/>
            <w:vAlign w:val="bottom"/>
            <w:gridSpan w:val="3"/>
            <w:shd w:val="clear" w:color="auto" w:fill="D1D2D4"/>
          </w:tcPr>
          <w:p>
            <w:pPr>
              <w:jc w:val="right"/>
              <w:ind w:right="160"/>
              <w:spacing w:after="0"/>
              <w:rPr>
                <w:sz w:val="20"/>
                <w:szCs w:val="20"/>
                <w:color w:val="auto"/>
              </w:rPr>
            </w:pPr>
            <w:r>
              <w:rPr>
                <w:rFonts w:ascii="Arial" w:cs="Arial" w:eastAsia="Arial" w:hAnsi="Arial"/>
                <w:sz w:val="18"/>
                <w:szCs w:val="18"/>
                <w:color w:val="auto"/>
              </w:rPr>
              <w:t>100 % $</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7,913</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52"/>
        </w:trPr>
        <w:tc>
          <w:tcPr>
            <w:tcW w:w="55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3,778</w:t>
            </w:r>
          </w:p>
        </w:tc>
        <w:tc>
          <w:tcPr>
            <w:tcW w:w="5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3,475</w:t>
            </w:r>
          </w:p>
        </w:tc>
        <w:tc>
          <w:tcPr>
            <w:tcW w:w="5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3,298</w:t>
            </w:r>
          </w:p>
        </w:tc>
        <w:tc>
          <w:tcPr>
            <w:tcW w:w="5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55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1,366</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1,395</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4,615</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211</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212</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5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61"/>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960" w:type="dxa"/>
            <w:vAlign w:val="bottom"/>
            <w:gridSpan w:val="3"/>
            <w:shd w:val="clear" w:color="auto" w:fill="D1D2D4"/>
          </w:tcPr>
          <w:p>
            <w:pPr>
              <w:jc w:val="right"/>
              <w:ind w:right="24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36</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5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57"/>
        </w:trPr>
        <w:tc>
          <w:tcPr>
            <w:tcW w:w="552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spacing w:after="0"/>
              <w:rPr>
                <w:sz w:val="22"/>
                <w:szCs w:val="22"/>
                <w:color w:val="auto"/>
              </w:rPr>
            </w:pPr>
          </w:p>
        </w:tc>
        <w:tc>
          <w:tcPr>
            <w:tcW w:w="740" w:type="dxa"/>
            <w:vAlign w:val="bottom"/>
            <w:gridSpan w:val="2"/>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c>
          <w:tcPr>
            <w:tcW w:w="740" w:type="dxa"/>
            <w:vAlign w:val="bottom"/>
            <w:gridSpan w:val="2"/>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spacing w:after="0"/>
              <w:rPr>
                <w:sz w:val="22"/>
                <w:szCs w:val="22"/>
                <w:color w:val="auto"/>
              </w:rPr>
            </w:pPr>
          </w:p>
        </w:tc>
        <w:tc>
          <w:tcPr>
            <w:tcW w:w="740" w:type="dxa"/>
            <w:vAlign w:val="bottom"/>
            <w:gridSpan w:val="2"/>
            <w:shd w:val="clear" w:color="auto" w:fill="D1D2D4"/>
          </w:tcPr>
          <w:p>
            <w:pPr>
              <w:spacing w:after="0"/>
              <w:rPr>
                <w:sz w:val="22"/>
                <w:szCs w:val="22"/>
                <w:color w:val="auto"/>
              </w:rPr>
            </w:pPr>
          </w:p>
        </w:tc>
      </w:tr>
      <w:tr>
        <w:trPr>
          <w:trHeight w:val="252"/>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61"/>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46</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(13)</w:t>
            </w:r>
          </w:p>
        </w:tc>
        <w:tc>
          <w:tcPr>
            <w:tcW w:w="1020" w:type="dxa"/>
            <w:vAlign w:val="bottom"/>
            <w:gridSpan w:val="3"/>
            <w:shd w:val="clear" w:color="auto" w:fill="D1D2D4"/>
          </w:tcPr>
          <w:p>
            <w:pPr>
              <w:jc w:val="right"/>
              <w:ind w:right="300"/>
              <w:spacing w:after="0"/>
              <w:rPr>
                <w:sz w:val="20"/>
                <w:szCs w:val="20"/>
                <w:color w:val="auto"/>
              </w:rPr>
            </w:pPr>
            <w:r>
              <w:rPr>
                <w:rFonts w:ascii="Arial" w:cs="Arial" w:eastAsia="Arial" w:hAnsi="Arial"/>
                <w:sz w:val="18"/>
                <w:szCs w:val="18"/>
                <w:color w:val="auto"/>
              </w:rPr>
              <w:t>— %</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5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8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960" w:type="dxa"/>
            <w:vAlign w:val="bottom"/>
            <w:gridSpan w:val="3"/>
            <w:shd w:val="clear" w:color="auto" w:fill="D1D2D4"/>
          </w:tcPr>
          <w:p>
            <w:pPr>
              <w:jc w:val="right"/>
              <w:ind w:right="24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D1D2D4"/>
          </w:tcPr>
          <w:p>
            <w:pPr>
              <w:jc w:val="right"/>
              <w:ind w:right="300"/>
              <w:spacing w:after="0"/>
              <w:rPr>
                <w:sz w:val="20"/>
                <w:szCs w:val="20"/>
                <w:color w:val="auto"/>
              </w:rPr>
            </w:pPr>
            <w:r>
              <w:rPr>
                <w:rFonts w:ascii="Arial" w:cs="Arial" w:eastAsia="Arial" w:hAnsi="Arial"/>
                <w:sz w:val="18"/>
                <w:szCs w:val="18"/>
                <w:color w:val="auto"/>
              </w:rPr>
              <w:t>— %</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5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5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Net income attributable to Micron</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491</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D1D2D4"/>
          </w:tcPr>
          <w:p>
            <w:pPr>
              <w:jc w:val="right"/>
              <w:ind w:right="1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561</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3,293</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tcBorders>
          </w:tcPr>
          <w:p>
            <w:pPr>
              <w:spacing w:after="0" w:line="20" w:lineRule="exact"/>
              <w:rPr>
                <w:sz w:val="1"/>
                <w:szCs w:val="1"/>
                <w:color w:val="auto"/>
              </w:rPr>
            </w:pPr>
          </w:p>
        </w:tc>
      </w:tr>
    </w:tbl>
    <w:p>
      <w:pPr>
        <w:spacing w:after="0" w:line="32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first quarter of 2020 increased 6% as compared to the fourth quarter of 2019 as a result of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both DRAM and NAND products. Sales of DRAM products for the first quarter of 2020 increased 2% from the fourth quarter of 2019 primarily due to an approximate 10% increase in bit shipments, partially offset by an upper-single-digit percentage decline in average selling prices. Sales of NAND products for the first quarter of 2020 increased 18% from the fourth quarter of 2019 primarily due to a mid-teen percentage increase in bit shipments driven by increases in sales of high-value SSD and mobile managed NAND products enabled by strong market demand and our transition to NVMe SSDs. NAND average selling prices for the first quarter of 2020 increased in the low-single digits from the fourth quarter of 2019.</w:t>
      </w: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Total revenue for the first quarter of 2020 decreased 35% as compared to the first quarter 2019 primarily due to price declines resulting from imbalances between supply and market demand over the last several quarters. Sales of DRAM products for the first quarter of 2020 decreased 41% as compared to the first quarter of 2019 primarily due to declines in average selling prices in the low-50-percent range, partially offset by growth in bit shipments in the mid-20-percent range. Sales of NAND products for the first quarter of 2020 decreased 14% as compared to the first quarter of 2019 primarily due to declines in average selling prices in the mid-30-percent range, partially offset by increases in bit shipments in the mid-30-percent range.</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decreased to 27% for the first quarter of 2020 from 29% for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primarily due to decreases in DRAM margins as a result of declines in selling prices, partially offset by higher NAND margins from increases in selling prices. Gross margin for the first quarter of 2020 included an impact of approximately $125 million due to underutilization costs at MTU. MTU underutilization costs are expected to ramp higher in the second quarter of 2020 as production volumes decline. We expect these charges to average $150 million per quarter in the first half of fiscal 2020.</w:t>
      </w:r>
    </w:p>
    <w:p>
      <w:pPr>
        <w:spacing w:after="0" w:line="20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re-use rates, we revised the estimated useful lives of equipment in our NAND wafer fabrication facilities from five years to seven years as of the beginning of the first quarter of 2020. This change reduced our NAND manufacturing non-cash depreciation expense for the first quarter of 2020 by approximately $150 million, which resulted in reductions of approximately $40 million in cost of goods sold and approximately $110 million in the cost of our inventories at the end of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8" w:name="page29"/>
    <w:bookmarkEnd w:id="28"/>
    <w:p>
      <w:pPr>
        <w:ind w:right="260"/>
        <w:spacing w:after="0" w:line="264" w:lineRule="auto"/>
        <w:rPr>
          <w:sz w:val="20"/>
          <w:szCs w:val="20"/>
          <w:color w:val="auto"/>
        </w:rPr>
      </w:pPr>
      <w:r>
        <w:rPr>
          <w:rFonts w:ascii="Arial" w:cs="Arial" w:eastAsia="Arial" w:hAnsi="Arial"/>
          <w:sz w:val="18"/>
          <w:szCs w:val="18"/>
          <w:color w:val="auto"/>
        </w:rPr>
        <w:t>Our overall gross margin percentage decreased to 27% for the first quarter of 2020 from 58% for the first quarter of 2019 primarily due to declines in average selling prices, partially offset by the effect of a decrease in non-cash depreciation expense from the revision in estimated useful lives of equipment in our NAND wafer fabrication facilities, cost reductions resulting from strong execution in delivering products featuring advanced technologies, and continuous improvement initiatives to reduce production costs.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Fourth Quarter</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500" w:type="dxa"/>
            <w:vAlign w:val="bottom"/>
          </w:tcPr>
          <w:p>
            <w:pPr>
              <w:spacing w:after="0"/>
              <w:rPr>
                <w:sz w:val="21"/>
                <w:szCs w:val="21"/>
                <w:color w:val="auto"/>
              </w:rPr>
            </w:pPr>
          </w:p>
        </w:tc>
      </w:tr>
      <w:tr>
        <w:trPr>
          <w:trHeight w:val="257"/>
        </w:trPr>
        <w:tc>
          <w:tcPr>
            <w:tcW w:w="552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100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2"/>
                <w:szCs w:val="22"/>
                <w:color w:val="auto"/>
              </w:rPr>
            </w:pPr>
          </w:p>
        </w:tc>
        <w:tc>
          <w:tcPr>
            <w:tcW w:w="500" w:type="dxa"/>
            <w:vAlign w:val="bottom"/>
            <w:tcBorders>
              <w:bottom w:val="single" w:sz="8" w:color="0090DA"/>
            </w:tcBorders>
          </w:tcPr>
          <w:p>
            <w:pPr>
              <w:spacing w:after="0"/>
              <w:rPr>
                <w:sz w:val="22"/>
                <w:szCs w:val="22"/>
                <w:color w:val="auto"/>
              </w:rPr>
            </w:pPr>
          </w:p>
        </w:tc>
        <w:tc>
          <w:tcPr>
            <w:tcW w:w="160" w:type="dxa"/>
            <w:vAlign w:val="bottom"/>
            <w:tcBorders>
              <w:bottom w:val="single" w:sz="8" w:color="0090DA"/>
            </w:tcBorders>
          </w:tcPr>
          <w:p>
            <w:pPr>
              <w:spacing w:after="0"/>
              <w:rPr>
                <w:sz w:val="22"/>
                <w:szCs w:val="22"/>
                <w:color w:val="auto"/>
              </w:rPr>
            </w:pPr>
          </w:p>
        </w:tc>
        <w:tc>
          <w:tcPr>
            <w:tcW w:w="106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0090DA"/>
            </w:tcBorders>
          </w:tcPr>
          <w:p>
            <w:pPr>
              <w:spacing w:after="0"/>
              <w:rPr>
                <w:sz w:val="22"/>
                <w:szCs w:val="22"/>
                <w:color w:val="auto"/>
              </w:rPr>
            </w:pPr>
          </w:p>
        </w:tc>
        <w:tc>
          <w:tcPr>
            <w:tcW w:w="46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100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0090DA"/>
            </w:tcBorders>
          </w:tcPr>
          <w:p>
            <w:pPr>
              <w:spacing w:after="0"/>
              <w:rPr>
                <w:sz w:val="22"/>
                <w:szCs w:val="22"/>
                <w:color w:val="auto"/>
              </w:rPr>
            </w:pPr>
          </w:p>
        </w:tc>
        <w:tc>
          <w:tcPr>
            <w:tcW w:w="500" w:type="dxa"/>
            <w:vAlign w:val="bottom"/>
            <w:tcBorders>
              <w:bottom w:val="single" w:sz="8" w:color="0090DA"/>
            </w:tcBorders>
          </w:tcPr>
          <w:p>
            <w:pPr>
              <w:spacing w:after="0"/>
              <w:rPr>
                <w:sz w:val="22"/>
                <w:szCs w:val="22"/>
                <w:color w:val="auto"/>
              </w:rPr>
            </w:pPr>
          </w:p>
        </w:tc>
      </w:tr>
      <w:tr>
        <w:trPr>
          <w:trHeight w:val="35"/>
        </w:trPr>
        <w:tc>
          <w:tcPr>
            <w:tcW w:w="5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1,979</w:t>
            </w:r>
          </w:p>
        </w:tc>
        <w:tc>
          <w:tcPr>
            <w:tcW w:w="240" w:type="dxa"/>
            <w:vAlign w:val="bottom"/>
            <w:shd w:val="clear" w:color="auto" w:fill="D1D2D4"/>
          </w:tcPr>
          <w:p>
            <w:pPr>
              <w:spacing w:after="0"/>
              <w:rPr>
                <w:sz w:val="22"/>
                <w:szCs w:val="22"/>
                <w:color w:val="auto"/>
              </w:rPr>
            </w:pPr>
          </w:p>
        </w:tc>
        <w:tc>
          <w:tcPr>
            <w:tcW w:w="66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38 % $</w:t>
            </w: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1,903</w:t>
            </w:r>
          </w:p>
        </w:tc>
        <w:tc>
          <w:tcPr>
            <w:tcW w:w="280" w:type="dxa"/>
            <w:vAlign w:val="bottom"/>
            <w:shd w:val="clear" w:color="auto" w:fill="D1D2D4"/>
          </w:tcPr>
          <w:p>
            <w:pPr>
              <w:spacing w:after="0"/>
              <w:rPr>
                <w:sz w:val="22"/>
                <w:szCs w:val="22"/>
                <w:color w:val="auto"/>
              </w:rPr>
            </w:pPr>
          </w:p>
        </w:tc>
        <w:tc>
          <w:tcPr>
            <w:tcW w:w="680" w:type="dxa"/>
            <w:vAlign w:val="bottom"/>
            <w:gridSpan w:val="2"/>
            <w:shd w:val="clear" w:color="auto" w:fill="D1D2D4"/>
          </w:tcPr>
          <w:p>
            <w:pPr>
              <w:jc w:val="right"/>
              <w:ind w:right="100"/>
              <w:spacing w:after="0"/>
              <w:rPr>
                <w:sz w:val="20"/>
                <w:szCs w:val="20"/>
                <w:color w:val="auto"/>
              </w:rPr>
            </w:pPr>
            <w:r>
              <w:rPr>
                <w:rFonts w:ascii="Arial" w:cs="Arial" w:eastAsia="Arial" w:hAnsi="Arial"/>
                <w:sz w:val="18"/>
                <w:szCs w:val="18"/>
                <w:color w:val="auto"/>
                <w:w w:val="99"/>
              </w:rPr>
              <w:t>39 % $</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3,604</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46 %</w:t>
            </w:r>
          </w:p>
        </w:tc>
      </w:tr>
      <w:tr>
        <w:trPr>
          <w:trHeight w:val="252"/>
        </w:trPr>
        <w:tc>
          <w:tcPr>
            <w:tcW w:w="552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2,212</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61"/>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D1D2D4"/>
          </w:tcPr>
          <w:p>
            <w:pPr>
              <w:spacing w:after="0"/>
              <w:rPr>
                <w:sz w:val="22"/>
                <w:szCs w:val="22"/>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14 %</w:t>
            </w:r>
          </w:p>
        </w:tc>
      </w:tr>
      <w:tr>
        <w:trPr>
          <w:trHeight w:val="252"/>
        </w:trPr>
        <w:tc>
          <w:tcPr>
            <w:tcW w:w="5520" w:type="dxa"/>
            <w:vAlign w:val="bottom"/>
          </w:tcPr>
          <w:p>
            <w:pPr>
              <w:ind w:left="20"/>
              <w:spacing w:after="0"/>
              <w:rPr>
                <w:sz w:val="20"/>
                <w:szCs w:val="20"/>
                <w:color w:val="auto"/>
              </w:rPr>
            </w:pPr>
            <w:r>
              <w:rPr>
                <w:rFonts w:ascii="Arial" w:cs="Arial" w:eastAsia="Arial" w:hAnsi="Arial"/>
                <w:sz w:val="18"/>
                <w:szCs w:val="18"/>
                <w:color w:val="auto"/>
              </w:rPr>
              <w:t>EBU</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w:t>
            </w:r>
          </w:p>
        </w:tc>
        <w:tc>
          <w:tcPr>
            <w:tcW w:w="280" w:type="dxa"/>
            <w:vAlign w:val="bottom"/>
            <w:shd w:val="clear" w:color="auto" w:fill="D1D2D4"/>
          </w:tcPr>
          <w:p>
            <w:pPr>
              <w:spacing w:after="0"/>
              <w:rPr>
                <w:sz w:val="22"/>
                <w:szCs w:val="22"/>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5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5,144</w:t>
            </w:r>
          </w:p>
        </w:tc>
        <w:tc>
          <w:tcPr>
            <w:tcW w:w="2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4,870</w:t>
            </w:r>
          </w:p>
        </w:tc>
        <w:tc>
          <w:tcPr>
            <w:tcW w:w="2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7,913</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
        </w:trPr>
        <w:tc>
          <w:tcPr>
            <w:tcW w:w="55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2020 as compared to the fourth quarter of 2019 were as follows:</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CNBU revenue increased 4% as bit demand growth drove higher sales volumes offset by price declines.</w:t>
      </w:r>
    </w:p>
    <w:p>
      <w:pPr>
        <w:spacing w:after="0" w:line="31"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MBU revenue increased 4% primarily due to strong bit sales growth driven by high-value managed NAND products, partially offset by price declines.</w:t>
      </w:r>
    </w:p>
    <w:p>
      <w:pPr>
        <w:ind w:left="660" w:right="4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SBU revenue increased 14% primarily due to significant growth in SSD shipment volumes, enabled by our continuing transition to NVMe SSD products, and improved pricing.</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increased 4% primarily due to strong shipment growth in automotive and consumer markets.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2020 as compared to the first quarter of 2019 were as follows:</w:t>
      </w:r>
    </w:p>
    <w:p>
      <w:pPr>
        <w:spacing w:after="0" w:line="252" w:lineRule="exact"/>
        <w:rPr>
          <w:sz w:val="20"/>
          <w:szCs w:val="20"/>
          <w:color w:val="auto"/>
        </w:rPr>
      </w:pPr>
    </w:p>
    <w:p>
      <w:pPr>
        <w:ind w:left="660" w:right="1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decreased 45% primarily due to price declines driven by imbalances in supply and demand, partially offset by bit sales growth.</w:t>
      </w:r>
    </w:p>
    <w:p>
      <w:pPr>
        <w:ind w:left="660" w:right="1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decreased 34% primarily due to price declines, partially offset by bit sales growth driven by execution in developing and qualifying mobile managed NAND products.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revenue decreased 15% primarily due to price declines, partially offset by bit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revenue decreased 21% primarily due to lower sales to consumer and industrial multi-markets.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First Quarter</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Fourth Quarter</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500" w:type="dxa"/>
            <w:vAlign w:val="bottom"/>
          </w:tcPr>
          <w:p>
            <w:pPr>
              <w:spacing w:after="0"/>
              <w:rPr>
                <w:sz w:val="21"/>
                <w:szCs w:val="21"/>
                <w:color w:val="auto"/>
              </w:rPr>
            </w:pPr>
          </w:p>
        </w:tc>
      </w:tr>
      <w:tr>
        <w:trPr>
          <w:trHeight w:val="257"/>
        </w:trPr>
        <w:tc>
          <w:tcPr>
            <w:tcW w:w="552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100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2"/>
                <w:szCs w:val="22"/>
                <w:color w:val="auto"/>
              </w:rPr>
            </w:pPr>
          </w:p>
        </w:tc>
        <w:tc>
          <w:tcPr>
            <w:tcW w:w="540" w:type="dxa"/>
            <w:vAlign w:val="bottom"/>
            <w:tcBorders>
              <w:bottom w:val="single" w:sz="8" w:color="0090DA"/>
            </w:tcBorders>
          </w:tcPr>
          <w:p>
            <w:pPr>
              <w:spacing w:after="0"/>
              <w:rPr>
                <w:sz w:val="22"/>
                <w:szCs w:val="22"/>
                <w:color w:val="auto"/>
              </w:rPr>
            </w:pPr>
          </w:p>
        </w:tc>
        <w:tc>
          <w:tcPr>
            <w:tcW w:w="160" w:type="dxa"/>
            <w:vAlign w:val="bottom"/>
            <w:tcBorders>
              <w:bottom w:val="single" w:sz="8" w:color="0090DA"/>
            </w:tcBorders>
          </w:tcPr>
          <w:p>
            <w:pPr>
              <w:spacing w:after="0"/>
              <w:rPr>
                <w:sz w:val="22"/>
                <w:szCs w:val="22"/>
                <w:color w:val="auto"/>
              </w:rPr>
            </w:pPr>
          </w:p>
        </w:tc>
        <w:tc>
          <w:tcPr>
            <w:tcW w:w="106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0090DA"/>
            </w:tcBorders>
          </w:tcPr>
          <w:p>
            <w:pPr>
              <w:spacing w:after="0"/>
              <w:rPr>
                <w:sz w:val="22"/>
                <w:szCs w:val="22"/>
                <w:color w:val="auto"/>
              </w:rPr>
            </w:pPr>
          </w:p>
        </w:tc>
        <w:tc>
          <w:tcPr>
            <w:tcW w:w="220" w:type="dxa"/>
            <w:vAlign w:val="bottom"/>
            <w:tcBorders>
              <w:bottom w:val="single" w:sz="8" w:color="0090DA"/>
            </w:tcBorders>
          </w:tcPr>
          <w:p>
            <w:pPr>
              <w:spacing w:after="0"/>
              <w:rPr>
                <w:sz w:val="22"/>
                <w:szCs w:val="22"/>
                <w:color w:val="auto"/>
              </w:rPr>
            </w:pPr>
          </w:p>
        </w:tc>
        <w:tc>
          <w:tcPr>
            <w:tcW w:w="100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0090DA"/>
            </w:tcBorders>
          </w:tcPr>
          <w:p>
            <w:pPr>
              <w:spacing w:after="0"/>
              <w:rPr>
                <w:sz w:val="22"/>
                <w:szCs w:val="22"/>
                <w:color w:val="auto"/>
              </w:rPr>
            </w:pPr>
          </w:p>
        </w:tc>
        <w:tc>
          <w:tcPr>
            <w:tcW w:w="500" w:type="dxa"/>
            <w:vAlign w:val="bottom"/>
            <w:tcBorders>
              <w:bottom w:val="single" w:sz="8" w:color="0090DA"/>
            </w:tcBorders>
          </w:tcPr>
          <w:p>
            <w:pPr>
              <w:spacing w:after="0"/>
              <w:rPr>
                <w:sz w:val="22"/>
                <w:szCs w:val="22"/>
                <w:color w:val="auto"/>
              </w:rPr>
            </w:pPr>
          </w:p>
        </w:tc>
      </w:tr>
      <w:tr>
        <w:trPr>
          <w:trHeight w:val="35"/>
        </w:trPr>
        <w:tc>
          <w:tcPr>
            <w:tcW w:w="5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D1D2D4"/>
          </w:tcPr>
          <w:p>
            <w:pPr>
              <w:spacing w:after="0"/>
              <w:rPr>
                <w:sz w:val="22"/>
                <w:szCs w:val="22"/>
                <w:color w:val="auto"/>
              </w:rPr>
            </w:pPr>
          </w:p>
        </w:tc>
        <w:tc>
          <w:tcPr>
            <w:tcW w:w="70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20 % $</w:t>
            </w:r>
          </w:p>
        </w:tc>
        <w:tc>
          <w:tcPr>
            <w:tcW w:w="10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474</w:t>
            </w:r>
          </w:p>
        </w:tc>
        <w:tc>
          <w:tcPr>
            <w:tcW w:w="960" w:type="dxa"/>
            <w:vAlign w:val="bottom"/>
            <w:gridSpan w:val="2"/>
            <w:shd w:val="clear" w:color="auto" w:fill="D1D2D4"/>
          </w:tcPr>
          <w:p>
            <w:pPr>
              <w:jc w:val="right"/>
              <w:ind w:right="100"/>
              <w:spacing w:after="0"/>
              <w:rPr>
                <w:sz w:val="20"/>
                <w:szCs w:val="20"/>
                <w:color w:val="auto"/>
              </w:rPr>
            </w:pPr>
            <w:r>
              <w:rPr>
                <w:rFonts w:ascii="Arial" w:cs="Arial" w:eastAsia="Arial" w:hAnsi="Arial"/>
                <w:sz w:val="18"/>
                <w:szCs w:val="18"/>
                <w:color w:val="auto"/>
              </w:rPr>
              <w:t>25 % $</w:t>
            </w: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2,211</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61 %</w:t>
            </w:r>
          </w:p>
        </w:tc>
      </w:tr>
      <w:tr>
        <w:trPr>
          <w:trHeight w:val="252"/>
        </w:trPr>
        <w:tc>
          <w:tcPr>
            <w:tcW w:w="552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365</w:t>
            </w:r>
          </w:p>
        </w:tc>
        <w:tc>
          <w:tcPr>
            <w:tcW w:w="740" w:type="dxa"/>
            <w:vAlign w:val="bottom"/>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1,203</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61"/>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4"/>
              </w:rPr>
              <w:t>(22) %</w:t>
            </w:r>
          </w:p>
        </w:tc>
        <w:tc>
          <w:tcPr>
            <w:tcW w:w="16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(248)</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7 %</w:t>
            </w:r>
          </w:p>
        </w:tc>
      </w:tr>
      <w:tr>
        <w:trPr>
          <w:trHeight w:val="252"/>
        </w:trPr>
        <w:tc>
          <w:tcPr>
            <w:tcW w:w="5520" w:type="dxa"/>
            <w:vAlign w:val="bottom"/>
          </w:tcPr>
          <w:p>
            <w:pPr>
              <w:ind w:left="20"/>
              <w:spacing w:after="0"/>
              <w:rPr>
                <w:sz w:val="20"/>
                <w:szCs w:val="20"/>
                <w:color w:val="auto"/>
              </w:rPr>
            </w:pPr>
            <w:r>
              <w:rPr>
                <w:rFonts w:ascii="Arial" w:cs="Arial" w:eastAsia="Arial" w:hAnsi="Arial"/>
                <w:sz w:val="18"/>
                <w:szCs w:val="18"/>
                <w:color w:val="auto"/>
              </w:rPr>
              <w:t>EBU</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740" w:type="dxa"/>
            <w:vAlign w:val="bottom"/>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57"/>
        </w:trPr>
        <w:tc>
          <w:tcPr>
            <w:tcW w:w="5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D1D2D4"/>
          </w:tcPr>
          <w:p>
            <w:pPr>
              <w:spacing w:after="0"/>
              <w:rPr>
                <w:sz w:val="22"/>
                <w:szCs w:val="2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shd w:val="clear" w:color="auto" w:fill="D1D2D4"/>
          </w:tcPr>
          <w:p>
            <w:pPr>
              <w:spacing w:after="0"/>
              <w:rPr>
                <w:sz w:val="22"/>
                <w:szCs w:val="22"/>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29 %</w:t>
            </w:r>
          </w:p>
        </w:tc>
      </w:tr>
      <w:tr>
        <w:trPr>
          <w:trHeight w:val="250"/>
        </w:trPr>
        <w:tc>
          <w:tcPr>
            <w:tcW w:w="55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694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3,887</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
        </w:trPr>
        <w:tc>
          <w:tcPr>
            <w:tcW w:w="55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Changes in operating income or loss for each business unit for the first quarter of 2020 as compared to the fourth quarter of 2019 were as follows:</w:t>
      </w:r>
    </w:p>
    <w:p>
      <w:pPr>
        <w:spacing w:after="0" w:line="17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DRAM pricing.</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pricing.</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0240"/>
        <w:spacing w:after="0"/>
        <w:rPr>
          <w:sz w:val="20"/>
          <w:szCs w:val="20"/>
          <w:color w:val="auto"/>
        </w:rPr>
      </w:pPr>
      <w:r>
        <w:rPr>
          <w:sz w:val="1"/>
          <w:szCs w:val="1"/>
          <w:color w:val="auto"/>
        </w:rPr>
        <w:drawing>
          <wp:inline distT="0" distB="0" distL="0" distR="0">
            <wp:extent cx="591820" cy="1543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4"/>
          <w:szCs w:val="14"/>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29" w:name="page30"/>
    <w:bookmarkEnd w:id="29"/>
    <w:p>
      <w:pPr>
        <w:ind w:left="660" w:right="4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margin improved primarily due to increases in NAND pricing and sales volumes. SBU operating results for the first quarter of 2020 were adversely impacted by an increase in underutilization costs at MTU.</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increased primarily as a result of a reduction in product write-downs and increases in sales volumes.</w:t>
      </w:r>
    </w:p>
    <w:p>
      <w:pPr>
        <w:spacing w:after="0" w:line="230"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Changes in operating income or loss for each business unit for the first quarter of 2020 as compared to the first quarter of 2019 were as follows:</w:t>
      </w:r>
    </w:p>
    <w:p>
      <w:pPr>
        <w:spacing w:after="0" w:line="1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DRAM pricing, partially offset by cost reductions.</w:t>
      </w:r>
    </w:p>
    <w:p>
      <w:pPr>
        <w:spacing w:after="0" w:line="31"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and NAND pricing, partially offset by increases in sales of high-value managed NAND products and manufacturing cost reductions.</w:t>
      </w:r>
    </w:p>
    <w:p>
      <w:pPr>
        <w:ind w:left="660" w:right="6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operating margin declined primarily due to declines in NAND pricing, partially offset by manufacturing cost reductions and increases in sales volumes.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operating income decreased as a result of declines in pricing, partially offset by increases in sales volumes.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5"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the first quarter of 2020 were relatively unchanged as compared to the fourth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2019 and the first quarter of 2019.</w:t>
      </w:r>
    </w:p>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reimbursed under R&amp;D cost-sharing agreements,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R&amp;D expenses for the first quarter of 2020 were 3% higher than the fourth quarter of 2019 primarily due to increases in volumes of development and pre-qualification wafers, partially offset by a $33 million reduction in non-cash depreciation expense from the revision of the estimated useful lives of equipment in our R&amp;D facilities and our NAND wafer fabrication facilities from five years to seven years in the first quarter of 2020.</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R&amp;D expenses for the first quarter of 2020 were 5% higher than the first quarter of 2019 primarily due to a reduction of R&amp;D reimbursements from our partners and increases in volumes of development and pre-qualification wafers, partially offset by lower depreciation expense from the revision of the estimated useful lives of equipment. R&amp;D expenses were reduced by $30 million in the first quarter of 2019 due to reimbursements, primarily from our joint development activities with Intel for 3D NAND and 3D XPoint technologies, which were substantially completed in the third quarter of 2019 and first quarter of 2020,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20" w:type="dxa"/>
            <w:vAlign w:val="bottom"/>
          </w:tcPr>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First Quarter</w:t>
            </w:r>
          </w:p>
        </w:tc>
        <w:tc>
          <w:tcPr>
            <w:tcW w:w="17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Fourth Quarter</w:t>
            </w:r>
          </w:p>
        </w:tc>
        <w:tc>
          <w:tcPr>
            <w:tcW w:w="160" w:type="dxa"/>
            <w:vAlign w:val="bottom"/>
          </w:tcPr>
          <w:p>
            <w:pPr>
              <w:spacing w:after="0"/>
              <w:rPr>
                <w:sz w:val="23"/>
                <w:szCs w:val="23"/>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First Quarter</w:t>
            </w:r>
          </w:p>
        </w:tc>
        <w:tc>
          <w:tcPr>
            <w:tcW w:w="0" w:type="dxa"/>
            <w:vAlign w:val="bottom"/>
          </w:tcPr>
          <w:p>
            <w:pPr>
              <w:spacing w:after="0"/>
              <w:rPr>
                <w:sz w:val="1"/>
                <w:szCs w:val="1"/>
                <w:color w:val="auto"/>
              </w:rPr>
            </w:pPr>
          </w:p>
        </w:tc>
      </w:tr>
      <w:tr>
        <w:trPr>
          <w:trHeight w:val="257"/>
        </w:trPr>
        <w:tc>
          <w:tcPr>
            <w:tcW w:w="6220" w:type="dxa"/>
            <w:vAlign w:val="bottom"/>
            <w:tcBorders>
              <w:bottom w:val="single" w:sz="8" w:color="0090DA"/>
            </w:tcBorders>
          </w:tcPr>
          <w:p>
            <w:pPr>
              <w:spacing w:after="0"/>
              <w:rPr>
                <w:sz w:val="22"/>
                <w:szCs w:val="22"/>
                <w:color w:val="auto"/>
              </w:rPr>
            </w:pPr>
          </w:p>
        </w:tc>
        <w:tc>
          <w:tcPr>
            <w:tcW w:w="160" w:type="dxa"/>
            <w:vAlign w:val="bottom"/>
            <w:tcBorders>
              <w:bottom w:val="single" w:sz="8" w:color="0090DA"/>
            </w:tcBorders>
          </w:tcPr>
          <w:p>
            <w:pPr>
              <w:spacing w:after="0"/>
              <w:rPr>
                <w:sz w:val="22"/>
                <w:szCs w:val="22"/>
                <w:color w:val="auto"/>
              </w:rPr>
            </w:pPr>
          </w:p>
        </w:tc>
        <w:tc>
          <w:tcPr>
            <w:tcW w:w="156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2"/>
                <w:szCs w:val="22"/>
                <w:color w:val="auto"/>
              </w:rPr>
            </w:pPr>
          </w:p>
        </w:tc>
        <w:tc>
          <w:tcPr>
            <w:tcW w:w="14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0090DA"/>
            </w:tcBorders>
          </w:tcPr>
          <w:p>
            <w:pPr>
              <w:spacing w:after="0"/>
              <w:rPr>
                <w:sz w:val="22"/>
                <w:szCs w:val="22"/>
                <w:color w:val="auto"/>
              </w:rPr>
            </w:pPr>
          </w:p>
        </w:tc>
        <w:tc>
          <w:tcPr>
            <w:tcW w:w="156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5"/>
        </w:trPr>
        <w:tc>
          <w:tcPr>
            <w:tcW w:w="6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 excluding items below</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76"/>
        </w:trPr>
        <w:tc>
          <w:tcPr>
            <w:tcW w:w="6220" w:type="dxa"/>
            <w:vAlign w:val="bottom"/>
          </w:tcPr>
          <w:p>
            <w:pPr>
              <w:ind w:left="20"/>
              <w:spacing w:after="0" w:line="176" w:lineRule="exact"/>
              <w:rPr>
                <w:sz w:val="20"/>
                <w:szCs w:val="20"/>
                <w:color w:val="auto"/>
              </w:rPr>
            </w:pPr>
            <w:r>
              <w:rPr>
                <w:rFonts w:ascii="Arial" w:cs="Arial" w:eastAsia="Arial" w:hAnsi="Arial"/>
                <w:sz w:val="18"/>
                <w:szCs w:val="18"/>
                <w:color w:val="auto"/>
              </w:rPr>
              <w:t>Utilization of and other changes in net deferred tax assets of MMJ, MMT, and</w:t>
            </w:r>
          </w:p>
        </w:tc>
        <w:tc>
          <w:tcPr>
            <w:tcW w:w="160" w:type="dxa"/>
            <w:vAlign w:val="bottom"/>
          </w:tcPr>
          <w:p>
            <w:pPr>
              <w:spacing w:after="0"/>
              <w:rPr>
                <w:sz w:val="15"/>
                <w:szCs w:val="15"/>
                <w:color w:val="auto"/>
              </w:rPr>
            </w:pPr>
          </w:p>
        </w:tc>
        <w:tc>
          <w:tcPr>
            <w:tcW w:w="1560" w:type="dxa"/>
            <w:vAlign w:val="bottom"/>
            <w:vMerge w:val="restart"/>
          </w:tcPr>
          <w:p>
            <w:pPr>
              <w:jc w:val="right"/>
              <w:ind w:right="11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5"/>
                <w:szCs w:val="15"/>
                <w:color w:val="auto"/>
              </w:rPr>
            </w:pPr>
          </w:p>
        </w:tc>
        <w:tc>
          <w:tcPr>
            <w:tcW w:w="1400" w:type="dxa"/>
            <w:vAlign w:val="bottom"/>
            <w:vMerge w:val="restart"/>
          </w:tcPr>
          <w:p>
            <w:pPr>
              <w:jc w:val="right"/>
              <w:ind w:right="1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5"/>
                <w:szCs w:val="15"/>
                <w:color w:val="auto"/>
              </w:rPr>
            </w:pPr>
          </w:p>
        </w:tc>
        <w:tc>
          <w:tcPr>
            <w:tcW w:w="1560" w:type="dxa"/>
            <w:vAlign w:val="bottom"/>
            <w:vMerge w:val="restart"/>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MTTW</w:t>
            </w: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160" w:type="dxa"/>
            <w:vAlign w:val="bottom"/>
            <w:tcBorders>
              <w:bottom w:val="single" w:sz="8" w:color="auto"/>
            </w:tcBorders>
            <w:shd w:val="clear" w:color="auto" w:fill="D1D2D4"/>
          </w:tcPr>
          <w:p>
            <w:pPr>
              <w:spacing w:after="0"/>
              <w:rPr>
                <w:sz w:val="22"/>
                <w:szCs w:val="22"/>
                <w:color w:val="auto"/>
              </w:rPr>
            </w:pPr>
          </w:p>
        </w:tc>
        <w:tc>
          <w:tcPr>
            <w:tcW w:w="1560" w:type="dxa"/>
            <w:vAlign w:val="bottom"/>
            <w:tcBorders>
              <w:bottom w:val="single" w:sz="8" w:color="auto"/>
            </w:tcBorders>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spacing w:after="0"/>
              <w:rPr>
                <w:sz w:val="22"/>
                <w:szCs w:val="22"/>
                <w:color w:val="auto"/>
              </w:rPr>
            </w:pPr>
          </w:p>
        </w:tc>
        <w:tc>
          <w:tcPr>
            <w:tcW w:w="1400" w:type="dxa"/>
            <w:vAlign w:val="bottom"/>
            <w:tcBorders>
              <w:bottom w:val="single" w:sz="8" w:color="auto"/>
            </w:tcBorders>
            <w:shd w:val="clear" w:color="auto" w:fill="D1D2D4"/>
          </w:tcPr>
          <w:p>
            <w:pPr>
              <w:jc w:val="right"/>
              <w:ind w:right="17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22"/>
                <w:szCs w:val="22"/>
                <w:color w:val="auto"/>
              </w:rPr>
            </w:pPr>
          </w:p>
        </w:tc>
        <w:tc>
          <w:tcPr>
            <w:tcW w:w="15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5"/>
        </w:trPr>
        <w:tc>
          <w:tcPr>
            <w:tcW w:w="62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622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2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56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4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5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9.8 %</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10.8 %</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decrease in our income tax provision in the first quarter of 2020 as compared to the fourth and first quarters of 2019 was due primarily to reductions in our profit before tax and the foreign minimum tax. Our income taxes include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0" w:name="page31"/>
    <w:bookmarkEnd w:id="30"/>
    <w:p>
      <w:pPr>
        <w:ind w:right="300"/>
        <w:spacing w:after="0" w:line="292" w:lineRule="auto"/>
        <w:rPr>
          <w:sz w:val="20"/>
          <w:szCs w:val="20"/>
          <w:color w:val="auto"/>
        </w:rPr>
      </w:pPr>
      <w:r>
        <w:rPr>
          <w:rFonts w:ascii="Arial" w:cs="Arial" w:eastAsia="Arial" w:hAnsi="Arial"/>
          <w:sz w:val="18"/>
          <w:szCs w:val="18"/>
          <w:color w:val="auto"/>
        </w:rPr>
        <w:t>the effect of operations outside the United States, including Singapore, where we have tax incentive arrangements that further decrease our effective tax rates.</w:t>
      </w:r>
    </w:p>
    <w:p>
      <w:pPr>
        <w:spacing w:after="0" w:line="17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which expire in whole or in part at various dates through 2034, that are conditional, in part, upon meeting certain business operations and employment thresholds. The effects of tax incentive arrangements were not significant to our tax provision for the first quarter of 2020 or the fourth quarter of 2019. These arrangements reduced our tax provision for the first quarter of 2019 by $427 million (benefiting our diluted earnings per share by $0.36).</w:t>
      </w:r>
    </w:p>
    <w:p>
      <w:pPr>
        <w:spacing w:after="0" w:line="200"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the first quarter of 2020 increased 21% as compared to the fourth quarter of 2019 primarily due to debt issuances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quarter of 2020 and fourth quarter of 2019. Interest income for the first quarter of 2020 decreased 23% as compared to the fourth quarter of 2019 primarily due to decreases in interest rates and our cash and investment balances.</w:t>
      </w:r>
    </w:p>
    <w:p>
      <w:pPr>
        <w:spacing w:after="0" w:line="19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Interest expense for the first quarter of 2020 increased 42% as compared to the first quarter of 2020 primarily due to increases in debt obligations. Interest income for the first quarter of 2020 increased 16% as compared to the first quarter of 2019 as a result of increases in our cash and investment balances.</w:t>
      </w:r>
    </w:p>
    <w:p>
      <w:pPr>
        <w:spacing w:after="0" w:line="19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Further discussion of other operating and non-operating income and expenses can be found in the notes contained in “Item 1. Financial Statements – Notes to Consolidated Financial Statements – Equity Plans, Other Operating Income (Expense), Net, and Other Non-Operating Income (Expense), Net” notes.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November 28, 2019, we had an undrawn revolving credit facility that provides for borrowings of up to $2.50 billion and matures in July 2023. We expect that our cash and investments, cash flows from operations, and available financing will be sufficient to meet our requirements at least through the next 12 months.</w:t>
      </w:r>
    </w:p>
    <w:p>
      <w:pPr>
        <w:spacing w:after="0" w:line="2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develop new product and process technology, support future growth, achieve operating efficiencies, and maintain product quality, we must continue to invest in manufacturing technologies, facilities and equipment, and R&amp;D. We estimate that capital expenditures in 2020 for property, plant, and equipment, net of partner contributions, to be $7 billion to $ 8 billion, focused on technology transitions and product enablement. The actual amounts for 2020 will vary depending on market conditions. As of November 28, 2019, we had commitments of approximately $3.1 billion for the acquisition of property, plant, and equipment, of which approximately $2.5 billion is expected to be paid within one year.</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does not obligate us to acquire any common stock and is subject to market conditions and our ongoing determination of the best use of available cash. Through November 28, 2019, we had repurchased an aggregate of $2.71 billion of the authorized amount. See “Item 8. Financial Statements and Supplementary Data – Notes to Consolidated Financial Statements – Equity.”</w:t>
      </w:r>
    </w:p>
    <w:p>
      <w:pPr>
        <w:spacing w:after="0" w:line="20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Cash and marketable investments totaled $8.19 billion as of November 28, 2019 and $9.12 billion as of August 29, 2019. Our investments consist primarily of bank deposits, money market funds, and liquid investment 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 As of November 28, 2019, $3.2 billion of our cash and marketable investments was held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b w:val="1"/>
          <w:bCs w:val="1"/>
          <w:i w:val="1"/>
          <w:iCs w:val="1"/>
          <w:color w:val="auto"/>
        </w:rPr>
        <w:t>Limitations on the Use of Cash and Investments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as of November 28, 2019 included $463 million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MMJ. As a result of the corporate reorganization proceedings of MMJ initiated in March 2012, and for so long as such proceedings are continuing, MMJ is prohibited from paying dividends to us. In addition, pursuant to an order of the Tokyo District Court, MMJ cannot make loans or advances, other than certain ordinary course advances, to us without the consent of the Tokyo District Court and may, under certain circumstances, be subject to the approval of the legal trustee. As a result, the assets of MMJ are not available for use by us in our other operations. Furthermore, certain uses of the assets of MMJ, including investments in certain capital expenditures, may require consent of MMJ’s trustees and/or the Tokyo District Court.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500" w:type="dxa"/>
            <w:vAlign w:val="bottom"/>
          </w:tcPr>
          <w:p>
            <w:pPr>
              <w:spacing w:after="0"/>
              <w:rPr>
                <w:sz w:val="23"/>
                <w:szCs w:val="23"/>
                <w:color w:val="auto"/>
              </w:rPr>
            </w:pPr>
          </w:p>
        </w:tc>
        <w:tc>
          <w:tcPr>
            <w:tcW w:w="320" w:type="dxa"/>
            <w:vAlign w:val="bottom"/>
            <w:tcBorders>
              <w:bottom w:val="single" w:sz="8" w:color="0090DA"/>
            </w:tcBorders>
          </w:tcPr>
          <w:p>
            <w:pPr>
              <w:spacing w:after="0"/>
              <w:rPr>
                <w:sz w:val="23"/>
                <w:szCs w:val="23"/>
                <w:color w:val="auto"/>
              </w:rPr>
            </w:pPr>
          </w:p>
        </w:tc>
        <w:tc>
          <w:tcPr>
            <w:tcW w:w="2580" w:type="dxa"/>
            <w:vAlign w:val="bottom"/>
            <w:tcBorders>
              <w:bottom w:val="single" w:sz="8" w:color="0090DA"/>
            </w:tcBorders>
            <w:gridSpan w:val="3"/>
          </w:tcPr>
          <w:p>
            <w:pPr>
              <w:jc w:val="right"/>
              <w:ind w:right="830"/>
              <w:spacing w:after="0"/>
              <w:rPr>
                <w:sz w:val="20"/>
                <w:szCs w:val="20"/>
                <w:color w:val="auto"/>
              </w:rPr>
            </w:pPr>
            <w:r>
              <w:rPr>
                <w:rFonts w:ascii="Arial" w:cs="Arial" w:eastAsia="Arial" w:hAnsi="Arial"/>
                <w:sz w:val="18"/>
                <w:szCs w:val="18"/>
                <w:b w:val="1"/>
                <w:bCs w:val="1"/>
                <w:color w:val="auto"/>
              </w:rPr>
              <w:t>First Quarter</w:t>
            </w:r>
          </w:p>
        </w:tc>
      </w:tr>
      <w:tr>
        <w:trPr>
          <w:trHeight w:val="250"/>
        </w:trPr>
        <w:tc>
          <w:tcPr>
            <w:tcW w:w="20" w:type="dxa"/>
            <w:vAlign w:val="bottom"/>
          </w:tcPr>
          <w:p>
            <w:pPr>
              <w:spacing w:after="0"/>
              <w:rPr>
                <w:sz w:val="21"/>
                <w:szCs w:val="21"/>
                <w:color w:val="auto"/>
              </w:rPr>
            </w:pPr>
          </w:p>
        </w:tc>
        <w:tc>
          <w:tcPr>
            <w:tcW w:w="8500" w:type="dxa"/>
            <w:vAlign w:val="bottom"/>
            <w:tcBorders>
              <w:bottom w:val="single" w:sz="8" w:color="0090DA"/>
            </w:tcBorders>
          </w:tcPr>
          <w:p>
            <w:pPr>
              <w:spacing w:after="0"/>
              <w:rPr>
                <w:sz w:val="21"/>
                <w:szCs w:val="21"/>
                <w:color w:val="auto"/>
              </w:rPr>
            </w:pPr>
          </w:p>
        </w:tc>
        <w:tc>
          <w:tcPr>
            <w:tcW w:w="3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35"/>
        </w:trPr>
        <w:tc>
          <w:tcPr>
            <w:tcW w:w="20" w:type="dxa"/>
            <w:vAlign w:val="bottom"/>
          </w:tcPr>
          <w:p>
            <w:pPr>
              <w:spacing w:after="0"/>
              <w:rPr>
                <w:sz w:val="3"/>
                <w:szCs w:val="3"/>
                <w:color w:val="auto"/>
              </w:rPr>
            </w:pPr>
          </w:p>
        </w:tc>
        <w:tc>
          <w:tcPr>
            <w:tcW w:w="8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8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2,011</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4,810</w:t>
            </w:r>
          </w:p>
        </w:tc>
      </w:tr>
      <w:tr>
        <w:trPr>
          <w:trHeight w:val="252"/>
        </w:trPr>
        <w:tc>
          <w:tcPr>
            <w:tcW w:w="2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(1,189)</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(4,427)</w:t>
            </w:r>
          </w:p>
        </w:tc>
      </w:tr>
      <w:tr>
        <w:trPr>
          <w:trHeight w:val="261"/>
        </w:trPr>
        <w:tc>
          <w:tcPr>
            <w:tcW w:w="20" w:type="dxa"/>
            <w:vAlign w:val="bottom"/>
          </w:tcPr>
          <w:p>
            <w:pPr>
              <w:spacing w:after="0"/>
              <w:rPr>
                <w:sz w:val="22"/>
                <w:szCs w:val="22"/>
                <w:color w:val="auto"/>
              </w:rPr>
            </w:pPr>
          </w:p>
        </w:tc>
        <w:tc>
          <w:tcPr>
            <w:tcW w:w="8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(2,435)</w:t>
            </w:r>
          </w:p>
        </w:tc>
      </w:tr>
      <w:tr>
        <w:trPr>
          <w:trHeight w:val="257"/>
        </w:trPr>
        <w:tc>
          <w:tcPr>
            <w:tcW w:w="20" w:type="dxa"/>
            <w:vAlign w:val="bottom"/>
          </w:tcPr>
          <w:p>
            <w:pPr>
              <w:spacing w:after="0"/>
              <w:rPr>
                <w:sz w:val="22"/>
                <w:szCs w:val="22"/>
                <w:color w:val="auto"/>
              </w:rPr>
            </w:pPr>
          </w:p>
        </w:tc>
        <w:tc>
          <w:tcPr>
            <w:tcW w:w="85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5"/>
        </w:trPr>
        <w:tc>
          <w:tcPr>
            <w:tcW w:w="20" w:type="dxa"/>
            <w:vAlign w:val="bottom"/>
          </w:tcPr>
          <w:p>
            <w:pPr>
              <w:spacing w:after="0"/>
              <w:rPr>
                <w:sz w:val="23"/>
                <w:szCs w:val="23"/>
                <w:color w:val="auto"/>
              </w:rPr>
            </w:pPr>
          </w:p>
        </w:tc>
        <w:tc>
          <w:tcPr>
            <w:tcW w:w="85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(2,062)</w:t>
            </w: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For the first quarter of 2020, cash provided by operating activities was due primarily to cash generated by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working capital adjustments, which included the effects of 1) an increase in accounts payable and accrued expenses from timing of payments and 2) a decrease in inventories, partially offset by the effects of an increase in receivables due to a higher level of revenue. For the first quarter of 2019, cash provided by operating activities was due primarily to net income and the effect of working capital adjustments, which included the effects of 1) a decrease in net deferred tax assets and 2) a decrease in receivables due to a lower level of revenue, partially offset by the effects of an increase in inventories.</w:t>
      </w:r>
    </w:p>
    <w:p>
      <w:pPr>
        <w:spacing w:after="0" w:line="20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the first quarter of 2020, net cash used for investing activities consisted primarily of $1.93 billion of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(net of partner contributions) partially offset by $744 million of net inflows from sales, maturities, and purchases of available-for-sale securities. For the first quarter of 2019, net cash used for investing activities consisted primarily of $2.46 billion of expenditures for property, plant, and equipment (net of partner contributions) and $1.91 billion of net outflows from sales, maturities, and purchases of available-for-sale securities.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the first quarter of 2020, net cash used for financing activities consisted primarily of $1.42 billion cash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our debt, including $621 million for IMFT Member Debt repayments, $ 534 million to prepay the 2025 Notes, $196 million to settle conversions of notes, $64 million for scheduled repayment of finance leases, $744 million for the acquisition of noncontrolling interest in IMFT, and $50 million for the acquisition of 1 million shares of treasury stock under our $10 billion share repurchase authorization. Cash used for financing activities was partially offset by net proceeds of $1.25 billion from borrowing the 2024 Term Loan A. For the first quarter of 2019, net cash used for financing activities consisted primarily of $1.80 billion for the acquisition of 42 million shares of treasury stock and cash payments to reduce our debt, including $413 million for scheduled repayment of other notes and capital leases and $164 million to settle conversions of notes.</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Potential Settlement Obligations of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price of our common stock exceeded 130% of the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per share of all our convertible notes for at least 20 trading days in the 30 trading day period ended on September 30, 2019, holders may convert these notes through the calendar quarter ended December 31, 2019. Additionally, the closing price of our common stock also exceeded the thresholds for the calendar quarter ended December 31, 2019; therefore, such notes are convertible by the holders at any time through March 31, 2020. The following table summarizes the potential settlements that we could be required to make for the calendar quarter ending December 31, 2019 if all holders converted their notes. The amounts in the table below are based on our closing share price of $48.16 as of November 28, 2019.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If Settled With Minimum Cash</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2180" w:type="dxa"/>
            <w:vAlign w:val="bottom"/>
          </w:tcPr>
          <w:p>
            <w:pPr>
              <w:spacing w:after="0"/>
              <w:rPr>
                <w:sz w:val="19"/>
                <w:szCs w:val="19"/>
                <w:color w:val="auto"/>
              </w:rPr>
            </w:pPr>
          </w:p>
        </w:tc>
        <w:tc>
          <w:tcPr>
            <w:tcW w:w="4160" w:type="dxa"/>
            <w:vAlign w:val="bottom"/>
            <w:tcBorders>
              <w:bottom w:val="single" w:sz="8" w:color="0090DA"/>
            </w:tcBorders>
            <w:gridSpan w:val="2"/>
          </w:tcPr>
          <w:p>
            <w:pPr>
              <w:ind w:left="1380"/>
              <w:spacing w:after="0"/>
              <w:rPr>
                <w:sz w:val="20"/>
                <w:szCs w:val="20"/>
                <w:color w:val="auto"/>
              </w:rPr>
            </w:pPr>
            <w:r>
              <w:rPr>
                <w:rFonts w:ascii="Arial" w:cs="Arial" w:eastAsia="Arial" w:hAnsi="Arial"/>
                <w:sz w:val="16"/>
                <w:szCs w:val="16"/>
                <w:b w:val="1"/>
                <w:bCs w:val="1"/>
                <w:color w:val="auto"/>
              </w:rPr>
              <w:t>Settlement Option</w:t>
            </w:r>
          </w:p>
        </w:tc>
        <w:tc>
          <w:tcPr>
            <w:tcW w:w="122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2100" w:type="dxa"/>
            <w:vAlign w:val="bottom"/>
            <w:tcBorders>
              <w:bottom w:val="single" w:sz="8" w:color="0090DA"/>
            </w:tcBorders>
            <w:gridSpan w:val="2"/>
          </w:tcPr>
          <w:p>
            <w:pPr>
              <w:jc w:val="right"/>
              <w:ind w:right="734"/>
              <w:spacing w:after="0"/>
              <w:rPr>
                <w:sz w:val="20"/>
                <w:szCs w:val="20"/>
                <w:color w:val="auto"/>
              </w:rPr>
            </w:pPr>
            <w:r>
              <w:rPr>
                <w:rFonts w:ascii="Arial" w:cs="Arial" w:eastAsia="Arial" w:hAnsi="Arial"/>
                <w:sz w:val="16"/>
                <w:szCs w:val="16"/>
                <w:b w:val="1"/>
                <w:bCs w:val="1"/>
                <w:color w:val="auto"/>
              </w:rPr>
              <w:t>Required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96"/>
        </w:trPr>
        <w:tc>
          <w:tcPr>
            <w:tcW w:w="2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40" w:type="dxa"/>
            <w:vAlign w:val="bottom"/>
          </w:tcPr>
          <w:p>
            <w:pPr>
              <w:jc w:val="center"/>
              <w:ind w:left="74"/>
              <w:spacing w:after="0"/>
              <w:rPr>
                <w:sz w:val="20"/>
                <w:szCs w:val="20"/>
                <w:color w:val="auto"/>
              </w:rPr>
            </w:pPr>
            <w:r>
              <w:rPr>
                <w:rFonts w:ascii="Arial" w:cs="Arial" w:eastAsia="Arial" w:hAnsi="Arial"/>
                <w:sz w:val="16"/>
                <w:szCs w:val="16"/>
                <w:b w:val="1"/>
                <w:bCs w:val="1"/>
                <w:color w:val="auto"/>
              </w:rPr>
              <w:t>Amount in Excess of</w:t>
            </w:r>
          </w:p>
        </w:tc>
        <w:tc>
          <w:tcPr>
            <w:tcW w:w="1220" w:type="dxa"/>
            <w:vAlign w:val="bottom"/>
          </w:tcPr>
          <w:p>
            <w:pPr>
              <w:jc w:val="right"/>
              <w:ind w:right="94"/>
              <w:spacing w:after="0"/>
              <w:rPr>
                <w:sz w:val="20"/>
                <w:szCs w:val="20"/>
                <w:color w:val="auto"/>
              </w:rPr>
            </w:pPr>
            <w:r>
              <w:rPr>
                <w:rFonts w:ascii="Arial" w:cs="Arial" w:eastAsia="Arial" w:hAnsi="Arial"/>
                <w:sz w:val="16"/>
                <w:szCs w:val="16"/>
                <w:b w:val="1"/>
                <w:bCs w:val="1"/>
                <w:color w:val="auto"/>
              </w:rPr>
              <w:t>Underlying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Remainder in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If Settled Entirely</w:t>
            </w:r>
          </w:p>
        </w:tc>
      </w:tr>
      <w:tr>
        <w:trPr>
          <w:trHeight w:val="232"/>
        </w:trPr>
        <w:tc>
          <w:tcPr>
            <w:tcW w:w="2180" w:type="dxa"/>
            <w:vAlign w:val="bottom"/>
            <w:tcBorders>
              <w:bottom w:val="single" w:sz="8" w:color="0090DA"/>
            </w:tcBorders>
          </w:tcPr>
          <w:p>
            <w:pPr>
              <w:spacing w:after="0"/>
              <w:rPr>
                <w:sz w:val="20"/>
                <w:szCs w:val="20"/>
                <w:color w:val="auto"/>
              </w:rPr>
            </w:pPr>
          </w:p>
        </w:tc>
        <w:tc>
          <w:tcPr>
            <w:tcW w:w="1920" w:type="dxa"/>
            <w:vAlign w:val="bottom"/>
            <w:tcBorders>
              <w:bottom w:val="single" w:sz="8" w:color="0090DA"/>
            </w:tcBorders>
          </w:tcPr>
          <w:p>
            <w:pPr>
              <w:ind w:left="380"/>
              <w:spacing w:after="0"/>
              <w:rPr>
                <w:sz w:val="20"/>
                <w:szCs w:val="20"/>
                <w:color w:val="auto"/>
              </w:rPr>
            </w:pPr>
            <w:r>
              <w:rPr>
                <w:rFonts w:ascii="Arial" w:cs="Arial" w:eastAsia="Arial" w:hAnsi="Arial"/>
                <w:sz w:val="16"/>
                <w:szCs w:val="16"/>
                <w:b w:val="1"/>
                <w:bCs w:val="1"/>
                <w:color w:val="auto"/>
              </w:rPr>
              <w:t>Principal Amount</w:t>
            </w:r>
          </w:p>
        </w:tc>
        <w:tc>
          <w:tcPr>
            <w:tcW w:w="2240" w:type="dxa"/>
            <w:vAlign w:val="bottom"/>
            <w:tcBorders>
              <w:bottom w:val="single" w:sz="8" w:color="0090DA"/>
            </w:tcBorders>
          </w:tcPr>
          <w:p>
            <w:pPr>
              <w:jc w:val="center"/>
              <w:ind w:left="74"/>
              <w:spacing w:after="0"/>
              <w:rPr>
                <w:sz w:val="20"/>
                <w:szCs w:val="20"/>
                <w:color w:val="auto"/>
              </w:rPr>
            </w:pPr>
            <w:r>
              <w:rPr>
                <w:rFonts w:ascii="Arial" w:cs="Arial" w:eastAsia="Arial" w:hAnsi="Arial"/>
                <w:sz w:val="16"/>
                <w:szCs w:val="16"/>
                <w:b w:val="1"/>
                <w:bCs w:val="1"/>
                <w:color w:val="auto"/>
              </w:rPr>
              <w:t>Principal</w:t>
            </w:r>
          </w:p>
        </w:tc>
        <w:tc>
          <w:tcPr>
            <w:tcW w:w="1220" w:type="dxa"/>
            <w:vAlign w:val="bottom"/>
            <w:tcBorders>
              <w:bottom w:val="single" w:sz="8" w:color="0090DA"/>
            </w:tcBorders>
          </w:tcPr>
          <w:p>
            <w:pPr>
              <w:jc w:val="right"/>
              <w:ind w:right="254"/>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0090DA"/>
            </w:tcBorders>
          </w:tcPr>
          <w:p>
            <w:pPr>
              <w:spacing w:after="0"/>
              <w:rPr>
                <w:sz w:val="20"/>
                <w:szCs w:val="20"/>
                <w:color w:val="auto"/>
              </w:rPr>
            </w:pPr>
          </w:p>
        </w:tc>
        <w:tc>
          <w:tcPr>
            <w:tcW w:w="880" w:type="dxa"/>
            <w:vAlign w:val="bottom"/>
            <w:tcBorders>
              <w:bottom w:val="single" w:sz="8" w:color="0090DA"/>
            </w:tcBorders>
          </w:tcPr>
          <w:p>
            <w:pPr>
              <w:jc w:val="right"/>
              <w:ind w:right="274"/>
              <w:spacing w:after="0"/>
              <w:rPr>
                <w:sz w:val="20"/>
                <w:szCs w:val="20"/>
                <w:color w:val="auto"/>
              </w:rPr>
            </w:pPr>
            <w:r>
              <w:rPr>
                <w:rFonts w:ascii="Arial" w:cs="Arial" w:eastAsia="Arial" w:hAnsi="Arial"/>
                <w:sz w:val="16"/>
                <w:szCs w:val="16"/>
                <w:b w:val="1"/>
                <w:bCs w:val="1"/>
                <w:color w:val="auto"/>
              </w:rPr>
              <w:t>Cash</w:t>
            </w:r>
          </w:p>
        </w:tc>
        <w:tc>
          <w:tcPr>
            <w:tcW w:w="1220" w:type="dxa"/>
            <w:vAlign w:val="bottom"/>
            <w:tcBorders>
              <w:bottom w:val="single" w:sz="8" w:color="0090DA"/>
            </w:tcBorders>
          </w:tcPr>
          <w:p>
            <w:pPr>
              <w:jc w:val="right"/>
              <w:ind w:right="234"/>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232"/>
              <w:spacing w:after="0"/>
              <w:rPr>
                <w:sz w:val="20"/>
                <w:szCs w:val="20"/>
                <w:color w:val="auto"/>
              </w:rPr>
            </w:pPr>
            <w:r>
              <w:rPr>
                <w:rFonts w:ascii="Arial" w:cs="Arial" w:eastAsia="Arial" w:hAnsi="Arial"/>
                <w:sz w:val="16"/>
                <w:szCs w:val="16"/>
                <w:b w:val="1"/>
                <w:bCs w:val="1"/>
                <w:color w:val="auto"/>
              </w:rPr>
              <w:t>With Cash</w:t>
            </w:r>
          </w:p>
        </w:tc>
      </w:tr>
      <w:tr>
        <w:trPr>
          <w:trHeight w:val="38"/>
        </w:trPr>
        <w:tc>
          <w:tcPr>
            <w:tcW w:w="2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7"/>
        </w:trPr>
        <w:tc>
          <w:tcPr>
            <w:tcW w:w="2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and/or shares</w:t>
            </w:r>
          </w:p>
        </w:tc>
        <w:tc>
          <w:tcPr>
            <w:tcW w:w="22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and/or shares</w:t>
            </w:r>
          </w:p>
        </w:tc>
        <w:tc>
          <w:tcPr>
            <w:tcW w:w="1220" w:type="dxa"/>
            <w:vAlign w:val="bottom"/>
            <w:shd w:val="clear" w:color="auto" w:fill="D1D2D4"/>
          </w:tcPr>
          <w:p>
            <w:pPr>
              <w:jc w:val="right"/>
              <w:ind w:right="74"/>
              <w:spacing w:after="0"/>
              <w:rPr>
                <w:sz w:val="20"/>
                <w:szCs w:val="20"/>
                <w:color w:val="auto"/>
              </w:rPr>
            </w:pPr>
            <w:r>
              <w:rPr>
                <w:rFonts w:ascii="Arial" w:cs="Arial" w:eastAsia="Arial" w:hAnsi="Arial"/>
                <w:sz w:val="18"/>
                <w:szCs w:val="18"/>
                <w:color w:val="auto"/>
              </w:rPr>
              <w:t>13</w:t>
            </w:r>
          </w:p>
        </w:tc>
        <w:tc>
          <w:tcPr>
            <w:tcW w:w="260" w:type="dxa"/>
            <w:vAlign w:val="bottom"/>
            <w:shd w:val="clear" w:color="auto" w:fill="D1D2D4"/>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ind w:right="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ind w:right="54"/>
              <w:spacing w:after="0"/>
              <w:rPr>
                <w:sz w:val="20"/>
                <w:szCs w:val="20"/>
                <w:color w:val="auto"/>
              </w:rPr>
            </w:pPr>
            <w:r>
              <w:rPr>
                <w:rFonts w:ascii="Arial" w:cs="Arial" w:eastAsia="Arial" w:hAnsi="Arial"/>
                <w:sz w:val="18"/>
                <w:szCs w:val="18"/>
                <w:color w:val="auto"/>
              </w:rPr>
              <w:t>13</w:t>
            </w:r>
          </w:p>
        </w:tc>
        <w:tc>
          <w:tcPr>
            <w:tcW w:w="240" w:type="dxa"/>
            <w:vAlign w:val="bottom"/>
            <w:shd w:val="clear" w:color="auto" w:fill="D1D2D4"/>
          </w:tcPr>
          <w:p>
            <w:pPr>
              <w:jc w:val="right"/>
              <w:ind w:right="33"/>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72"/>
              <w:spacing w:after="0"/>
              <w:rPr>
                <w:sz w:val="20"/>
                <w:szCs w:val="20"/>
                <w:color w:val="auto"/>
              </w:rPr>
            </w:pPr>
            <w:r>
              <w:rPr>
                <w:rFonts w:ascii="Arial" w:cs="Arial" w:eastAsia="Arial" w:hAnsi="Arial"/>
                <w:sz w:val="18"/>
                <w:szCs w:val="18"/>
                <w:color w:val="auto"/>
              </w:rPr>
              <w:t>645</w:t>
            </w:r>
          </w:p>
        </w:tc>
      </w:tr>
      <w:tr>
        <w:trPr>
          <w:trHeight w:val="257"/>
        </w:trPr>
        <w:tc>
          <w:tcPr>
            <w:tcW w:w="21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2033F Notes</w:t>
            </w:r>
          </w:p>
        </w:tc>
        <w:tc>
          <w:tcPr>
            <w:tcW w:w="19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w:t>
            </w:r>
          </w:p>
        </w:tc>
        <w:tc>
          <w:tcPr>
            <w:tcW w:w="224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Cash and/or shares</w:t>
            </w: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73</w:t>
            </w:r>
          </w:p>
        </w:tc>
      </w:tr>
      <w:tr>
        <w:trPr>
          <w:trHeight w:val="270"/>
        </w:trPr>
        <w:tc>
          <w:tcPr>
            <w:tcW w:w="2180" w:type="dxa"/>
            <w:vAlign w:val="bottom"/>
            <w:tcBorders>
              <w:bottom w:val="single" w:sz="8" w:color="D1D2D4"/>
            </w:tcBorders>
            <w:shd w:val="clear" w:color="auto" w:fill="D1D2D4"/>
          </w:tcPr>
          <w:p>
            <w:pPr>
              <w:spacing w:after="0"/>
              <w:rPr>
                <w:sz w:val="23"/>
                <w:szCs w:val="23"/>
                <w:color w:val="auto"/>
              </w:rPr>
            </w:pPr>
          </w:p>
        </w:tc>
        <w:tc>
          <w:tcPr>
            <w:tcW w:w="1920" w:type="dxa"/>
            <w:vAlign w:val="bottom"/>
            <w:tcBorders>
              <w:bottom w:val="single" w:sz="8" w:color="D1D2D4"/>
            </w:tcBorders>
            <w:shd w:val="clear" w:color="auto" w:fill="D1D2D4"/>
          </w:tcPr>
          <w:p>
            <w:pPr>
              <w:spacing w:after="0"/>
              <w:rPr>
                <w:sz w:val="23"/>
                <w:szCs w:val="23"/>
                <w:color w:val="auto"/>
              </w:rPr>
            </w:pPr>
          </w:p>
        </w:tc>
        <w:tc>
          <w:tcPr>
            <w:tcW w:w="2240" w:type="dxa"/>
            <w:vAlign w:val="bottom"/>
            <w:tcBorders>
              <w:bottom w:val="single" w:sz="8" w:color="D1D2D4"/>
            </w:tcBorders>
            <w:shd w:val="clear" w:color="auto" w:fill="D1D2D4"/>
          </w:tcPr>
          <w:p>
            <w:pPr>
              <w:spacing w:after="0"/>
              <w:rPr>
                <w:sz w:val="23"/>
                <w:szCs w:val="23"/>
                <w:color w:val="auto"/>
              </w:rPr>
            </w:pPr>
          </w:p>
        </w:tc>
        <w:tc>
          <w:tcPr>
            <w:tcW w:w="1220" w:type="dxa"/>
            <w:vAlign w:val="bottom"/>
            <w:tcBorders>
              <w:bottom w:val="single" w:sz="8" w:color="auto"/>
            </w:tcBorders>
            <w:shd w:val="clear" w:color="auto" w:fill="D1D2D4"/>
          </w:tcPr>
          <w:p>
            <w:pPr>
              <w:jc w:val="right"/>
              <w:ind w:right="74"/>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D1D2D4"/>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1D2D4"/>
          </w:tcPr>
          <w:p>
            <w:pPr>
              <w:jc w:val="right"/>
              <w:ind w:right="54"/>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shd w:val="clear" w:color="auto" w:fill="D1D2D4"/>
          </w:tcPr>
          <w:p>
            <w:pPr>
              <w:jc w:val="right"/>
              <w:ind w:right="54"/>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D1D2D4"/>
          </w:tcPr>
          <w:p>
            <w:pPr>
              <w:jc w:val="right"/>
              <w:ind w:right="3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ind w:right="72"/>
              <w:spacing w:after="0"/>
              <w:rPr>
                <w:sz w:val="20"/>
                <w:szCs w:val="20"/>
                <w:color w:val="auto"/>
              </w:rPr>
            </w:pPr>
            <w:r>
              <w:rPr>
                <w:rFonts w:ascii="Arial" w:cs="Arial" w:eastAsia="Arial" w:hAnsi="Arial"/>
                <w:sz w:val="18"/>
                <w:szCs w:val="18"/>
                <w:color w:val="auto"/>
              </w:rPr>
              <w:t>718</w:t>
            </w:r>
          </w:p>
        </w:tc>
      </w:tr>
      <w:tr>
        <w:trPr>
          <w:trHeight w:val="20"/>
        </w:trPr>
        <w:tc>
          <w:tcPr>
            <w:tcW w:w="2180" w:type="dxa"/>
            <w:vAlign w:val="bottom"/>
            <w:tcBorders>
              <w:top w:val="single" w:sz="8" w:color="D1D2D4"/>
            </w:tcBorders>
          </w:tcPr>
          <w:p>
            <w:pPr>
              <w:spacing w:after="0" w:line="20" w:lineRule="exact"/>
              <w:rPr>
                <w:sz w:val="1"/>
                <w:szCs w:val="1"/>
                <w:color w:val="auto"/>
              </w:rPr>
            </w:pPr>
          </w:p>
        </w:tc>
        <w:tc>
          <w:tcPr>
            <w:tcW w:w="1920" w:type="dxa"/>
            <w:vAlign w:val="bottom"/>
            <w:tcBorders>
              <w:top w:val="single" w:sz="8" w:color="D1D2D4"/>
            </w:tcBorders>
          </w:tcPr>
          <w:p>
            <w:pPr>
              <w:spacing w:after="0" w:line="20" w:lineRule="exact"/>
              <w:rPr>
                <w:sz w:val="1"/>
                <w:szCs w:val="1"/>
                <w:color w:val="auto"/>
              </w:rPr>
            </w:pPr>
          </w:p>
        </w:tc>
        <w:tc>
          <w:tcPr>
            <w:tcW w:w="2240" w:type="dxa"/>
            <w:vAlign w:val="bottom"/>
            <w:tcBorders>
              <w:top w:val="single" w:sz="8" w:color="D1D2D4"/>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88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Leases" and "– Debt."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6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in our Annual Report on Form 10-K for the year ended August 29, 2019.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20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During the first quarter of 2020, there were no changes in our internal control over financial reporting that have materially affected, or are reasonably likely to materially affect, our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28"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29, 2019 and “Part I. Financial Information – Item 1. Financial Statements – Notes to Consolidated Financial Statements – Contingencies” and “Item 1A. Risk Factors” herein.</w:t>
      </w:r>
    </w:p>
    <w:p>
      <w:pPr>
        <w:sectPr>
          <w:pgSz w:w="11900" w:h="16838" w:orient="portrait"/>
          <w:cols w:equalWidth="0" w:num="1">
            <w:col w:w="11420"/>
          </w:cols>
          <w:pgMar w:left="240" w:top="9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40"/>
        <w:spacing w:after="0"/>
        <w:rPr>
          <w:sz w:val="20"/>
          <w:szCs w:val="20"/>
          <w:color w:val="auto"/>
        </w:rPr>
      </w:pPr>
      <w:r>
        <w:rPr>
          <w:sz w:val="1"/>
          <w:szCs w:val="1"/>
          <w:color w:val="auto"/>
        </w:rPr>
        <w:drawing>
          <wp:inline distT="0" distB="0" distL="0" distR="0">
            <wp:extent cx="591820" cy="1543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4"/>
          <w:szCs w:val="14"/>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ITEM 1A. RISK FACTORS</w:t>
      </w:r>
    </w:p>
    <w:p>
      <w:pPr>
        <w:spacing w:after="0" w:line="26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700" w:type="dxa"/>
            <w:vAlign w:val="bottom"/>
          </w:tcPr>
          <w:p>
            <w:pPr>
              <w:spacing w:after="0"/>
              <w:rPr>
                <w:sz w:val="22"/>
                <w:szCs w:val="22"/>
                <w:color w:val="auto"/>
              </w:rPr>
            </w:pPr>
          </w:p>
        </w:tc>
        <w:tc>
          <w:tcPr>
            <w:tcW w:w="1260" w:type="dxa"/>
            <w:vAlign w:val="bottom"/>
            <w:tcBorders>
              <w:bottom w:val="single" w:sz="8" w:color="0090DA"/>
            </w:tcBorders>
          </w:tcPr>
          <w:p>
            <w:pPr>
              <w:ind w:left="660"/>
              <w:spacing w:after="0"/>
              <w:rPr>
                <w:sz w:val="20"/>
                <w:szCs w:val="20"/>
                <w:color w:val="auto"/>
              </w:rPr>
            </w:pPr>
            <w:r>
              <w:rPr>
                <w:rFonts w:ascii="Arial" w:cs="Arial" w:eastAsia="Arial" w:hAnsi="Arial"/>
                <w:sz w:val="18"/>
                <w:szCs w:val="18"/>
                <w:b w:val="1"/>
                <w:bCs w:val="1"/>
                <w:color w:val="auto"/>
              </w:rPr>
              <w:t>DRAM</w:t>
            </w:r>
          </w:p>
        </w:tc>
        <w:tc>
          <w:tcPr>
            <w:tcW w:w="920" w:type="dxa"/>
            <w:vAlign w:val="bottom"/>
            <w:tcBorders>
              <w:bottom w:val="single" w:sz="8" w:color="0090DA"/>
            </w:tcBorders>
          </w:tcPr>
          <w:p>
            <w:pPr>
              <w:spacing w:after="0"/>
              <w:rPr>
                <w:sz w:val="22"/>
                <w:szCs w:val="22"/>
                <w:color w:val="auto"/>
              </w:rPr>
            </w:pPr>
          </w:p>
        </w:tc>
        <w:tc>
          <w:tcPr>
            <w:tcW w:w="1520" w:type="dxa"/>
            <w:vAlign w:val="bottom"/>
            <w:tcBorders>
              <w:bottom w:val="single" w:sz="8" w:color="0090DA"/>
            </w:tcBorders>
          </w:tcPr>
          <w:p>
            <w:pPr>
              <w:jc w:val="right"/>
              <w:ind w:right="570"/>
              <w:spacing w:after="0"/>
              <w:rPr>
                <w:sz w:val="20"/>
                <w:szCs w:val="20"/>
                <w:color w:val="auto"/>
              </w:rPr>
            </w:pPr>
            <w:r>
              <w:rPr>
                <w:rFonts w:ascii="Arial" w:cs="Arial" w:eastAsia="Arial" w:hAnsi="Arial"/>
                <w:sz w:val="18"/>
                <w:szCs w:val="18"/>
                <w:b w:val="1"/>
                <w:bCs w:val="1"/>
                <w:color w:val="auto"/>
              </w:rPr>
              <w:t>NAND</w:t>
            </w:r>
          </w:p>
        </w:tc>
      </w:tr>
      <w:tr>
        <w:trPr>
          <w:trHeight w:val="231"/>
        </w:trPr>
        <w:tc>
          <w:tcPr>
            <w:tcW w:w="7700" w:type="dxa"/>
            <w:vAlign w:val="bottom"/>
            <w:tcBorders>
              <w:bottom w:val="single" w:sz="8" w:color="0090DA"/>
            </w:tcBorders>
          </w:tcPr>
          <w:p>
            <w:pPr>
              <w:spacing w:after="0"/>
              <w:rPr>
                <w:sz w:val="20"/>
                <w:szCs w:val="20"/>
                <w:color w:val="auto"/>
              </w:rPr>
            </w:pPr>
          </w:p>
        </w:tc>
        <w:tc>
          <w:tcPr>
            <w:tcW w:w="3700" w:type="dxa"/>
            <w:vAlign w:val="bottom"/>
            <w:tcBorders>
              <w:bottom w:val="single" w:sz="8" w:color="0090DA"/>
            </w:tcBorders>
            <w:gridSpan w:val="3"/>
          </w:tcPr>
          <w:p>
            <w:pPr>
              <w:jc w:val="right"/>
              <w:ind w:right="210"/>
              <w:spacing w:after="0"/>
              <w:rPr>
                <w:sz w:val="20"/>
                <w:szCs w:val="20"/>
                <w:color w:val="auto"/>
              </w:rPr>
            </w:pPr>
            <w:r>
              <w:rPr>
                <w:rFonts w:ascii="Arial" w:cs="Arial" w:eastAsia="Arial" w:hAnsi="Arial"/>
                <w:sz w:val="16"/>
                <w:szCs w:val="16"/>
                <w:color w:val="auto"/>
              </w:rPr>
              <w:t>(percentage change in average selling prices)</w:t>
            </w:r>
          </w:p>
        </w:tc>
      </w:tr>
      <w:tr>
        <w:trPr>
          <w:trHeight w:val="41"/>
        </w:trPr>
        <w:tc>
          <w:tcPr>
            <w:tcW w:w="7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7"/>
        </w:trPr>
        <w:tc>
          <w:tcPr>
            <w:tcW w:w="896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92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(30) %</w:t>
            </w:r>
          </w:p>
        </w:tc>
        <w:tc>
          <w:tcPr>
            <w:tcW w:w="1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 %</w:t>
            </w:r>
          </w:p>
        </w:tc>
      </w:tr>
      <w:tr>
        <w:trPr>
          <w:trHeight w:val="252"/>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36 %</w:t>
            </w:r>
          </w:p>
        </w:tc>
        <w:tc>
          <w:tcPr>
            <w:tcW w:w="15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61"/>
        </w:trPr>
        <w:tc>
          <w:tcPr>
            <w:tcW w:w="896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92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18 %</w:t>
            </w:r>
          </w:p>
        </w:tc>
        <w:tc>
          <w:tcPr>
            <w:tcW w:w="1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r>
      <w:tr>
        <w:trPr>
          <w:trHeight w:val="252"/>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2016 from 2015</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(34) %</w:t>
            </w:r>
          </w:p>
        </w:tc>
        <w:tc>
          <w:tcPr>
            <w:tcW w:w="152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61"/>
        </w:trPr>
        <w:tc>
          <w:tcPr>
            <w:tcW w:w="896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2015 from 2014</w:t>
            </w:r>
          </w:p>
        </w:tc>
        <w:tc>
          <w:tcPr>
            <w:tcW w:w="92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(11) %</w:t>
            </w:r>
          </w:p>
        </w:tc>
        <w:tc>
          <w:tcPr>
            <w:tcW w:w="1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r>
    </w:tbl>
    <w:p>
      <w:pPr>
        <w:spacing w:after="0" w:line="87" w:lineRule="exact"/>
        <w:rPr>
          <w:sz w:val="20"/>
          <w:szCs w:val="20"/>
          <w:color w:val="auto"/>
        </w:rPr>
      </w:pPr>
    </w:p>
    <w:p>
      <w:pPr>
        <w:ind w:right="400"/>
        <w:spacing w:after="0" w:line="289" w:lineRule="auto"/>
        <w:rPr>
          <w:sz w:val="20"/>
          <w:szCs w:val="20"/>
          <w:color w:val="auto"/>
        </w:rPr>
      </w:pPr>
      <w:r>
        <w:rPr>
          <w:rFonts w:ascii="Arial" w:cs="Arial" w:eastAsia="Arial" w:hAnsi="Arial"/>
          <w:sz w:val="18"/>
          <w:szCs w:val="18"/>
          <w:i w:val="1"/>
          <w:iCs w:val="1"/>
          <w:color w:val="auto"/>
        </w:rPr>
        <w:t>Revenue and units for MCPs and SSDs, which contain both DRAM and NAND, are disaggregated in the above table based on the relative values of each component. Prior periods have been conformed to current period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 complexity including number of mask layers and fabrication steps, manufacturing yield, technological barriers, changes in process technologies, and new products that may require relatively larger die sizes.</w:t>
      </w:r>
    </w:p>
    <w:p>
      <w:pPr>
        <w:spacing w:after="0" w:line="2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our ramp of emerging technologies in dedicated manufacturing capacity, declining selling prices, and changes in supply agreements. A significant portion of our manufacturing costs are fixed and do not vary proportionally with changes in production output. As a result, lower utilization and increases in our per gigabit manufacturing costs may adversely affect our gross margins, business, results of operations, or financial condition.</w:t>
      </w:r>
    </w:p>
    <w:p>
      <w:pPr>
        <w:spacing w:after="0" w:line="20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 -user preferences. As a result, we may have work in process or finished goods inventories that could become obsolete or in amounts that are in excess of our customers’ demand. As a result, we may incur charges in connection with obsolete or excess inventories, which could have a material adverse effect on our business, results of operations, or financial condition. In addition, due to the customized nature of certain of the products we manufacture, we may be unable to sell</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34" w:name="page35"/>
    <w:bookmarkEnd w:id="34"/>
    <w:p>
      <w:pPr>
        <w:ind w:right="60"/>
        <w:spacing w:after="0" w:line="271" w:lineRule="auto"/>
        <w:rPr>
          <w:sz w:val="20"/>
          <w:szCs w:val="20"/>
          <w:color w:val="auto"/>
        </w:rPr>
      </w:pPr>
      <w:r>
        <w:rPr>
          <w:rFonts w:ascii="Arial" w:cs="Arial" w:eastAsia="Arial" w:hAnsi="Arial"/>
          <w:sz w:val="18"/>
          <w:szCs w:val="18"/>
          <w:color w:val="auto"/>
        </w:rPr>
        <w:t>certain finished goods inventory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(formerly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50"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15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estimate that capital expenditures in 2020 for property, plant, and equipment, net of partner contributions, will be approximately $7 billion to $8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5" w:name="page36"/>
    <w:bookmarkEnd w:id="35"/>
    <w:p>
      <w:pPr>
        <w:spacing w:after="0" w:line="254"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In 2019, we suspended the security interest in the collateral under our credit facility upon achieving specified credit ratings and the prepayment of our 2022 Term Loan B; however, the security interest would be automatically reinstated upon a decline in our corporate credit rating below a certain level.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8"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2019,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and China.</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U.S. has threatened to impose tariffs on goods imported from other countries, which could also impact certain of our customers’ or our operations. If the U.S.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0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03"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0090DA"/>
        </w:rPr>
        <w:t>U.S. trade regulations have restricted our ability to sell our products to a significant customer and could restrict our ability to sell our products to other customers.</w:t>
      </w:r>
    </w:p>
    <w:p>
      <w:pPr>
        <w:spacing w:after="0" w:line="15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May 16, 2019, the Bureau of Industry and Security (“BIS”) of the U.S. Department of Commerce added Huawei to the BIS’s Entity List, which imposes limitations on the supply of certain U.S. items and product support to Huawei. In 2019, our sales to Huawei accounted for 12% of our total revenue. To ensure compliance with the Entity List restrictions, we suspended shipments of all products to Huawei, effective May 16, 2019. We have determined that certain products Huawei purchases from us are not subject to the Export Administration Regulations and consequently can be lawfully sold and shipped to Huawei. Accordingly, we resumed shipping certain products to Huawei in the fourth quarter of 2019.</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applied for, and recently received, licenses that enable us to provide support for the products we sell that are not subject to the Export Administration Regulations, as well as qualify new products for Huawei’s mobile and server businesses. Additionally, these licenses allow us to ship previously restricted products that we manufacture in the United States, which represent a very small portion of our sales. However, there are still some products outside of the mobile and server markets that we are unable to sell to Huawei. While Huawei remains on the Entity List, and in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6" w:name="page37"/>
    <w:bookmarkEnd w:id="36"/>
    <w:p>
      <w:pPr>
        <w:ind w:right="140"/>
        <w:spacing w:after="0" w:line="258" w:lineRule="auto"/>
        <w:rPr>
          <w:sz w:val="20"/>
          <w:szCs w:val="20"/>
          <w:color w:val="auto"/>
        </w:rPr>
      </w:pPr>
      <w:r>
        <w:rPr>
          <w:rFonts w:ascii="Arial" w:cs="Arial" w:eastAsia="Arial" w:hAnsi="Arial"/>
          <w:sz w:val="18"/>
          <w:szCs w:val="18"/>
          <w:color w:val="auto"/>
        </w:rPr>
        <w:t>the absence of additional licenses from the BIS, we may be unable to work with Huawei on product development for uses other than in mobile and server end-products, which may have a negative effect on our ability to sell products to Huawei in the future. Despite the receipt of licenses, Entity List restrictions may also encourage Huawei to seek to obtain a greater supply of similar or substitute products from our competitors that are not subject to these restrictions, thereby decreasing our long-term competitiveness as a supplier to Huawei. Moreover, although Huawei is not prohibited from paying (and we are not restricted from collecting) accounts receivable for products we sell to Huawei, the credit risks associated with these accounts may have increased as a result of the BIS’s actions.</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cannot predict what additional actions the U.S. government may take with respect to Huawei, including modifications to, or interpretations of, Entity List restrictions, export restrictions, tariffs, or other trade limitations or barriers. We may be unable to sell certain inventories to alternative customers, which may result in excess and obsolescence charges in future periods. The licenses we have received may not be effective against such additional or heightened restrictions.</w:t>
      </w:r>
    </w:p>
    <w:p>
      <w:pPr>
        <w:spacing w:after="0" w:line="19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Entity List trade restrictions enacted during our third quarter of 2019 had an adverse effect on our business. Although we received licenses in the first quarter of fiscal 2020, we are unable to predict the impact these licenses will have on our sales to Huawei, nor the impact existing or future trade restrictions may have on our business with Huawei. Other companies may be added to the Entity List and/or subject to trade restrictions. For example, in October 2019, the U.S. government added several additional Chinese organizations to the Entity List, effective October 9, 2019. In addition, there may be indirect impacts to our business which we cannot reasonably quantify, including that some of our other customer’s products which incorporate our solutions may also be impacted by these and other trade restrictions that may be imposed by the U.S., China, or other countries. Restrictions on our ability to sell and ship our products to Huawei have had, and may continue to have, an adverse effect on our business, results of operations, or financial condition. In addition, if there are changes to Export Administration Regulations or Entity List restrictions, our revenue with Huawei or other Chinese customers could be negatively impacted, and the licenses we have received could be rendered ineffective. Any such changes may have a further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0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5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each of the last three fiscal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7" w:name="page38"/>
    <w:bookmarkEnd w:id="37"/>
    <w:p>
      <w:pPr>
        <w:ind w:right="260"/>
        <w:spacing w:after="0" w:line="248" w:lineRule="auto"/>
        <w:rPr>
          <w:sz w:val="20"/>
          <w:szCs w:val="20"/>
          <w:color w:val="auto"/>
        </w:rPr>
      </w:pPr>
      <w:r>
        <w:rPr>
          <w:rFonts w:ascii="Arial" w:cs="Arial" w:eastAsia="Arial" w:hAnsi="Arial"/>
          <w:sz w:val="18"/>
          <w:szCs w:val="18"/>
          <w:color w:val="auto"/>
        </w:rPr>
        <w:t>inability to meet our customers’ requirements or to qualify our products with them could adversely impact our revenue. Meaningful change in the inventory strategy of our customers, particularly those in China, could impact our industry bit demand growth outlook. The loss of one or more of our major customers or any significant reduction in orders from, or a shift in product mix by, these customers could have a material adverse effect on our business, results of operations, or financial condition.</w:t>
      </w:r>
    </w:p>
    <w:p>
      <w:pPr>
        <w:spacing w:after="0" w:line="196"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color w:val="0090DA"/>
        </w:rPr>
        <w:t>We face risks associated with our international sales and operations that could materially adversely affect our business, results of operations, or financial condition.</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2019, 53% of our revenue was to customers who have headquarters located in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2019 was from products shipped to customer locations outside the United States. In addition, a substantial portion of our manufacturing operations are located outside the United States. In particular, a significant portion of our manufacturing operations are concentrated in Singapore, Taiwan, Japan, and China. Many of our customers, suppliers, and vendors operate internationally and are also subject to the risks described below.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 We have experienced restrictions on our ability to sell products to certain foreign customers where sales of products require export licenses or are prohibited by government action. Possible future U.S. government actions could lead to additional or enhanced controls on exports from the United States to China or other countries, bans on sales to other key customers, or other similar restrictions.</w:t>
      </w:r>
    </w:p>
    <w:p>
      <w:pPr>
        <w:spacing w:after="0" w:line="21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Trade-related government actions, by China or other countries, that impose barriers or restrictions that would impact our ability to sell or ship products to Huawei or other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30"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ectPr>
          <w:pgSz w:w="11900" w:h="16838" w:orient="portrait"/>
          <w:cols w:equalWidth="0" w:num="1">
            <w:col w:w="11400"/>
          </w:cols>
          <w:pgMar w:left="240" w:top="9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20"/>
          <w:szCs w:val="20"/>
          <w:b w:val="1"/>
          <w:bCs w:val="1"/>
          <w:color w:val="0090DA"/>
        </w:rPr>
        <w:t>|</w:t>
      </w:r>
      <w:r>
        <w:rPr>
          <w:rFonts w:ascii="Arial" w:cs="Arial" w:eastAsia="Arial" w:hAnsi="Arial"/>
          <w:sz w:val="17"/>
          <w:szCs w:val="17"/>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9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5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complaint. The consolidated complaint purports to be on behalf of a nationwide class of direct purchasers of DRAM products. The complaints assert claims based on alleged price-fixing of DRAM products under federal and state law during the period from June 1, 2016 through at least February 1, 2018, and seek treble monetary damages, costs, interest, attorneys’ fees, and other injunctive and equitable relief.</w:t>
      </w:r>
    </w:p>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9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90"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70" w:lineRule="exact"/>
        <w:rPr>
          <w:sz w:val="20"/>
          <w:szCs w:val="20"/>
          <w:color w:val="auto"/>
        </w:rPr>
      </w:pPr>
    </w:p>
    <w:p>
      <w:pPr>
        <w:ind w:right="640"/>
        <w:spacing w:after="0" w:line="303"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the dependency on third-party service providers.</w:t>
      </w:r>
    </w:p>
    <w:p>
      <w:pPr>
        <w:spacing w:after="0" w:line="1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9" w:name="page40"/>
    <w:bookmarkEnd w:id="39"/>
    <w:p>
      <w:pPr>
        <w:ind w:right="160"/>
        <w:spacing w:after="0" w:line="271" w:lineRule="auto"/>
        <w:rPr>
          <w:sz w:val="20"/>
          <w:szCs w:val="20"/>
          <w:color w:val="auto"/>
        </w:rPr>
      </w:pPr>
      <w:r>
        <w:rPr>
          <w:rFonts w:ascii="Arial" w:cs="Arial" w:eastAsia="Arial" w:hAnsi="Arial"/>
          <w:sz w:val="18"/>
          <w:szCs w:val="18"/>
          <w:color w:val="auto"/>
        </w:rPr>
        <w:t>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materials are primarily available in certain countries, including rare earth elements, minerals, and metals available primarily from China. Trade disputes or other political or economic conditions may limit our availability to obtain such materials. Although these rare earth and other materials are generally available from multiple suppliers, China is the predominant producer of certain of these materials. If China were to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The disruption of our supply of materials, components, services, or the extension of our lead times could have a material adverse effect on our business, results of operations, or financial condition.</w:t>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5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 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excluded us from further consideration as a supplier for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2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right="4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or that we will not be prohibited from working with certain customers, for specific chip set or design requirements;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40" w:name="page41"/>
    <w:bookmarkEnd w:id="40"/>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0"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70"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revenues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07"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15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functions in our customers’ products and may result in sharing or shifting of product or financial liability from our customers to us for costs incurred by the end user as a result of our customers’ products failing to perform as specified. We could be adversely affected in several ways, including the following:</w:t>
      </w:r>
    </w:p>
    <w:p>
      <w:pPr>
        <w:spacing w:after="0" w:line="205" w:lineRule="exact"/>
        <w:rPr>
          <w:sz w:val="20"/>
          <w:szCs w:val="20"/>
          <w:color w:val="auto"/>
        </w:rPr>
      </w:pPr>
    </w:p>
    <w:p>
      <w:pPr>
        <w:ind w:left="660" w:right="28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7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1" w:name="page42"/>
    <w:bookmarkEnd w:id="41"/>
    <w:p>
      <w:pPr>
        <w:ind w:right="20"/>
        <w:spacing w:after="0" w:line="303"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5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0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16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Litigation could have a material adverse effect on our business, results of operations, or financial condition.</w:t>
      </w:r>
    </w:p>
    <w:p>
      <w:pPr>
        <w:spacing w:after="0" w:line="25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securities violations and related wrongful acts.</w:t>
      </w:r>
    </w:p>
    <w:p>
      <w:pPr>
        <w:spacing w:after="0" w:line="2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 compensatory and punitive damages, fees, interest, costs, and other appropriate relief. On October 2, 2019, the parties submitted a joint stipulation to dismiss the complaint. The Court approved the stipulation and dismissed the complaint on October 3, 2019. 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w:t>
      </w:r>
    </w:p>
    <w:p>
      <w:pPr>
        <w:spacing w:after="0" w:line="21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70" w:lineRule="exact"/>
        <w:rPr>
          <w:sz w:val="20"/>
          <w:szCs w:val="20"/>
          <w:color w:val="auto"/>
        </w:rPr>
      </w:pPr>
    </w:p>
    <w:p>
      <w:pPr>
        <w:ind w:right="880"/>
        <w:spacing w:after="0" w:line="303"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w:t>
      </w:r>
    </w:p>
    <w:p>
      <w:pPr>
        <w:spacing w:after="0" w:line="20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that could disrupt operations. In addition, our suppliers and customers also have operations in such locations. The events noted above have occurred from time to time in the past and may occur in the future. As a result, in addition to disruptions to operations, our insurance premiums may increase or we may not be able to fully recover any sustained losses through insurance.</w:t>
      </w:r>
    </w:p>
    <w:p>
      <w:pPr>
        <w:spacing w:after="0" w:line="205"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3" w:name="page44"/>
    <w:bookmarkEnd w:id="43"/>
    <w:p>
      <w:pPr>
        <w:ind w:right="60"/>
        <w:spacing w:after="0" w:line="292" w:lineRule="auto"/>
        <w:rPr>
          <w:sz w:val="20"/>
          <w:szCs w:val="20"/>
          <w:color w:val="auto"/>
        </w:rPr>
      </w:pPr>
      <w:r>
        <w:rPr>
          <w:rFonts w:ascii="Arial" w:cs="Arial" w:eastAsia="Arial" w:hAnsi="Arial"/>
          <w:sz w:val="18"/>
          <w:szCs w:val="18"/>
          <w:color w:val="auto"/>
        </w:rPr>
        <w:t>significant increase in manufacturing costs, loss of revenues, or damage to customer relationships, any of which could have a material adverse effect on our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acquisition of Intel's noncontrolling interest in IMFT involves numerous risks.</w:t>
      </w:r>
    </w:p>
    <w:p>
      <w:pPr>
        <w:spacing w:after="0" w:line="25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On October 31, 2019, we purchased Intel’s noncontrolling interest in IMFT, now known as MTU. Our acquisition involves risks including, but not limited to, an inability to sell the product MTU produces, increases in underutilization charges, increase in R&amp;D expenses, retention of key employees, and successful integration of MTU. We may also face risks from disputes in connection with joint venture activities, or difficulties or delays in collecting amounts due to us. The foregoing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5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November 28, 2019, we had debt with a carrying value of $ 5.65 billion. As of November 28, 2019, we also had an undrawn revolving credit facility that matures in July 2023 and provides for borrowings of up to $2.50 billion. As of November 28, 2019, the conversion value in excess of principal of our convertible notes was $567 million, based on the trading price of our common stock of $48.16 per share on such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52" w:lineRule="exact"/>
        <w:rPr>
          <w:sz w:val="20"/>
          <w:szCs w:val="20"/>
          <w:color w:val="auto"/>
        </w:rPr>
      </w:pPr>
    </w:p>
    <w:p>
      <w:pPr>
        <w:ind w:left="660" w:right="60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4" w:name="page45"/>
    <w:bookmarkEnd w:id="44"/>
    <w:p>
      <w:pPr>
        <w:ind w:left="660" w:right="5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upon achieving a specified credit rating and prepaying the 2022 Term Loan B; however, if our corporate credit rating were to decline below a certain level, the security interest would be automatically reinstated.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Competition for experienced employees in our industry can be intense and hiring and retaining qualified executives, engineers, technical staff, and sales representatives are critical to our business. Our inability to attract and retain key employees may inhibit our ability to maintain or expand our business operations. Additionally, changes to immigration policies in the numerous countries in which we operate, including the United States, may limit our ability to hire and/or retain talent in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02"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0090DA"/>
        </w:rPr>
        <w:t>The acquisition of our ownership interest in Inotera from Qimonda has been challenged by the administrator of the insolvency proceedings for Qimonda.</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 (3) ordering Micron B.V. to disclose the benefits derived by it from ownership of the Inotera Shares, including in particular, any profits distributed on the</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5" w:name="page46"/>
    <w:bookmarkEnd w:id="45"/>
    <w:p>
      <w:pPr>
        <w:ind w:right="20"/>
        <w:spacing w:after="0" w:line="254" w:lineRule="auto"/>
        <w:rPr>
          <w:sz w:val="20"/>
          <w:szCs w:val="20"/>
          <w:color w:val="auto"/>
        </w:rPr>
      </w:pPr>
      <w:r>
        <w:rPr>
          <w:rFonts w:ascii="Arial" w:cs="Arial" w:eastAsia="Arial" w:hAnsi="Arial"/>
          <w:sz w:val="18"/>
          <w:szCs w:val="18"/>
          <w:color w:val="auto"/>
        </w:rPr>
        <w:t>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two independent experts to perform an evaluation of Dr. Jaffé’s claims that the amount Micron paid for Qimonda was less than fair market value. On January 25, 2018, the court-appointed experts issued their report concluding that the amount paid by Micron was within an acceptable fair-value range. The Appeals Court held a subsequent hearing on April 30, 2019, and on May 28, 2019, the Appeals Court remanded the case to the experts for supplemental expert opinion.</w:t>
      </w:r>
    </w:p>
    <w:p>
      <w:pPr>
        <w:spacing w:after="0" w:line="2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our effective tax rate increased from 1.2% for 2018 to 9.8% for 2019 primarily as a result of the Tax Cuts and Jobs Act, enacted on December 22, 2017 by the United States and for which the U.S. Treasury Department continues to issue interpretive guidance.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8"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15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46" w:name="page47"/>
    <w:bookmarkEnd w:id="46"/>
    <w:p>
      <w:pPr>
        <w:ind w:right="380"/>
        <w:spacing w:after="0" w:line="256" w:lineRule="auto"/>
        <w:rPr>
          <w:sz w:val="20"/>
          <w:szCs w:val="20"/>
          <w:color w:val="auto"/>
        </w:rPr>
      </w:pPr>
      <w:r>
        <w:rPr>
          <w:rFonts w:ascii="Arial" w:cs="Arial" w:eastAsia="Arial" w:hAnsi="Arial"/>
          <w:sz w:val="18"/>
          <w:szCs w:val="18"/>
          <w:color w:val="auto"/>
        </w:rPr>
        <w:t>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54"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88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2" w:lineRule="exact"/>
        <w:rPr>
          <w:sz w:val="20"/>
          <w:szCs w:val="20"/>
          <w:color w:val="auto"/>
        </w:rPr>
      </w:pPr>
    </w:p>
    <w:p>
      <w:pPr>
        <w:ind w:right="660"/>
        <w:spacing w:after="0" w:line="303"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5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90DA"/>
        </w:rPr>
        <w:t>We may incur additional restructuring charges in future periods.</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3"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color w:val="0090DA"/>
        </w:rPr>
        <w:t>Compliance with customer and responsible sourcing requirements and related regulations could limit the supply and increase the cost of certain materials, supplies, and services used in manufacturing our products.</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is concentrated to a limited number of suppliers. This in turn may affect our ability and/or the cost to obtain materials, supplies, and services necessary for the manufacture of our products in sufficient quantities.</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This increased focus on environmental protection and social responsibility initiatives led to the passage of Section 1502 of the Dodd-Frank Wall Street Reform and Consumer Protection Act of 2010 and its implementing SEC regulations. The act imposes supply chain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202"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Our inability to comply with customers’ requirements for responsible sourcing or with regulations could have a material adverse effect on our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and others are subject to a variety of laws, regulations, or industry standards that may result in additional costs and liabilities.</w:t>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to represent us or otherwise act on our behalf who are also subject to a broad array of laws, regulations, and industry standards. Our engagement with these third parties may also expose us to risks associated with their respective compliance with laws and regulations. As a result of these items, we could experience the following:</w:t>
      </w:r>
    </w:p>
    <w:p>
      <w:pPr>
        <w:spacing w:after="0" w:line="20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Our failure, or the failure of our third-party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7" w:lineRule="exact"/>
        <w:rPr>
          <w:sz w:val="20"/>
          <w:szCs w:val="20"/>
          <w:color w:val="auto"/>
        </w:rPr>
      </w:pPr>
    </w:p>
    <w:p>
      <w:pPr>
        <w:ind w:right="880"/>
        <w:spacing w:after="0" w:line="303" w:lineRule="auto"/>
        <w:rPr>
          <w:sz w:val="20"/>
          <w:szCs w:val="20"/>
          <w:color w:val="auto"/>
        </w:rPr>
      </w:pPr>
      <w:r>
        <w:rPr>
          <w:rFonts w:ascii="Arial" w:cs="Arial" w:eastAsia="Arial" w:hAnsi="Arial"/>
          <w:sz w:val="18"/>
          <w:szCs w:val="18"/>
          <w:b w:val="1"/>
          <w:bCs w:val="1"/>
          <w:color w:val="0090DA"/>
        </w:rPr>
        <w:t>The operations of MMJ are subject to continued oversight by the Tokyo District Court during the pendency of the corporate reorganization proceedings.</w:t>
      </w:r>
    </w:p>
    <w:p>
      <w:pPr>
        <w:spacing w:after="0" w:line="1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MMJ’s plan of reorganization provides for ongoing payments to creditors following the closing of the MMJ acquisition,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the MMJ, other than oversight in relation to acts that need to be carried out in connection with the Japan Proceedings, which are the responsibility of the legal trustee. The final creditor payment under MMJ’s plan of reorganization is scheduled to occur in December 2019. Following distribution of the final payment and the Tokyo District Court’s approval and issuance of an order concluding the reorganization proceedings, MMJ’s reorganization proceedings in Japan and oversight by the Tokyo District Court will terminate.</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Tokyo District Court or the legal trustee is unwilling to consent to various actions that we may wish to take with respect to MMJ.</w:t>
      </w:r>
    </w:p>
    <w:p>
      <w:pPr>
        <w:spacing w:after="0" w:line="20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does not obligate us to acquire any common stock and is subject to market conditions and our ongoing determination of the best use of available cash.</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(or</w:t>
            </w:r>
          </w:p>
        </w:tc>
        <w:tc>
          <w:tcPr>
            <w:tcW w:w="160" w:type="dxa"/>
            <w:vAlign w:val="bottom"/>
          </w:tcPr>
          <w:p>
            <w:pPr>
              <w:spacing w:after="0"/>
              <w:rPr>
                <w:sz w:val="16"/>
                <w:szCs w:val="16"/>
                <w:color w:val="auto"/>
              </w:rPr>
            </w:pPr>
          </w:p>
        </w:tc>
        <w:tc>
          <w:tcPr>
            <w:tcW w:w="3300" w:type="dxa"/>
            <w:vAlign w:val="bottom"/>
          </w:tcPr>
          <w:p>
            <w:pPr>
              <w:jc w:val="center"/>
              <w:ind w:right="76"/>
              <w:spacing w:after="0"/>
              <w:rPr>
                <w:sz w:val="20"/>
                <w:szCs w:val="20"/>
                <w:color w:val="auto"/>
              </w:rPr>
            </w:pPr>
            <w:r>
              <w:rPr>
                <w:rFonts w:ascii="Arial" w:cs="Arial" w:eastAsia="Arial" w:hAnsi="Arial"/>
                <w:sz w:val="16"/>
                <w:szCs w:val="16"/>
                <w:b w:val="1"/>
                <w:bCs w:val="1"/>
                <w:color w:val="auto"/>
              </w:rPr>
              <w:t>Maximum number (or approximate dollar</w:t>
            </w:r>
          </w:p>
        </w:tc>
      </w:tr>
      <w:tr>
        <w:trPr>
          <w:trHeight w:val="189"/>
        </w:trPr>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Total number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units) purchased as part of</w:t>
            </w:r>
          </w:p>
        </w:tc>
        <w:tc>
          <w:tcPr>
            <w:tcW w:w="3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shares (or units) that may yet be</w:t>
            </w:r>
          </w:p>
        </w:tc>
      </w:tr>
      <w:tr>
        <w:trPr>
          <w:trHeight w:val="189"/>
        </w:trPr>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of shares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price paid</w:t>
            </w:r>
          </w:p>
        </w:tc>
        <w:tc>
          <w:tcPr>
            <w:tcW w:w="5720" w:type="dxa"/>
            <w:vAlign w:val="bottom"/>
            <w:gridSpan w:val="3"/>
          </w:tcPr>
          <w:p>
            <w:pPr>
              <w:ind w:left="60"/>
              <w:spacing w:after="0"/>
              <w:rPr>
                <w:sz w:val="20"/>
                <w:szCs w:val="20"/>
                <w:color w:val="auto"/>
              </w:rPr>
            </w:pPr>
            <w:r>
              <w:rPr>
                <w:rFonts w:ascii="Arial" w:cs="Arial" w:eastAsia="Arial" w:hAnsi="Arial"/>
                <w:sz w:val="16"/>
                <w:szCs w:val="16"/>
                <w:b w:val="1"/>
                <w:bCs w:val="1"/>
                <w:color w:val="auto"/>
              </w:rPr>
              <w:t>publicly announced plans or purchased under publicly announced plans</w:t>
            </w:r>
          </w:p>
        </w:tc>
      </w:tr>
      <w:tr>
        <w:trPr>
          <w:trHeight w:val="232"/>
        </w:trPr>
        <w:tc>
          <w:tcPr>
            <w:tcW w:w="1420" w:type="dxa"/>
            <w:vAlign w:val="bottom"/>
            <w:tcBorders>
              <w:bottom w:val="single" w:sz="8" w:color="0090DA"/>
            </w:tcBorders>
          </w:tcPr>
          <w:p>
            <w:pPr>
              <w:spacing w:after="0"/>
              <w:rPr>
                <w:sz w:val="20"/>
                <w:szCs w:val="20"/>
                <w:color w:val="auto"/>
              </w:rPr>
            </w:pPr>
          </w:p>
        </w:tc>
        <w:tc>
          <w:tcPr>
            <w:tcW w:w="2120" w:type="dxa"/>
            <w:vAlign w:val="bottom"/>
            <w:tcBorders>
              <w:bottom w:val="single" w:sz="8" w:color="0090DA"/>
            </w:tcBorders>
            <w:gridSpan w:val="2"/>
          </w:tcPr>
          <w:p>
            <w:pPr>
              <w:ind w:left="100"/>
              <w:spacing w:after="0"/>
              <w:rPr>
                <w:sz w:val="20"/>
                <w:szCs w:val="20"/>
                <w:color w:val="auto"/>
              </w:rPr>
            </w:pPr>
            <w:r>
              <w:rPr>
                <w:rFonts w:ascii="Arial" w:cs="Arial" w:eastAsia="Arial" w:hAnsi="Arial"/>
                <w:sz w:val="16"/>
                <w:szCs w:val="16"/>
                <w:b w:val="1"/>
                <w:bCs w:val="1"/>
                <w:color w:val="auto"/>
              </w:rPr>
              <w:t>Period</w:t>
            </w:r>
          </w:p>
        </w:tc>
        <w:tc>
          <w:tcPr>
            <w:tcW w:w="1280" w:type="dxa"/>
            <w:vAlign w:val="bottom"/>
            <w:tcBorders>
              <w:bottom w:val="single" w:sz="8" w:color="0090DA"/>
            </w:tcBorders>
            <w:gridSpan w:val="2"/>
          </w:tcPr>
          <w:p>
            <w:pPr>
              <w:jc w:val="center"/>
              <w:ind w:right="100"/>
              <w:spacing w:after="0"/>
              <w:rPr>
                <w:sz w:val="20"/>
                <w:szCs w:val="20"/>
                <w:color w:val="auto"/>
              </w:rPr>
            </w:pPr>
            <w:r>
              <w:rPr>
                <w:rFonts w:ascii="Arial" w:cs="Arial" w:eastAsia="Arial" w:hAnsi="Arial"/>
                <w:sz w:val="16"/>
                <w:szCs w:val="16"/>
                <w:b w:val="1"/>
                <w:bCs w:val="1"/>
                <w:color w:val="auto"/>
              </w:rPr>
              <w:t>purchased</w:t>
            </w:r>
          </w:p>
        </w:tc>
        <w:tc>
          <w:tcPr>
            <w:tcW w:w="8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per share</w:t>
            </w:r>
          </w:p>
        </w:tc>
        <w:tc>
          <w:tcPr>
            <w:tcW w:w="22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60" w:type="dxa"/>
            <w:vAlign w:val="bottom"/>
            <w:tcBorders>
              <w:bottom w:val="single" w:sz="8" w:color="0090DA"/>
            </w:tcBorders>
          </w:tcPr>
          <w:p>
            <w:pPr>
              <w:spacing w:after="0"/>
              <w:rPr>
                <w:sz w:val="20"/>
                <w:szCs w:val="20"/>
                <w:color w:val="auto"/>
              </w:rPr>
            </w:pPr>
          </w:p>
        </w:tc>
        <w:tc>
          <w:tcPr>
            <w:tcW w:w="3300" w:type="dxa"/>
            <w:vAlign w:val="bottom"/>
            <w:tcBorders>
              <w:bottom w:val="single" w:sz="8" w:color="0090DA"/>
            </w:tcBorders>
          </w:tcPr>
          <w:p>
            <w:pPr>
              <w:jc w:val="center"/>
              <w:ind w:right="56"/>
              <w:spacing w:after="0"/>
              <w:rPr>
                <w:sz w:val="20"/>
                <w:szCs w:val="20"/>
                <w:color w:val="auto"/>
              </w:rPr>
            </w:pPr>
            <w:r>
              <w:rPr>
                <w:rFonts w:ascii="Arial" w:cs="Arial" w:eastAsia="Arial" w:hAnsi="Arial"/>
                <w:sz w:val="16"/>
                <w:szCs w:val="16"/>
                <w:b w:val="1"/>
                <w:bCs w:val="1"/>
                <w:color w:val="auto"/>
              </w:rPr>
              <w:t>or programs</w:t>
            </w:r>
          </w:p>
        </w:tc>
      </w:tr>
      <w:tr>
        <w:trPr>
          <w:trHeight w:val="38"/>
        </w:trPr>
        <w:tc>
          <w:tcPr>
            <w:tcW w:w="1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257"/>
        </w:trPr>
        <w:tc>
          <w:tcPr>
            <w:tcW w:w="1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August 30, 2019</w:t>
            </w:r>
          </w:p>
        </w:tc>
        <w:tc>
          <w:tcPr>
            <w:tcW w:w="360" w:type="dxa"/>
            <w:vAlign w:val="bottom"/>
            <w:shd w:val="clear" w:color="auto" w:fill="D1D2D4"/>
          </w:tcPr>
          <w:p>
            <w:pPr>
              <w:ind w:lef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D1D2D4"/>
          </w:tcPr>
          <w:p>
            <w:pPr>
              <w:ind w:left="60"/>
              <w:spacing w:after="0"/>
              <w:rPr>
                <w:sz w:val="20"/>
                <w:szCs w:val="20"/>
                <w:color w:val="auto"/>
              </w:rPr>
            </w:pPr>
            <w:r>
              <w:rPr>
                <w:rFonts w:ascii="Arial" w:cs="Arial" w:eastAsia="Arial" w:hAnsi="Arial"/>
                <w:sz w:val="16"/>
                <w:szCs w:val="16"/>
                <w:color w:val="auto"/>
              </w:rPr>
              <w:t>October 3, 2019</w:t>
            </w:r>
          </w:p>
        </w:tc>
        <w:tc>
          <w:tcPr>
            <w:tcW w:w="1280" w:type="dxa"/>
            <w:vAlign w:val="bottom"/>
            <w:gridSpan w:val="2"/>
            <w:shd w:val="clear" w:color="auto" w:fill="D1D2D4"/>
          </w:tcPr>
          <w:p>
            <w:pPr>
              <w:ind w:left="840"/>
              <w:spacing w:after="0"/>
              <w:rPr>
                <w:sz w:val="20"/>
                <w:szCs w:val="20"/>
                <w:color w:val="auto"/>
              </w:rPr>
            </w:pPr>
            <w:r>
              <w:rPr>
                <w:rFonts w:ascii="Arial" w:cs="Arial" w:eastAsia="Arial" w:hAnsi="Arial"/>
                <w:sz w:val="18"/>
                <w:szCs w:val="18"/>
                <w:color w:val="auto"/>
              </w:rPr>
              <w:t>—  $</w:t>
            </w:r>
          </w:p>
        </w:tc>
        <w:tc>
          <w:tcPr>
            <w:tcW w:w="860" w:type="dxa"/>
            <w:vAlign w:val="bottom"/>
            <w:shd w:val="clear" w:color="auto" w:fill="D1D2D4"/>
          </w:tcPr>
          <w:p>
            <w:pPr>
              <w:jc w:val="right"/>
              <w:ind w:right="34"/>
              <w:spacing w:after="0"/>
              <w:rPr>
                <w:sz w:val="20"/>
                <w:szCs w:val="20"/>
                <w:color w:val="auto"/>
              </w:rPr>
            </w:pPr>
            <w:r>
              <w:rPr>
                <w:rFonts w:ascii="Arial" w:cs="Arial" w:eastAsia="Arial" w:hAnsi="Arial"/>
                <w:sz w:val="18"/>
                <w:szCs w:val="18"/>
                <w:color w:val="auto"/>
              </w:rPr>
              <w:t>—</w:t>
            </w:r>
          </w:p>
        </w:tc>
        <w:tc>
          <w:tcPr>
            <w:tcW w:w="2260" w:type="dxa"/>
            <w:vAlign w:val="bottom"/>
            <w:shd w:val="clear" w:color="auto" w:fill="D1D2D4"/>
          </w:tcPr>
          <w:p>
            <w:pPr>
              <w:ind w:left="1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3300" w:type="dxa"/>
            <w:vAlign w:val="bottom"/>
            <w:shd w:val="clear" w:color="auto" w:fill="D1D2D4"/>
          </w:tcPr>
          <w:p>
            <w:pPr>
              <w:spacing w:after="0"/>
              <w:rPr>
                <w:sz w:val="22"/>
                <w:szCs w:val="22"/>
                <w:color w:val="auto"/>
              </w:rPr>
            </w:pPr>
          </w:p>
        </w:tc>
      </w:tr>
      <w:tr>
        <w:trPr>
          <w:trHeight w:val="252"/>
        </w:trPr>
        <w:tc>
          <w:tcPr>
            <w:tcW w:w="1420" w:type="dxa"/>
            <w:vAlign w:val="bottom"/>
          </w:tcPr>
          <w:p>
            <w:pPr>
              <w:ind w:left="20"/>
              <w:spacing w:after="0"/>
              <w:rPr>
                <w:sz w:val="20"/>
                <w:szCs w:val="20"/>
                <w:color w:val="auto"/>
              </w:rPr>
            </w:pPr>
            <w:r>
              <w:rPr>
                <w:rFonts w:ascii="Arial" w:cs="Arial" w:eastAsia="Arial" w:hAnsi="Arial"/>
                <w:sz w:val="16"/>
                <w:szCs w:val="16"/>
                <w:color w:val="auto"/>
              </w:rPr>
              <w:t>October 4, 2019</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760" w:type="dxa"/>
            <w:vAlign w:val="bottom"/>
          </w:tcPr>
          <w:p>
            <w:pPr>
              <w:ind w:left="60"/>
              <w:spacing w:after="0"/>
              <w:rPr>
                <w:sz w:val="20"/>
                <w:szCs w:val="20"/>
                <w:color w:val="auto"/>
              </w:rPr>
            </w:pPr>
            <w:r>
              <w:rPr>
                <w:rFonts w:ascii="Arial" w:cs="Arial" w:eastAsia="Arial" w:hAnsi="Arial"/>
                <w:sz w:val="16"/>
                <w:szCs w:val="16"/>
                <w:color w:val="auto"/>
              </w:rPr>
              <w:t>October 31, 2019</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659,192</w:t>
            </w:r>
          </w:p>
        </w:tc>
        <w:tc>
          <w:tcPr>
            <w:tcW w:w="1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45.52</w:t>
            </w:r>
          </w:p>
        </w:tc>
        <w:tc>
          <w:tcPr>
            <w:tcW w:w="2260" w:type="dxa"/>
            <w:vAlign w:val="bottom"/>
          </w:tcPr>
          <w:p>
            <w:pPr>
              <w:ind w:left="1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7"/>
        </w:trPr>
        <w:tc>
          <w:tcPr>
            <w:tcW w:w="1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November 1, 2019</w:t>
            </w:r>
          </w:p>
        </w:tc>
        <w:tc>
          <w:tcPr>
            <w:tcW w:w="360" w:type="dxa"/>
            <w:vAlign w:val="bottom"/>
            <w:shd w:val="clear" w:color="auto" w:fill="D1D2D4"/>
          </w:tcPr>
          <w:p>
            <w:pPr>
              <w:ind w:lef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D1D2D4"/>
          </w:tcPr>
          <w:p>
            <w:pPr>
              <w:ind w:left="60"/>
              <w:spacing w:after="0"/>
              <w:rPr>
                <w:sz w:val="20"/>
                <w:szCs w:val="20"/>
                <w:color w:val="auto"/>
              </w:rPr>
            </w:pPr>
            <w:r>
              <w:rPr>
                <w:rFonts w:ascii="Arial" w:cs="Arial" w:eastAsia="Arial" w:hAnsi="Arial"/>
                <w:sz w:val="16"/>
                <w:szCs w:val="16"/>
                <w:color w:val="auto"/>
              </w:rPr>
              <w:t>November 28, 2019</w:t>
            </w:r>
          </w:p>
        </w:tc>
        <w:tc>
          <w:tcPr>
            <w:tcW w:w="1180" w:type="dxa"/>
            <w:vAlign w:val="bottom"/>
            <w:tcBorders>
              <w:bottom w:val="single" w:sz="8" w:color="auto"/>
            </w:tcBorders>
            <w:shd w:val="clear" w:color="auto" w:fill="D1D2D4"/>
          </w:tcPr>
          <w:p>
            <w:pPr>
              <w:jc w:val="right"/>
              <w:ind w:right="74"/>
              <w:spacing w:after="0"/>
              <w:rPr>
                <w:sz w:val="20"/>
                <w:szCs w:val="20"/>
                <w:color w:val="auto"/>
              </w:rPr>
            </w:pPr>
            <w:r>
              <w:rPr>
                <w:rFonts w:ascii="Arial" w:cs="Arial" w:eastAsia="Arial" w:hAnsi="Arial"/>
                <w:sz w:val="18"/>
                <w:szCs w:val="18"/>
                <w:color w:val="auto"/>
              </w:rPr>
              <w:t>417,688</w:t>
            </w:r>
          </w:p>
        </w:tc>
        <w:tc>
          <w:tcPr>
            <w:tcW w:w="100" w:type="dxa"/>
            <w:vAlign w:val="bottom"/>
            <w:shd w:val="clear" w:color="auto" w:fill="D1D2D4"/>
          </w:tcPr>
          <w:p>
            <w:pPr>
              <w:spacing w:after="0"/>
              <w:rPr>
                <w:sz w:val="22"/>
                <w:szCs w:val="22"/>
                <w:color w:val="auto"/>
              </w:rPr>
            </w:pPr>
          </w:p>
        </w:tc>
        <w:tc>
          <w:tcPr>
            <w:tcW w:w="860" w:type="dxa"/>
            <w:vAlign w:val="bottom"/>
            <w:shd w:val="clear" w:color="auto" w:fill="D1D2D4"/>
          </w:tcPr>
          <w:p>
            <w:pPr>
              <w:jc w:val="right"/>
              <w:ind w:right="34"/>
              <w:spacing w:after="0"/>
              <w:rPr>
                <w:sz w:val="20"/>
                <w:szCs w:val="20"/>
                <w:color w:val="auto"/>
              </w:rPr>
            </w:pPr>
            <w:r>
              <w:rPr>
                <w:rFonts w:ascii="Arial" w:cs="Arial" w:eastAsia="Arial" w:hAnsi="Arial"/>
                <w:sz w:val="18"/>
                <w:szCs w:val="18"/>
                <w:color w:val="auto"/>
              </w:rPr>
              <w:t>47.89</w:t>
            </w:r>
          </w:p>
        </w:tc>
        <w:tc>
          <w:tcPr>
            <w:tcW w:w="2260" w:type="dxa"/>
            <w:vAlign w:val="bottom"/>
            <w:shd w:val="clear" w:color="auto" w:fill="D1D2D4"/>
          </w:tcPr>
          <w:p>
            <w:pPr>
              <w:ind w:left="1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3300" w:type="dxa"/>
            <w:vAlign w:val="bottom"/>
            <w:shd w:val="clear" w:color="auto" w:fill="D1D2D4"/>
          </w:tcPr>
          <w:p>
            <w:pPr>
              <w:spacing w:after="0"/>
              <w:rPr>
                <w:sz w:val="22"/>
                <w:szCs w:val="22"/>
                <w:color w:val="auto"/>
              </w:rPr>
            </w:pPr>
          </w:p>
        </w:tc>
      </w:tr>
      <w:tr>
        <w:trPr>
          <w:trHeight w:val="255"/>
        </w:trPr>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1,076,880</w:t>
            </w:r>
          </w:p>
        </w:tc>
        <w:tc>
          <w:tcPr>
            <w:tcW w:w="100" w:type="dxa"/>
            <w:vAlign w:val="bottom"/>
          </w:tcPr>
          <w:p>
            <w:pPr>
              <w:spacing w:after="0"/>
              <w:rPr>
                <w:sz w:val="22"/>
                <w:szCs w:val="22"/>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46.44</w:t>
            </w:r>
          </w:p>
        </w:tc>
        <w:tc>
          <w:tcPr>
            <w:tcW w:w="2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300" w:type="dxa"/>
            <w:vAlign w:val="bottom"/>
          </w:tcPr>
          <w:p>
            <w:pPr>
              <w:jc w:val="right"/>
              <w:ind w:right="76"/>
              <w:spacing w:after="0"/>
              <w:rPr>
                <w:sz w:val="20"/>
                <w:szCs w:val="20"/>
                <w:color w:val="auto"/>
              </w:rPr>
            </w:pPr>
            <w:r>
              <w:rPr>
                <w:rFonts w:ascii="Arial" w:cs="Arial" w:eastAsia="Arial" w:hAnsi="Arial"/>
                <w:sz w:val="18"/>
                <w:szCs w:val="18"/>
                <w:color w:val="auto"/>
              </w:rPr>
              <w:t>7,287,838,276</w:t>
            </w:r>
          </w:p>
        </w:tc>
      </w:tr>
      <w:tr>
        <w:trPr>
          <w:trHeight w:val="21"/>
        </w:trPr>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32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3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c>
          <w:tcPr>
            <w:tcW w:w="1280" w:type="dxa"/>
            <w:vAlign w:val="bottom"/>
          </w:tcPr>
          <w:p>
            <w:pPr>
              <w:ind w:left="700"/>
              <w:spacing w:after="0"/>
              <w:rPr>
                <w:sz w:val="20"/>
                <w:szCs w:val="20"/>
                <w:color w:val="auto"/>
              </w:rPr>
            </w:pPr>
            <w:r>
              <w:rPr>
                <w:rFonts w:ascii="Arial" w:cs="Arial" w:eastAsia="Arial" w:hAnsi="Arial"/>
                <w:sz w:val="16"/>
                <w:szCs w:val="16"/>
                <w:b w:val="1"/>
                <w:bCs w:val="1"/>
                <w:color w:val="auto"/>
              </w:rPr>
              <w:t>Period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Filing</w:t>
            </w:r>
          </w:p>
        </w:tc>
      </w:tr>
      <w:tr>
        <w:trPr>
          <w:trHeight w:val="232"/>
        </w:trPr>
        <w:tc>
          <w:tcPr>
            <w:tcW w:w="1000" w:type="dxa"/>
            <w:vAlign w:val="bottom"/>
            <w:tcBorders>
              <w:bottom w:val="single" w:sz="8" w:color="0090DA"/>
            </w:tcBorders>
          </w:tcPr>
          <w:p>
            <w:pPr>
              <w:ind w:left="180"/>
              <w:spacing w:after="0"/>
              <w:rPr>
                <w:sz w:val="20"/>
                <w:szCs w:val="20"/>
                <w:color w:val="auto"/>
              </w:rPr>
            </w:pPr>
            <w:r>
              <w:rPr>
                <w:rFonts w:ascii="Arial" w:cs="Arial" w:eastAsia="Arial" w:hAnsi="Arial"/>
                <w:sz w:val="16"/>
                <w:szCs w:val="16"/>
                <w:b w:val="1"/>
                <w:bCs w:val="1"/>
                <w:color w:val="auto"/>
              </w:rPr>
              <w:t>Number</w:t>
            </w:r>
          </w:p>
        </w:tc>
        <w:tc>
          <w:tcPr>
            <w:tcW w:w="6600" w:type="dxa"/>
            <w:vAlign w:val="bottom"/>
            <w:tcBorders>
              <w:bottom w:val="single" w:sz="8" w:color="0090DA"/>
            </w:tcBorders>
            <w:gridSpan w:val="5"/>
          </w:tcPr>
          <w:p>
            <w:pPr>
              <w:ind w:left="2480"/>
              <w:spacing w:after="0"/>
              <w:rPr>
                <w:sz w:val="20"/>
                <w:szCs w:val="20"/>
                <w:color w:val="auto"/>
              </w:rPr>
            </w:pPr>
            <w:r>
              <w:rPr>
                <w:rFonts w:ascii="Arial" w:cs="Arial" w:eastAsia="Arial" w:hAnsi="Arial"/>
                <w:sz w:val="16"/>
                <w:szCs w:val="16"/>
                <w:b w:val="1"/>
                <w:bCs w:val="1"/>
                <w:color w:val="auto"/>
              </w:rPr>
              <w:t>Description of Exhibit</w:t>
            </w:r>
          </w:p>
        </w:tc>
        <w:tc>
          <w:tcPr>
            <w:tcW w:w="9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1280" w:type="dxa"/>
            <w:vAlign w:val="bottom"/>
            <w:tcBorders>
              <w:bottom w:val="single" w:sz="8" w:color="0090DA"/>
            </w:tcBorders>
          </w:tcPr>
          <w:p>
            <w:pPr>
              <w:ind w:left="100"/>
              <w:spacing w:after="0"/>
              <w:rPr>
                <w:sz w:val="20"/>
                <w:szCs w:val="20"/>
                <w:color w:val="auto"/>
              </w:rPr>
            </w:pPr>
            <w:r>
              <w:rPr>
                <w:rFonts w:ascii="Arial" w:cs="Arial" w:eastAsia="Arial" w:hAnsi="Arial"/>
                <w:sz w:val="16"/>
                <w:szCs w:val="16"/>
                <w:b w:val="1"/>
                <w:bCs w:val="1"/>
                <w:color w:val="auto"/>
              </w:rPr>
              <w:t>Form  Ending</w:t>
            </w:r>
          </w:p>
        </w:tc>
        <w:tc>
          <w:tcPr>
            <w:tcW w:w="9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Appendix</w:t>
            </w:r>
          </w:p>
        </w:tc>
        <w:tc>
          <w:tcPr>
            <w:tcW w:w="7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8"/>
        </w:trPr>
        <w:tc>
          <w:tcPr>
            <w:tcW w:w="1000" w:type="dxa"/>
            <w:vAlign w:val="bottom"/>
          </w:tcPr>
          <w:p>
            <w:pPr>
              <w:spacing w:after="0"/>
              <w:rPr>
                <w:sz w:val="3"/>
                <w:szCs w:val="3"/>
                <w:color w:val="auto"/>
              </w:rPr>
            </w:pPr>
          </w:p>
        </w:tc>
        <w:tc>
          <w:tcPr>
            <w:tcW w:w="3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3"/>
        </w:trPr>
        <w:tc>
          <w:tcPr>
            <w:tcW w:w="10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31.1</w:t>
            </w:r>
          </w:p>
        </w:tc>
        <w:tc>
          <w:tcPr>
            <w:tcW w:w="3860" w:type="dxa"/>
            <w:vAlign w:val="bottom"/>
            <w:tcBorders>
              <w:bottom w:val="single" w:sz="8" w:color="0000FF"/>
            </w:tcBorders>
            <w:gridSpan w:val="2"/>
            <w:shd w:val="clear" w:color="auto" w:fill="D1D2D4"/>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Rule 13a-14(a) Certification of Chief Executive Officer</w:t>
              </w:r>
            </w:hyperlink>
          </w:p>
        </w:tc>
        <w:tc>
          <w:tcPr>
            <w:tcW w:w="2740" w:type="dxa"/>
            <w:vAlign w:val="bottom"/>
            <w:tcBorders>
              <w:bottom w:val="single" w:sz="8" w:color="D1D2D4"/>
            </w:tcBorders>
            <w:gridSpan w:val="3"/>
            <w:shd w:val="clear" w:color="auto" w:fill="D1D2D4"/>
          </w:tcPr>
          <w:p>
            <w:pPr>
              <w:spacing w:after="0"/>
              <w:rPr>
                <w:sz w:val="19"/>
                <w:szCs w:val="19"/>
                <w:color w:val="auto"/>
              </w:rPr>
            </w:pPr>
          </w:p>
        </w:tc>
        <w:tc>
          <w:tcPr>
            <w:tcW w:w="900" w:type="dxa"/>
            <w:vAlign w:val="bottom"/>
            <w:tcBorders>
              <w:bottom w:val="single" w:sz="8" w:color="D1D2D4"/>
            </w:tcBorders>
            <w:shd w:val="clear" w:color="auto" w:fill="D1D2D4"/>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Borders>
              <w:bottom w:val="single" w:sz="8" w:color="D1D2D4"/>
            </w:tcBorders>
            <w:shd w:val="clear" w:color="auto" w:fill="D1D2D4"/>
          </w:tcPr>
          <w:p>
            <w:pPr>
              <w:spacing w:after="0"/>
              <w:rPr>
                <w:sz w:val="19"/>
                <w:szCs w:val="19"/>
                <w:color w:val="auto"/>
              </w:rPr>
            </w:pPr>
          </w:p>
        </w:tc>
        <w:tc>
          <w:tcPr>
            <w:tcW w:w="920" w:type="dxa"/>
            <w:vAlign w:val="bottom"/>
            <w:tcBorders>
              <w:bottom w:val="single" w:sz="8" w:color="D1D2D4"/>
            </w:tcBorders>
            <w:shd w:val="clear" w:color="auto" w:fill="D1D2D4"/>
          </w:tcPr>
          <w:p>
            <w:pPr>
              <w:spacing w:after="0"/>
              <w:rPr>
                <w:sz w:val="19"/>
                <w:szCs w:val="19"/>
                <w:color w:val="auto"/>
              </w:rPr>
            </w:pPr>
          </w:p>
        </w:tc>
        <w:tc>
          <w:tcPr>
            <w:tcW w:w="700" w:type="dxa"/>
            <w:vAlign w:val="bottom"/>
            <w:tcBorders>
              <w:bottom w:val="single" w:sz="8" w:color="D1D2D4"/>
            </w:tcBorders>
            <w:shd w:val="clear" w:color="auto" w:fill="D1D2D4"/>
          </w:tcPr>
          <w:p>
            <w:pPr>
              <w:spacing w:after="0"/>
              <w:rPr>
                <w:sz w:val="19"/>
                <w:szCs w:val="19"/>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6"/>
                <w:szCs w:val="16"/>
                <w:color w:val="auto"/>
              </w:rPr>
              <w:t>31.2</w:t>
            </w:r>
          </w:p>
        </w:tc>
        <w:tc>
          <w:tcPr>
            <w:tcW w:w="6600" w:type="dxa"/>
            <w:vAlign w:val="bottom"/>
            <w:gridSpan w:val="5"/>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Rule 13a-14(a) Certification of Chief Financial Officer</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
        </w:trPr>
        <w:tc>
          <w:tcPr>
            <w:tcW w:w="1000" w:type="dxa"/>
            <w:vAlign w:val="bottom"/>
          </w:tcPr>
          <w:p>
            <w:pPr>
              <w:spacing w:after="0" w:line="20" w:lineRule="exact"/>
              <w:rPr>
                <w:sz w:val="1"/>
                <w:szCs w:val="1"/>
                <w:color w:val="auto"/>
              </w:rPr>
            </w:pPr>
          </w:p>
        </w:tc>
        <w:tc>
          <w:tcPr>
            <w:tcW w:w="38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0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32.1</w:t>
            </w:r>
          </w:p>
        </w:tc>
        <w:tc>
          <w:tcPr>
            <w:tcW w:w="4760" w:type="dxa"/>
            <w:vAlign w:val="bottom"/>
            <w:tcBorders>
              <w:bottom w:val="single" w:sz="8" w:color="0000FF"/>
            </w:tcBorders>
            <w:gridSpan w:val="4"/>
            <w:shd w:val="clear" w:color="auto" w:fill="D1D2D4"/>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Chief Executive Officer Pursuant to 18 U.S.C. 1350</w:t>
              </w:r>
            </w:hyperlink>
          </w:p>
        </w:tc>
        <w:tc>
          <w:tcPr>
            <w:tcW w:w="1840" w:type="dxa"/>
            <w:vAlign w:val="bottom"/>
            <w:tcBorders>
              <w:bottom w:val="single" w:sz="8" w:color="D1D2D4"/>
            </w:tcBorders>
            <w:shd w:val="clear" w:color="auto" w:fill="D1D2D4"/>
          </w:tcPr>
          <w:p>
            <w:pPr>
              <w:spacing w:after="0"/>
              <w:rPr>
                <w:sz w:val="19"/>
                <w:szCs w:val="19"/>
                <w:color w:val="auto"/>
              </w:rPr>
            </w:pPr>
          </w:p>
        </w:tc>
        <w:tc>
          <w:tcPr>
            <w:tcW w:w="900" w:type="dxa"/>
            <w:vAlign w:val="bottom"/>
            <w:tcBorders>
              <w:bottom w:val="single" w:sz="8" w:color="D1D2D4"/>
            </w:tcBorders>
            <w:shd w:val="clear" w:color="auto" w:fill="D1D2D4"/>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Borders>
              <w:bottom w:val="single" w:sz="8" w:color="D1D2D4"/>
            </w:tcBorders>
            <w:shd w:val="clear" w:color="auto" w:fill="D1D2D4"/>
          </w:tcPr>
          <w:p>
            <w:pPr>
              <w:spacing w:after="0"/>
              <w:rPr>
                <w:sz w:val="19"/>
                <w:szCs w:val="19"/>
                <w:color w:val="auto"/>
              </w:rPr>
            </w:pPr>
          </w:p>
        </w:tc>
        <w:tc>
          <w:tcPr>
            <w:tcW w:w="920" w:type="dxa"/>
            <w:vAlign w:val="bottom"/>
            <w:tcBorders>
              <w:bottom w:val="single" w:sz="8" w:color="D1D2D4"/>
            </w:tcBorders>
            <w:shd w:val="clear" w:color="auto" w:fill="D1D2D4"/>
          </w:tcPr>
          <w:p>
            <w:pPr>
              <w:spacing w:after="0"/>
              <w:rPr>
                <w:sz w:val="19"/>
                <w:szCs w:val="19"/>
                <w:color w:val="auto"/>
              </w:rPr>
            </w:pPr>
          </w:p>
        </w:tc>
        <w:tc>
          <w:tcPr>
            <w:tcW w:w="700" w:type="dxa"/>
            <w:vAlign w:val="bottom"/>
            <w:tcBorders>
              <w:bottom w:val="single" w:sz="8" w:color="D1D2D4"/>
            </w:tcBorders>
            <w:shd w:val="clear" w:color="auto" w:fill="D1D2D4"/>
          </w:tcPr>
          <w:p>
            <w:pPr>
              <w:spacing w:after="0"/>
              <w:rPr>
                <w:sz w:val="19"/>
                <w:szCs w:val="19"/>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6"/>
                <w:szCs w:val="16"/>
                <w:color w:val="auto"/>
              </w:rPr>
              <w:t>32.2</w:t>
            </w:r>
          </w:p>
        </w:tc>
        <w:tc>
          <w:tcPr>
            <w:tcW w:w="6600" w:type="dxa"/>
            <w:vAlign w:val="bottom"/>
            <w:gridSpan w:val="5"/>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Certification of Chief Financial Officer Pursuant to 18 U.S.C. 1350</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
        </w:trPr>
        <w:tc>
          <w:tcPr>
            <w:tcW w:w="1000" w:type="dxa"/>
            <w:vAlign w:val="bottom"/>
          </w:tcPr>
          <w:p>
            <w:pPr>
              <w:spacing w:after="0" w:line="20" w:lineRule="exact"/>
              <w:rPr>
                <w:sz w:val="1"/>
                <w:szCs w:val="1"/>
                <w:color w:val="auto"/>
              </w:rPr>
            </w:pPr>
          </w:p>
        </w:tc>
        <w:tc>
          <w:tcPr>
            <w:tcW w:w="3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8"/>
        </w:trPr>
        <w:tc>
          <w:tcPr>
            <w:tcW w:w="1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101.INS</w:t>
            </w:r>
          </w:p>
        </w:tc>
        <w:tc>
          <w:tcPr>
            <w:tcW w:w="6600" w:type="dxa"/>
            <w:vAlign w:val="bottom"/>
            <w:gridSpan w:val="5"/>
            <w:shd w:val="clear" w:color="auto" w:fill="D1D2D4"/>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w:t>
            </w:r>
          </w:p>
        </w:tc>
        <w:tc>
          <w:tcPr>
            <w:tcW w:w="90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92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r>
      <w:tr>
        <w:trPr>
          <w:trHeight w:val="234"/>
        </w:trPr>
        <w:tc>
          <w:tcPr>
            <w:tcW w:w="1000" w:type="dxa"/>
            <w:vAlign w:val="bottom"/>
            <w:shd w:val="clear" w:color="auto" w:fill="D1D2D4"/>
          </w:tcPr>
          <w:p>
            <w:pPr>
              <w:spacing w:after="0"/>
              <w:rPr>
                <w:sz w:val="20"/>
                <w:szCs w:val="20"/>
                <w:color w:val="auto"/>
              </w:rPr>
            </w:pPr>
          </w:p>
        </w:tc>
        <w:tc>
          <w:tcPr>
            <w:tcW w:w="6600" w:type="dxa"/>
            <w:vAlign w:val="bottom"/>
            <w:gridSpan w:val="5"/>
            <w:shd w:val="clear" w:color="auto" w:fill="D1D2D4"/>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9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X</w:t>
            </w:r>
          </w:p>
        </w:tc>
        <w:tc>
          <w:tcPr>
            <w:tcW w:w="1280" w:type="dxa"/>
            <w:vAlign w:val="bottom"/>
            <w:shd w:val="clear" w:color="auto" w:fill="D1D2D4"/>
          </w:tcPr>
          <w:p>
            <w:pPr>
              <w:spacing w:after="0"/>
              <w:rPr>
                <w:sz w:val="20"/>
                <w:szCs w:val="20"/>
                <w:color w:val="auto"/>
              </w:rPr>
            </w:pPr>
          </w:p>
        </w:tc>
        <w:tc>
          <w:tcPr>
            <w:tcW w:w="920" w:type="dxa"/>
            <w:vAlign w:val="bottom"/>
            <w:shd w:val="clear" w:color="auto" w:fill="D1D2D4"/>
          </w:tcPr>
          <w:p>
            <w:pPr>
              <w:spacing w:after="0"/>
              <w:rPr>
                <w:sz w:val="20"/>
                <w:szCs w:val="20"/>
                <w:color w:val="auto"/>
              </w:rPr>
            </w:pPr>
          </w:p>
        </w:tc>
        <w:tc>
          <w:tcPr>
            <w:tcW w:w="700" w:type="dxa"/>
            <w:vAlign w:val="bottom"/>
            <w:shd w:val="clear" w:color="auto" w:fill="D1D2D4"/>
          </w:tcPr>
          <w:p>
            <w:pPr>
              <w:spacing w:after="0"/>
              <w:rPr>
                <w:sz w:val="20"/>
                <w:szCs w:val="20"/>
                <w:color w:val="auto"/>
              </w:rPr>
            </w:pPr>
          </w:p>
        </w:tc>
      </w:tr>
      <w:tr>
        <w:trPr>
          <w:trHeight w:val="235"/>
        </w:trPr>
        <w:tc>
          <w:tcPr>
            <w:tcW w:w="1000" w:type="dxa"/>
            <w:vAlign w:val="bottom"/>
          </w:tcPr>
          <w:p>
            <w:pPr>
              <w:ind w:left="20"/>
              <w:spacing w:after="0"/>
              <w:rPr>
                <w:sz w:val="20"/>
                <w:szCs w:val="20"/>
                <w:color w:val="auto"/>
              </w:rPr>
            </w:pPr>
            <w:r>
              <w:rPr>
                <w:rFonts w:ascii="Arial" w:cs="Arial" w:eastAsia="Arial" w:hAnsi="Arial"/>
                <w:sz w:val="16"/>
                <w:szCs w:val="16"/>
                <w:color w:val="auto"/>
              </w:rPr>
              <w:t>101.SCH</w:t>
            </w:r>
          </w:p>
        </w:tc>
        <w:tc>
          <w:tcPr>
            <w:tcW w:w="660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1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101.CAL</w:t>
            </w:r>
          </w:p>
        </w:tc>
        <w:tc>
          <w:tcPr>
            <w:tcW w:w="6600" w:type="dxa"/>
            <w:vAlign w:val="bottom"/>
            <w:gridSpan w:val="5"/>
            <w:shd w:val="clear" w:color="auto" w:fill="D1D2D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9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X</w:t>
            </w:r>
          </w:p>
        </w:tc>
        <w:tc>
          <w:tcPr>
            <w:tcW w:w="1280" w:type="dxa"/>
            <w:vAlign w:val="bottom"/>
            <w:shd w:val="clear" w:color="auto" w:fill="D1D2D4"/>
          </w:tcPr>
          <w:p>
            <w:pPr>
              <w:spacing w:after="0"/>
              <w:rPr>
                <w:sz w:val="21"/>
                <w:szCs w:val="21"/>
                <w:color w:val="auto"/>
              </w:rPr>
            </w:pPr>
          </w:p>
        </w:tc>
        <w:tc>
          <w:tcPr>
            <w:tcW w:w="920" w:type="dxa"/>
            <w:vAlign w:val="bottom"/>
            <w:shd w:val="clear" w:color="auto" w:fill="D1D2D4"/>
          </w:tcPr>
          <w:p>
            <w:pPr>
              <w:spacing w:after="0"/>
              <w:rPr>
                <w:sz w:val="21"/>
                <w:szCs w:val="21"/>
                <w:color w:val="auto"/>
              </w:rPr>
            </w:pPr>
          </w:p>
        </w:tc>
        <w:tc>
          <w:tcPr>
            <w:tcW w:w="700" w:type="dxa"/>
            <w:vAlign w:val="bottom"/>
            <w:shd w:val="clear" w:color="auto" w:fill="D1D2D4"/>
          </w:tcPr>
          <w:p>
            <w:pPr>
              <w:spacing w:after="0"/>
              <w:rPr>
                <w:sz w:val="21"/>
                <w:szCs w:val="21"/>
                <w:color w:val="auto"/>
              </w:rPr>
            </w:pPr>
          </w:p>
        </w:tc>
      </w:tr>
      <w:tr>
        <w:trPr>
          <w:trHeight w:val="235"/>
        </w:trPr>
        <w:tc>
          <w:tcPr>
            <w:tcW w:w="1000" w:type="dxa"/>
            <w:vAlign w:val="bottom"/>
          </w:tcPr>
          <w:p>
            <w:pPr>
              <w:ind w:left="20"/>
              <w:spacing w:after="0"/>
              <w:rPr>
                <w:sz w:val="20"/>
                <w:szCs w:val="20"/>
                <w:color w:val="auto"/>
              </w:rPr>
            </w:pPr>
            <w:r>
              <w:rPr>
                <w:rFonts w:ascii="Arial" w:cs="Arial" w:eastAsia="Arial" w:hAnsi="Arial"/>
                <w:sz w:val="16"/>
                <w:szCs w:val="16"/>
                <w:color w:val="auto"/>
              </w:rPr>
              <w:t>101.DEF</w:t>
            </w:r>
          </w:p>
        </w:tc>
        <w:tc>
          <w:tcPr>
            <w:tcW w:w="660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1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101.LAB</w:t>
            </w:r>
          </w:p>
        </w:tc>
        <w:tc>
          <w:tcPr>
            <w:tcW w:w="6600" w:type="dxa"/>
            <w:vAlign w:val="bottom"/>
            <w:gridSpan w:val="5"/>
            <w:shd w:val="clear" w:color="auto" w:fill="D1D2D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X</w:t>
            </w:r>
          </w:p>
        </w:tc>
        <w:tc>
          <w:tcPr>
            <w:tcW w:w="1280" w:type="dxa"/>
            <w:vAlign w:val="bottom"/>
            <w:shd w:val="clear" w:color="auto" w:fill="D1D2D4"/>
          </w:tcPr>
          <w:p>
            <w:pPr>
              <w:spacing w:after="0"/>
              <w:rPr>
                <w:sz w:val="21"/>
                <w:szCs w:val="21"/>
                <w:color w:val="auto"/>
              </w:rPr>
            </w:pPr>
          </w:p>
        </w:tc>
        <w:tc>
          <w:tcPr>
            <w:tcW w:w="920" w:type="dxa"/>
            <w:vAlign w:val="bottom"/>
            <w:shd w:val="clear" w:color="auto" w:fill="D1D2D4"/>
          </w:tcPr>
          <w:p>
            <w:pPr>
              <w:spacing w:after="0"/>
              <w:rPr>
                <w:sz w:val="21"/>
                <w:szCs w:val="21"/>
                <w:color w:val="auto"/>
              </w:rPr>
            </w:pPr>
          </w:p>
        </w:tc>
        <w:tc>
          <w:tcPr>
            <w:tcW w:w="700" w:type="dxa"/>
            <w:vAlign w:val="bottom"/>
            <w:shd w:val="clear" w:color="auto" w:fill="D1D2D4"/>
          </w:tcPr>
          <w:p>
            <w:pPr>
              <w:spacing w:after="0"/>
              <w:rPr>
                <w:sz w:val="21"/>
                <w:szCs w:val="21"/>
                <w:color w:val="auto"/>
              </w:rPr>
            </w:pPr>
          </w:p>
        </w:tc>
      </w:tr>
      <w:tr>
        <w:trPr>
          <w:trHeight w:val="235"/>
        </w:trPr>
        <w:tc>
          <w:tcPr>
            <w:tcW w:w="1000" w:type="dxa"/>
            <w:vAlign w:val="bottom"/>
          </w:tcPr>
          <w:p>
            <w:pPr>
              <w:ind w:left="20"/>
              <w:spacing w:after="0"/>
              <w:rPr>
                <w:sz w:val="20"/>
                <w:szCs w:val="20"/>
                <w:color w:val="auto"/>
              </w:rPr>
            </w:pPr>
            <w:r>
              <w:rPr>
                <w:rFonts w:ascii="Arial" w:cs="Arial" w:eastAsia="Arial" w:hAnsi="Arial"/>
                <w:sz w:val="16"/>
                <w:szCs w:val="16"/>
                <w:color w:val="auto"/>
              </w:rPr>
              <w:t>101.PRE</w:t>
            </w:r>
          </w:p>
        </w:tc>
        <w:tc>
          <w:tcPr>
            <w:tcW w:w="660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1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104</w:t>
            </w:r>
          </w:p>
        </w:tc>
        <w:tc>
          <w:tcPr>
            <w:tcW w:w="6600" w:type="dxa"/>
            <w:vAlign w:val="bottom"/>
            <w:gridSpan w:val="5"/>
            <w:shd w:val="clear" w:color="auto" w:fill="D1D2D4"/>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9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X</w:t>
            </w:r>
          </w:p>
        </w:tc>
        <w:tc>
          <w:tcPr>
            <w:tcW w:w="1280" w:type="dxa"/>
            <w:vAlign w:val="bottom"/>
            <w:shd w:val="clear" w:color="auto" w:fill="D1D2D4"/>
          </w:tcPr>
          <w:p>
            <w:pPr>
              <w:spacing w:after="0"/>
              <w:rPr>
                <w:sz w:val="21"/>
                <w:szCs w:val="21"/>
                <w:color w:val="auto"/>
              </w:rPr>
            </w:pPr>
          </w:p>
        </w:tc>
        <w:tc>
          <w:tcPr>
            <w:tcW w:w="920" w:type="dxa"/>
            <w:vAlign w:val="bottom"/>
            <w:shd w:val="clear" w:color="auto" w:fill="D1D2D4"/>
          </w:tcPr>
          <w:p>
            <w:pPr>
              <w:spacing w:after="0"/>
              <w:rPr>
                <w:sz w:val="21"/>
                <w:szCs w:val="21"/>
                <w:color w:val="auto"/>
              </w:rPr>
            </w:pPr>
          </w:p>
        </w:tc>
        <w:tc>
          <w:tcPr>
            <w:tcW w:w="700" w:type="dxa"/>
            <w:vAlign w:val="bottom"/>
            <w:shd w:val="clear" w:color="auto" w:fill="D1D2D4"/>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SIGNATURES</w:t>
      </w:r>
    </w:p>
    <w:p>
      <w:pPr>
        <w:spacing w:after="0" w:line="247"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28575</wp:posOffset>
            </wp:positionV>
            <wp:extent cx="3387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(Registrant)</w:t>
            </w:r>
          </w:p>
        </w:tc>
      </w:tr>
      <w:tr>
        <w:trPr>
          <w:trHeight w:val="775"/>
        </w:trPr>
        <w:tc>
          <w:tcPr>
            <w:tcW w:w="3980" w:type="dxa"/>
            <w:vAlign w:val="bottom"/>
          </w:tcPr>
          <w:p>
            <w:pPr>
              <w:spacing w:after="0"/>
              <w:rPr>
                <w:sz w:val="20"/>
                <w:szCs w:val="20"/>
                <w:color w:val="auto"/>
              </w:rPr>
            </w:pPr>
            <w:r>
              <w:rPr>
                <w:rFonts w:ascii="Arial" w:cs="Arial" w:eastAsia="Arial" w:hAnsi="Arial"/>
                <w:sz w:val="18"/>
                <w:szCs w:val="18"/>
                <w:color w:val="auto"/>
              </w:rPr>
              <w:t>Date:  December 20, 2019</w:t>
            </w:r>
          </w:p>
        </w:tc>
        <w:tc>
          <w:tcPr>
            <w:tcW w:w="7400" w:type="dxa"/>
            <w:vAlign w:val="bottom"/>
            <w:gridSpan w:val="2"/>
          </w:tcPr>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45"/>
        </w:trPr>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Zinsner</w:t>
            </w:r>
          </w:p>
        </w:tc>
      </w:tr>
      <w:tr>
        <w:trPr>
          <w:trHeight w:val="257"/>
        </w:trPr>
        <w:tc>
          <w:tcPr>
            <w:tcW w:w="3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57"/>
        </w:trPr>
        <w:tc>
          <w:tcPr>
            <w:tcW w:w="3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18"/>
        </w:trPr>
        <w:tc>
          <w:tcPr>
            <w:tcW w:w="3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Paul Marosvari</w:t>
            </w:r>
          </w:p>
        </w:tc>
      </w:tr>
      <w:tr>
        <w:trPr>
          <w:trHeight w:val="245"/>
        </w:trPr>
        <w:tc>
          <w:tcPr>
            <w:tcW w:w="39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Paul Marosvari</w:t>
            </w:r>
          </w:p>
        </w:tc>
      </w:tr>
      <w:tr>
        <w:trPr>
          <w:trHeight w:val="257"/>
        </w:trPr>
        <w:tc>
          <w:tcPr>
            <w:tcW w:w="3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r>
        <w:trPr>
          <w:trHeight w:val="257"/>
        </w:trPr>
        <w:tc>
          <w:tcPr>
            <w:tcW w:w="3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sz w:val="1"/>
          <w:szCs w:val="1"/>
          <w:color w:val="auto"/>
        </w:rPr>
        <w:drawing>
          <wp:inline distT="0" distB="0" distL="0" distR="0">
            <wp:extent cx="591820" cy="1543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1820" cy="154305"/>
                    </a:xfrm>
                    <a:prstGeom prst="rect">
                      <a:avLst/>
                    </a:prstGeom>
                    <a:noFill/>
                    <a:ln>
                      <a:noFill/>
                    </a:ln>
                  </pic:spPr>
                </pic:pic>
              </a:graphicData>
            </a:graphic>
          </wp:inline>
        </w:drawing>
      </w:r>
      <w:r>
        <w:rPr>
          <w:rFonts w:ascii="Arial" w:cs="Arial" w:eastAsia="Arial" w:hAnsi="Arial"/>
          <w:sz w:val="18"/>
          <w:szCs w:val="18"/>
          <w:color w:val="auto"/>
        </w:rPr>
        <w:t xml:space="preserve"> 49</w:t>
      </w:r>
    </w:p>
    <w:p>
      <w:pPr>
        <w:sectPr>
          <w:pgSz w:w="11900" w:h="16838" w:orient="portrait"/>
          <w:cols w:equalWidth="0" w:num="1">
            <w:col w:w="11420"/>
          </w:cols>
          <w:pgMar w:left="240" w:top="92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31.1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260" w:hanging="332"/>
        <w:spacing w:after="0" w:line="271"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00" w:hanging="332"/>
        <w:spacing w:after="0" w:line="323" w:lineRule="auto"/>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20" w:hanging="332"/>
        <w:spacing w:after="0" w:line="278" w:lineRule="auto"/>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660" w:right="240" w:hanging="328"/>
        <w:spacing w:after="0" w:line="271"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660" w:right="320" w:hanging="328"/>
        <w:spacing w:after="0" w:line="271"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660" w:right="260" w:hanging="328"/>
        <w:spacing w:after="0" w:line="271" w:lineRule="auto"/>
        <w:tabs>
          <w:tab w:leader="none" w:pos="6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jc w:val="both"/>
        <w:ind w:left="660" w:right="140" w:hanging="328"/>
        <w:spacing w:after="0" w:line="271"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right="320" w:hanging="332"/>
        <w:spacing w:after="0" w:line="271"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660" w:right="460" w:hanging="328"/>
        <w:spacing w:after="0" w:line="323" w:lineRule="auto"/>
        <w:tabs>
          <w:tab w:leader="none" w:pos="6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660" w:right="40" w:hanging="328"/>
        <w:spacing w:after="0" w:line="292"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ind w:left="20"/>
        <w:spacing w:after="0"/>
        <w:tabs>
          <w:tab w:leader="none" w:pos="78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20, 2019</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28575</wp:posOffset>
            </wp:positionV>
            <wp:extent cx="3361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Sanjay Mehrotra</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88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260" w:hanging="332"/>
        <w:spacing w:after="0" w:line="27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00" w:hanging="332"/>
        <w:spacing w:after="0" w:line="323"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20" w:hanging="332"/>
        <w:spacing w:after="0" w:line="278"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660" w:right="240" w:hanging="328"/>
        <w:spacing w:after="0" w:line="271"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660" w:right="320" w:hanging="328"/>
        <w:spacing w:after="0" w:line="271"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660" w:right="260" w:hanging="328"/>
        <w:spacing w:after="0" w:line="271" w:lineRule="auto"/>
        <w:tabs>
          <w:tab w:leader="none" w:pos="6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jc w:val="both"/>
        <w:ind w:left="660" w:right="140" w:hanging="328"/>
        <w:spacing w:after="0" w:line="271"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right="320" w:hanging="332"/>
        <w:spacing w:after="0" w:line="27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660" w:right="460" w:hanging="328"/>
        <w:spacing w:after="0" w:line="323" w:lineRule="auto"/>
        <w:tabs>
          <w:tab w:leader="none" w:pos="6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660" w:right="40" w:hanging="328"/>
        <w:spacing w:after="0" w:line="292"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720" w:val="left"/>
          <w:tab w:leader="none" w:pos="5720" w:val="left"/>
        </w:tabs>
        <w:rPr>
          <w:sz w:val="20"/>
          <w:szCs w:val="20"/>
          <w:color w:val="auto"/>
        </w:rPr>
      </w:pPr>
      <w:r>
        <w:rPr>
          <w:rFonts w:ascii="Arial" w:cs="Arial" w:eastAsia="Arial" w:hAnsi="Arial"/>
          <w:sz w:val="18"/>
          <w:szCs w:val="18"/>
          <w:color w:val="auto"/>
        </w:rPr>
        <w:t>Date:</w:t>
        <w:tab/>
        <w:t>December 20, 2019</w:t>
      </w:r>
      <w:r>
        <w:rPr>
          <w:sz w:val="20"/>
          <w:szCs w:val="20"/>
          <w:color w:val="auto"/>
        </w:rPr>
        <w:tab/>
      </w: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28575</wp:posOffset>
            </wp:positionV>
            <wp:extent cx="36017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98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32.1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3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November 28, 2019,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307" w:lineRule="exact"/>
        <w:rPr>
          <w:sz w:val="20"/>
          <w:szCs w:val="20"/>
          <w:color w:val="auto"/>
        </w:rPr>
      </w:pPr>
    </w:p>
    <w:p>
      <w:pPr>
        <w:ind w:left="60"/>
        <w:spacing w:after="0"/>
        <w:tabs>
          <w:tab w:leader="none" w:pos="720" w:val="left"/>
          <w:tab w:leader="none" w:pos="5720" w:val="left"/>
        </w:tabs>
        <w:rPr>
          <w:sz w:val="20"/>
          <w:szCs w:val="20"/>
          <w:color w:val="auto"/>
        </w:rPr>
      </w:pPr>
      <w:r>
        <w:rPr>
          <w:rFonts w:ascii="Arial" w:cs="Arial" w:eastAsia="Arial" w:hAnsi="Arial"/>
          <w:sz w:val="18"/>
          <w:szCs w:val="18"/>
          <w:color w:val="auto"/>
        </w:rPr>
        <w:t>Date:</w:t>
        <w:tab/>
        <w:t>December 20, 2019</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6017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98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3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November 28, 2019,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20" w:val="left"/>
          <w:tab w:leader="none" w:pos="5720" w:val="left"/>
        </w:tabs>
        <w:rPr>
          <w:sz w:val="20"/>
          <w:szCs w:val="20"/>
          <w:color w:val="auto"/>
        </w:rPr>
      </w:pPr>
      <w:r>
        <w:rPr>
          <w:rFonts w:ascii="Arial" w:cs="Arial" w:eastAsia="Arial" w:hAnsi="Arial"/>
          <w:sz w:val="18"/>
          <w:szCs w:val="18"/>
          <w:color w:val="auto"/>
        </w:rPr>
        <w:t>Date:</w:t>
        <w:tab/>
        <w:t>December 20, 2019</w:t>
      </w:r>
      <w:r>
        <w:rPr>
          <w:sz w:val="20"/>
          <w:szCs w:val="20"/>
          <w:color w:val="auto"/>
        </w:rPr>
        <w:tab/>
      </w: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28575</wp:posOffset>
            </wp:positionV>
            <wp:extent cx="36017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9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2019-12-28T00:53:49Z</dcterms:created>
  <dcterms:modified xsi:type="dcterms:W3CDTF">2019-12-28T00:53:49Z</dcterms:modified>
</cp:coreProperties>
</file>