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August 29, 2024</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21"/>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right"/>
              <w:ind w:right="1801"/>
              <w:spacing w:after="0"/>
              <w:rPr>
                <w:sz w:val="20"/>
                <w:szCs w:val="20"/>
                <w:color w:val="auto"/>
              </w:rPr>
            </w:pPr>
            <w:r>
              <w:rPr>
                <w:rFonts w:ascii="Arial" w:cs="Arial" w:eastAsia="Arial" w:hAnsi="Arial"/>
                <w:sz w:val="16"/>
                <w:szCs w:val="16"/>
                <w:b w:val="1"/>
                <w:bCs w:val="1"/>
                <w:color w:val="auto"/>
              </w:rPr>
              <w:t>75-1618004</w:t>
            </w:r>
          </w:p>
        </w:tc>
      </w:tr>
      <w:tr>
        <w:trPr>
          <w:trHeight w:val="19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223"/>
        </w:trPr>
        <w:tc>
          <w:tcPr>
            <w:tcW w:w="4920" w:type="dxa"/>
            <w:vAlign w:val="bottom"/>
            <w:gridSpan w:val="2"/>
          </w:tcPr>
          <w:p>
            <w:pPr>
              <w:spacing w:after="0"/>
              <w:rPr>
                <w:sz w:val="20"/>
                <w:szCs w:val="20"/>
                <w:color w:val="auto"/>
              </w:rPr>
            </w:pPr>
            <w:r>
              <w:rPr>
                <w:rFonts w:ascii="Arial" w:cs="Arial" w:eastAsia="Arial" w:hAnsi="Arial"/>
                <w:sz w:val="16"/>
                <w:szCs w:val="16"/>
                <w:color w:val="auto"/>
              </w:rPr>
              <w:t>Address of principal executive offices, including zip code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8000 S. Federal Way, Boise, Idaho 83716-9632</w:t>
            </w:r>
          </w:p>
        </w:tc>
      </w:tr>
      <w:tr>
        <w:trPr>
          <w:trHeight w:val="223"/>
        </w:trPr>
        <w:tc>
          <w:tcPr>
            <w:tcW w:w="4920" w:type="dxa"/>
            <w:vAlign w:val="bottom"/>
            <w:gridSpan w:val="2"/>
          </w:tcPr>
          <w:p>
            <w:pPr>
              <w:spacing w:after="0"/>
              <w:rPr>
                <w:sz w:val="20"/>
                <w:szCs w:val="20"/>
                <w:color w:val="auto"/>
              </w:rPr>
            </w:pPr>
            <w:r>
              <w:rPr>
                <w:rFonts w:ascii="Arial" w:cs="Arial" w:eastAsia="Arial" w:hAnsi="Arial"/>
                <w:sz w:val="16"/>
                <w:szCs w:val="16"/>
                <w:color w:val="auto"/>
              </w:rPr>
              <w:t>Registrant’s telephone number, including area code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right"/>
              <w:ind w:right="1681"/>
              <w:spacing w:after="0"/>
              <w:rPr>
                <w:sz w:val="20"/>
                <w:szCs w:val="20"/>
                <w:color w:val="auto"/>
              </w:rPr>
            </w:pPr>
            <w:r>
              <w:rPr>
                <w:rFonts w:ascii="Arial" w:cs="Arial" w:eastAsia="Arial" w:hAnsi="Arial"/>
                <w:sz w:val="16"/>
                <w:szCs w:val="16"/>
                <w:b w:val="1"/>
                <w:bCs w:val="1"/>
                <w:color w:val="auto"/>
              </w:rPr>
              <w:t>(208) 368-4000</w:t>
            </w:r>
          </w:p>
        </w:tc>
      </w:tr>
      <w:tr>
        <w:trPr>
          <w:trHeight w:val="302"/>
        </w:trPr>
        <w:tc>
          <w:tcPr>
            <w:tcW w:w="49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18"/>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Trading Symbol</w:t>
            </w: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$0.10 per share</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MU</w:t>
            </w:r>
          </w:p>
        </w:tc>
        <w:tc>
          <w:tcPr>
            <w:tcW w:w="10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17" w:lineRule="exact"/>
        <w:rPr>
          <w:sz w:val="24"/>
          <w:szCs w:val="24"/>
          <w:color w:val="auto"/>
        </w:rPr>
      </w:pPr>
    </w:p>
    <w:p>
      <w:pPr>
        <w:sectPr>
          <w:pgSz w:w="11900" w:h="16838" w:orient="portrait"/>
          <w:cols w:equalWidth="0" w:num="1">
            <w:col w:w="11220"/>
          </w:cols>
          <w:pgMar w:left="320" w:top="1033" w:right="359" w:bottom="1440" w:gutter="0" w:footer="0" w:header="0"/>
        </w:sectPr>
      </w:pPr>
    </w:p>
    <w:p>
      <w:pPr>
        <w:ind w:left="346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76"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2" w:lineRule="exact"/>
        <w:rPr>
          <w:sz w:val="24"/>
          <w:szCs w:val="24"/>
          <w:color w:val="auto"/>
        </w:rPr>
      </w:pPr>
    </w:p>
    <w:p>
      <w:pPr>
        <w:ind w:left="20"/>
        <w:spacing w:after="0" w:line="23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 w:lineRule="exact"/>
        <w:rPr>
          <w:sz w:val="24"/>
          <w:szCs w:val="24"/>
          <w:color w:val="auto"/>
        </w:rPr>
      </w:pPr>
    </w:p>
    <w:p>
      <w:pPr>
        <w:ind w:left="20"/>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9"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36"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2">
            <w:col w:w="9580" w:space="200"/>
            <w:col w:w="1440"/>
          </w:cols>
          <w:pgMar w:left="320" w:top="1033" w:right="359" w:bottom="1440" w:gutter="0" w:footer="0" w:header="0"/>
          <w:type w:val="continuous"/>
        </w:sectPr>
      </w:pPr>
    </w:p>
    <w:p>
      <w:pPr>
        <w:ind w:left="20" w:right="16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60" w:type="dxa"/>
            <w:vAlign w:val="bottom"/>
          </w:tcPr>
          <w:p>
            <w:pPr>
              <w:jc w:val="center"/>
              <w:ind w:right="37"/>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3"/>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303"/>
        </w:trPr>
        <w:tc>
          <w:tcPr>
            <w:tcW w:w="2360" w:type="dxa"/>
            <w:vAlign w:val="bottom"/>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5"/>
        </w:trPr>
        <w:tc>
          <w:tcPr>
            <w:tcW w:w="1114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tc>
        <w:tc>
          <w:tcPr>
            <w:tcW w:w="0" w:type="dxa"/>
            <w:vAlign w:val="bottom"/>
          </w:tcPr>
          <w:p>
            <w:pPr>
              <w:spacing w:after="0"/>
              <w:rPr>
                <w:sz w:val="1"/>
                <w:szCs w:val="1"/>
                <w:color w:val="auto"/>
              </w:rPr>
            </w:pPr>
          </w:p>
        </w:tc>
      </w:tr>
      <w:tr>
        <w:trPr>
          <w:trHeight w:val="215"/>
        </w:trPr>
        <w:tc>
          <w:tcPr>
            <w:tcW w:w="9040" w:type="dxa"/>
            <w:vAlign w:val="bottom"/>
            <w:gridSpan w:val="4"/>
          </w:tcPr>
          <w:p>
            <w:pPr>
              <w:spacing w:after="0"/>
              <w:rPr>
                <w:sz w:val="20"/>
                <w:szCs w:val="20"/>
                <w:color w:val="auto"/>
              </w:rPr>
            </w:pPr>
            <w:r>
              <w:rPr>
                <w:rFonts w:ascii="Arial" w:cs="Arial" w:eastAsia="Arial" w:hAnsi="Arial"/>
                <w:sz w:val="16"/>
                <w:szCs w:val="16"/>
                <w:color w:val="auto"/>
              </w:rPr>
              <w:t>new or revised financial accounting standards provided pursuant to Section 13(a) of the Exchange Act.</w:t>
            </w:r>
          </w:p>
        </w:tc>
        <w:tc>
          <w:tcPr>
            <w:tcW w:w="2100" w:type="dxa"/>
            <w:vAlign w:val="bottom"/>
            <w:vMerge w:val="restart"/>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20" w:right="540"/>
        <w:spacing w:after="0" w:line="25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20" w:right="160"/>
        <w:spacing w:after="0" w:line="219" w:lineRule="exact"/>
        <w:rPr>
          <w:sz w:val="20"/>
          <w:szCs w:val="20"/>
          <w:color w:val="auto"/>
        </w:rPr>
      </w:pPr>
      <w:r>
        <w:rPr>
          <w:rFonts w:ascii="Arial" w:cs="Arial" w:eastAsia="Arial" w:hAnsi="Arial"/>
          <w:sz w:val="16"/>
          <w:szCs w:val="16"/>
          <w:color w:val="auto"/>
        </w:rPr>
        <w:t xml:space="preserve">prepared or issued its audit report. </w:t>
      </w:r>
      <w:r>
        <w:rPr>
          <w:rFonts w:ascii="MS PGothic" w:cs="MS PGothic" w:eastAsia="MS PGothic" w:hAnsi="MS PGothic"/>
          <w:sz w:val="17"/>
          <w:szCs w:val="17"/>
          <w:color w:val="auto"/>
        </w:rPr>
        <w:t>☒</w:t>
      </w:r>
      <w:r>
        <w:rPr>
          <w:rFonts w:ascii="Arial" w:cs="Arial" w:eastAsia="Arial" w:hAnsi="Arial"/>
          <w:sz w:val="16"/>
          <w:szCs w:val="16"/>
          <w:color w:val="auto"/>
        </w:rPr>
        <w:t xml:space="preserve"> If securities are registered pursuant to Section 12(b) of the Act, indicate by check mark whether the financial statements of the registrant included in the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9000" w:type="dxa"/>
            <w:vAlign w:val="bottom"/>
          </w:tcPr>
          <w:p>
            <w:pPr>
              <w:spacing w:after="0"/>
              <w:rPr>
                <w:sz w:val="20"/>
                <w:szCs w:val="20"/>
                <w:color w:val="auto"/>
              </w:rPr>
            </w:pPr>
            <w:r>
              <w:rPr>
                <w:rFonts w:ascii="Arial" w:cs="Arial" w:eastAsia="Arial" w:hAnsi="Arial"/>
                <w:sz w:val="16"/>
                <w:szCs w:val="16"/>
                <w:color w:val="auto"/>
              </w:rPr>
              <w:t>filing reflect the correction of an error to previously issued financial statements.</w:t>
            </w:r>
          </w:p>
        </w:tc>
        <w:tc>
          <w:tcPr>
            <w:tcW w:w="1560" w:type="dxa"/>
            <w:vAlign w:val="bottom"/>
          </w:tcPr>
          <w:p>
            <w:pPr>
              <w:spacing w:after="0"/>
              <w:rPr>
                <w:sz w:val="20"/>
                <w:szCs w:val="20"/>
                <w:color w:val="auto"/>
              </w:rPr>
            </w:pPr>
          </w:p>
        </w:tc>
        <w:tc>
          <w:tcPr>
            <w:tcW w:w="4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10560" w:type="dxa"/>
            <w:vAlign w:val="bottom"/>
            <w:gridSpan w:val="2"/>
          </w:tcPr>
          <w:p>
            <w:pPr>
              <w:spacing w:after="0"/>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000" w:type="dxa"/>
            <w:vAlign w:val="bottom"/>
          </w:tcPr>
          <w:p>
            <w:pPr>
              <w:spacing w:after="0"/>
              <w:rPr>
                <w:sz w:val="20"/>
                <w:szCs w:val="20"/>
                <w:color w:val="auto"/>
              </w:rPr>
            </w:pPr>
            <w:r>
              <w:rPr>
                <w:rFonts w:ascii="Arial" w:cs="Arial" w:eastAsia="Arial" w:hAnsi="Arial"/>
                <w:sz w:val="16"/>
                <w:szCs w:val="16"/>
                <w:color w:val="auto"/>
              </w:rPr>
              <w:t>received by any of the registrant’s executive officers during the relevant recovery period pursuant to §240.10D-1(b).</w:t>
            </w:r>
          </w:p>
        </w:tc>
        <w:tc>
          <w:tcPr>
            <w:tcW w:w="1560" w:type="dxa"/>
            <w:vAlign w:val="bottom"/>
          </w:tcPr>
          <w:p>
            <w:pPr>
              <w:spacing w:after="0"/>
              <w:rPr>
                <w:sz w:val="18"/>
                <w:szCs w:val="18"/>
                <w:color w:val="auto"/>
              </w:rPr>
            </w:pPr>
          </w:p>
        </w:tc>
        <w:tc>
          <w:tcPr>
            <w:tcW w:w="48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0"/>
        </w:trPr>
        <w:tc>
          <w:tcPr>
            <w:tcW w:w="9000" w:type="dxa"/>
            <w:vAlign w:val="bottom"/>
            <w:vMerge w:val="restart"/>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5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000" w:type="dxa"/>
            <w:vAlign w:val="bottom"/>
            <w:vMerge w:val="continue"/>
          </w:tcPr>
          <w:p>
            <w:pPr>
              <w:spacing w:after="0"/>
              <w:rPr>
                <w:sz w:val="17"/>
                <w:szCs w:val="17"/>
                <w:color w:val="auto"/>
              </w:rPr>
            </w:pPr>
          </w:p>
        </w:tc>
        <w:tc>
          <w:tcPr>
            <w:tcW w:w="1560" w:type="dxa"/>
            <w:vAlign w:val="bottom"/>
            <w:vMerge w:val="restart"/>
          </w:tcPr>
          <w:p>
            <w:pPr>
              <w:ind w:left="7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80" w:type="dxa"/>
            <w:vAlign w:val="bottom"/>
            <w:vMerge w:val="restart"/>
          </w:tcPr>
          <w:p>
            <w:pPr>
              <w:jc w:val="right"/>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52"/>
        </w:trPr>
        <w:tc>
          <w:tcPr>
            <w:tcW w:w="90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40"/>
        <w:spacing w:after="0" w:line="265" w:lineRule="auto"/>
        <w:rPr>
          <w:sz w:val="20"/>
          <w:szCs w:val="20"/>
          <w:color w:val="auto"/>
        </w:rPr>
      </w:pPr>
      <w:r>
        <w:rPr>
          <w:rFonts w:ascii="Arial" w:cs="Arial" w:eastAsia="Arial" w:hAnsi="Arial"/>
          <w:sz w:val="16"/>
          <w:szCs w:val="16"/>
          <w:color w:val="auto"/>
        </w:rPr>
        <w:t>The aggregate market value of the voting and non-voting common equity held by non-affiliates was $83.6 billion based on the closing price reported on the Nasdaq Global Select Market on 2/29/2024.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September 27, 2024 was 1,108,742,682.</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62" w:lineRule="exact"/>
        <w:rPr>
          <w:sz w:val="24"/>
          <w:szCs w:val="24"/>
          <w:color w:val="auto"/>
        </w:rPr>
      </w:pPr>
    </w:p>
    <w:p>
      <w:pPr>
        <w:ind w:right="640"/>
        <w:spacing w:after="0" w:line="304" w:lineRule="auto"/>
        <w:rPr>
          <w:sz w:val="20"/>
          <w:szCs w:val="20"/>
          <w:color w:val="auto"/>
        </w:rPr>
      </w:pPr>
      <w:r>
        <w:rPr>
          <w:rFonts w:ascii="Arial" w:cs="Arial" w:eastAsia="Arial" w:hAnsi="Arial"/>
          <w:sz w:val="16"/>
          <w:szCs w:val="16"/>
          <w:color w:val="auto"/>
        </w:rPr>
        <w:t>Portions of the Proxy Statement for the registrant’s Fiscal 2024 Annual Meeting of Shareholders to be held on January 16,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070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07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auto"/>
        </w:rPr>
        <w:t>Micron’s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63590" cy="3111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Micron’s global presence map highlights locations that include our manufacturing sites, centers of excellence, customer labs, and large offices. Not all Micron locations are represented on this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4036695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5863590" cy="329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ectPr>
          <w:pgSz w:w="11900" w:h="16838" w:orient="portrait"/>
          <w:cols w:equalWidth="0" w:num="1">
            <w:col w:w="10840"/>
          </w:cols>
          <w:pgMar w:left="320" w:top="929" w:right="7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94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Business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4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1B.</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Unresolved Staff Comments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1C.</w:t>
            </w:r>
          </w:p>
        </w:tc>
        <w:tc>
          <w:tcPr>
            <w:tcW w:w="9440" w:type="dxa"/>
            <w:vAlign w:val="bottom"/>
          </w:tcPr>
          <w:p>
            <w:pPr>
              <w:ind w:left="280"/>
              <w:spacing w:after="0"/>
              <w:rPr>
                <w:sz w:val="20"/>
                <w:szCs w:val="20"/>
                <w:color w:val="auto"/>
              </w:rPr>
            </w:pPr>
            <w:r>
              <w:rPr>
                <w:rFonts w:ascii="Arial" w:cs="Arial" w:eastAsia="Arial" w:hAnsi="Arial"/>
                <w:sz w:val="18"/>
                <w:szCs w:val="18"/>
                <w:color w:val="auto"/>
              </w:rPr>
              <w:t>Cybersecurity</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2.</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Properties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3.</w:t>
            </w:r>
          </w:p>
        </w:tc>
        <w:tc>
          <w:tcPr>
            <w:tcW w:w="944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4.</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5.</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6.</w:t>
            </w:r>
          </w:p>
        </w:tc>
        <w:tc>
          <w:tcPr>
            <w:tcW w:w="94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7.</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7A.</w:t>
            </w:r>
          </w:p>
        </w:tc>
        <w:tc>
          <w:tcPr>
            <w:tcW w:w="944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8.</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9.</w:t>
            </w:r>
          </w:p>
        </w:tc>
        <w:tc>
          <w:tcPr>
            <w:tcW w:w="9440" w:type="dxa"/>
            <w:vAlign w:val="bottom"/>
          </w:tcPr>
          <w:p>
            <w:pPr>
              <w:ind w:left="2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9A.</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40" w:type="dxa"/>
            <w:vAlign w:val="bottom"/>
          </w:tcPr>
          <w:p>
            <w:pPr>
              <w:ind w:left="280"/>
              <w:spacing w:after="0"/>
              <w:rPr>
                <w:sz w:val="20"/>
                <w:szCs w:val="20"/>
                <w:color w:val="auto"/>
              </w:rPr>
            </w:pPr>
            <w:r>
              <w:rPr>
                <w:rFonts w:ascii="Arial" w:cs="Arial" w:eastAsia="Arial" w:hAnsi="Arial"/>
                <w:sz w:val="18"/>
                <w:szCs w:val="18"/>
                <w:color w:val="auto"/>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9C.</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9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10.</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11.</w:t>
            </w:r>
          </w:p>
        </w:tc>
        <w:tc>
          <w:tcPr>
            <w:tcW w:w="9440" w:type="dxa"/>
            <w:vAlign w:val="bottom"/>
          </w:tcPr>
          <w:p>
            <w:pPr>
              <w:ind w:left="28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12.</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13.</w:t>
            </w:r>
          </w:p>
        </w:tc>
        <w:tc>
          <w:tcPr>
            <w:tcW w:w="9440" w:type="dxa"/>
            <w:vAlign w:val="bottom"/>
          </w:tcPr>
          <w:p>
            <w:pPr>
              <w:ind w:left="2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14.</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9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15.</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Exhibits and Financial Statement Schedule</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16.</w:t>
            </w:r>
          </w:p>
        </w:tc>
        <w:tc>
          <w:tcPr>
            <w:tcW w:w="9440" w:type="dxa"/>
            <w:vAlign w:val="bottom"/>
          </w:tcPr>
          <w:p>
            <w:pPr>
              <w:ind w:left="280"/>
              <w:spacing w:after="0"/>
              <w:rPr>
                <w:sz w:val="20"/>
                <w:szCs w:val="20"/>
                <w:color w:val="auto"/>
              </w:rPr>
            </w:pPr>
            <w:r>
              <w:rPr>
                <w:rFonts w:ascii="Arial" w:cs="Arial" w:eastAsia="Arial" w:hAnsi="Arial"/>
                <w:sz w:val="18"/>
                <w:szCs w:val="18"/>
                <w:color w:val="auto"/>
              </w:rPr>
              <w:t>Form 10-K Summary</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Signatures</w:t>
            </w:r>
          </w:p>
        </w:tc>
        <w:tc>
          <w:tcPr>
            <w:tcW w:w="94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68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3940" w:type="dxa"/>
            <w:vAlign w:val="bottom"/>
          </w:tcPr>
          <w:p>
            <w:pPr>
              <w:ind w:left="160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3940" w:type="dxa"/>
            <w:vAlign w:val="bottom"/>
            <w:tcBorders>
              <w:top w:val="single" w:sz="8" w:color="auto"/>
            </w:tcBorders>
          </w:tcPr>
          <w:p>
            <w:pPr>
              <w:spacing w:after="0"/>
              <w:rPr>
                <w:sz w:val="2"/>
                <w:szCs w:val="2"/>
                <w:color w:val="auto"/>
              </w:rPr>
            </w:pPr>
          </w:p>
        </w:tc>
      </w:tr>
      <w:tr>
        <w:trPr>
          <w:trHeight w:val="175"/>
        </w:trPr>
        <w:tc>
          <w:tcPr>
            <w:tcW w:w="4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w w:val="99"/>
              </w:rPr>
              <w:t>2023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2023, repaid</w:t>
            </w:r>
          </w:p>
        </w:tc>
        <w:tc>
          <w:tcPr>
            <w:tcW w:w="168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2033 B Notes</w:t>
            </w:r>
          </w:p>
        </w:tc>
        <w:tc>
          <w:tcPr>
            <w:tcW w:w="394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5.875% Senior Notes due September 2033</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November 2021</w:t>
            </w: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spacing w:after="0"/>
              <w:rPr>
                <w:sz w:val="21"/>
                <w:szCs w:val="21"/>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2024</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2024,</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2041 Notes</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3.366% Senior Notes due November 2041</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November 2021</w:t>
            </w:r>
          </w:p>
        </w:tc>
        <w:tc>
          <w:tcPr>
            <w:tcW w:w="16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178"/>
        </w:trPr>
        <w:tc>
          <w:tcPr>
            <w:tcW w:w="46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auto"/>
                <w:w w:val="99"/>
              </w:rPr>
              <w:t>2024</w:t>
            </w:r>
          </w:p>
        </w:tc>
        <w:tc>
          <w:tcPr>
            <w:tcW w:w="120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line="177" w:lineRule="exact"/>
              <w:rPr>
                <w:sz w:val="20"/>
                <w:szCs w:val="20"/>
                <w:color w:val="auto"/>
              </w:rPr>
            </w:pPr>
            <w:r>
              <w:rPr>
                <w:rFonts w:ascii="Arial" w:cs="Arial" w:eastAsia="Arial" w:hAnsi="Arial"/>
                <w:sz w:val="18"/>
                <w:szCs w:val="18"/>
                <w:color w:val="auto"/>
              </w:rPr>
              <w:t>Senior Term Loan A due October 2024, repaid</w:t>
            </w:r>
          </w:p>
        </w:tc>
        <w:tc>
          <w:tcPr>
            <w:tcW w:w="168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2051 Notes</w:t>
            </w:r>
          </w:p>
        </w:tc>
        <w:tc>
          <w:tcPr>
            <w:tcW w:w="3940" w:type="dxa"/>
            <w:vAlign w:val="bottom"/>
            <w:shd w:val="clear" w:color="auto" w:fill="DBDBDB"/>
          </w:tcPr>
          <w:p>
            <w:pPr>
              <w:ind w:left="120"/>
              <w:spacing w:after="0" w:line="177" w:lineRule="exact"/>
              <w:rPr>
                <w:sz w:val="20"/>
                <w:szCs w:val="20"/>
                <w:color w:val="auto"/>
              </w:rPr>
            </w:pPr>
            <w:r>
              <w:rPr>
                <w:rFonts w:ascii="Arial" w:cs="Arial" w:eastAsia="Arial" w:hAnsi="Arial"/>
                <w:sz w:val="18"/>
                <w:szCs w:val="18"/>
                <w:color w:val="auto"/>
              </w:rPr>
              <w:t>3.477% Senior Notes due November 2051</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January 12, 2024</w:t>
            </w: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spacing w:after="0"/>
              <w:rPr>
                <w:sz w:val="21"/>
                <w:szCs w:val="21"/>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2025</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2025,</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AI</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Artificial intelligence</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May 29, 2024</w:t>
            </w:r>
          </w:p>
        </w:tc>
        <w:tc>
          <w:tcPr>
            <w:tcW w:w="16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CAC</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China’s Cyberspace Administration</w:t>
            </w:r>
          </w:p>
        </w:tc>
      </w:tr>
      <w:tr>
        <w:trPr>
          <w:trHeight w:val="175"/>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EBITDA</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Earnings before interest, taxes, depreciation,</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and amortization</w:t>
            </w: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2026</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EUV</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Extreme ultraviolet lithography</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2027</w:t>
            </w:r>
          </w:p>
        </w:tc>
        <w:tc>
          <w:tcPr>
            <w:tcW w:w="1680" w:type="dxa"/>
            <w:vAlign w:val="bottom"/>
          </w:tcPr>
          <w:p>
            <w:pPr>
              <w:spacing w:after="0"/>
              <w:rPr>
                <w:sz w:val="20"/>
                <w:szCs w:val="20"/>
                <w:color w:val="auto"/>
              </w:rPr>
            </w:pPr>
            <w:r>
              <w:rPr>
                <w:rFonts w:ascii="Arial" w:cs="Arial" w:eastAsia="Arial" w:hAnsi="Arial"/>
                <w:sz w:val="18"/>
                <w:szCs w:val="18"/>
                <w:color w:val="auto"/>
              </w:rPr>
              <w:t>HBM</w:t>
            </w:r>
          </w:p>
        </w:tc>
        <w:tc>
          <w:tcPr>
            <w:tcW w:w="3940" w:type="dxa"/>
            <w:vAlign w:val="bottom"/>
          </w:tcPr>
          <w:p>
            <w:pPr>
              <w:ind w:left="120"/>
              <w:spacing w:after="0"/>
              <w:rPr>
                <w:sz w:val="20"/>
                <w:szCs w:val="20"/>
                <w:color w:val="auto"/>
              </w:rPr>
            </w:pPr>
            <w:r>
              <w:rPr>
                <w:rFonts w:ascii="Arial" w:cs="Arial" w:eastAsia="Arial" w:hAnsi="Arial"/>
                <w:sz w:val="18"/>
                <w:szCs w:val="18"/>
                <w:color w:val="auto"/>
              </w:rPr>
              <w:t>High-bandwidth memory</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2028</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Micron Technology, Inc. (Parent Company)</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2029</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5.327%</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2029</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Multi-Tranche Term</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Borrowing agreement that governs the 2026</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Loan Agreement</w:t>
            </w:r>
          </w:p>
        </w:tc>
        <w:tc>
          <w:tcPr>
            <w:tcW w:w="3940" w:type="dxa"/>
            <w:vAlign w:val="bottom"/>
          </w:tcPr>
          <w:p>
            <w:pPr>
              <w:ind w:left="120"/>
              <w:spacing w:after="0"/>
              <w:rPr>
                <w:sz w:val="20"/>
                <w:szCs w:val="20"/>
                <w:color w:val="auto"/>
              </w:rPr>
            </w:pPr>
            <w:r>
              <w:rPr>
                <w:rFonts w:ascii="Arial" w:cs="Arial" w:eastAsia="Arial" w:hAnsi="Arial"/>
                <w:sz w:val="18"/>
                <w:szCs w:val="18"/>
                <w:color w:val="auto"/>
              </w:rPr>
              <w:t>Term Loan A and 2027 Term Loan A</w:t>
            </w: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6.750%</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November 2029</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NRV</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Net realizable value</w:t>
            </w: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2030</w:t>
            </w:r>
          </w:p>
        </w:tc>
        <w:tc>
          <w:tcPr>
            <w:tcW w:w="1680" w:type="dxa"/>
            <w:vAlign w:val="bottom"/>
          </w:tcPr>
          <w:p>
            <w:pPr>
              <w:spacing w:after="0"/>
              <w:rPr>
                <w:sz w:val="20"/>
                <w:szCs w:val="20"/>
                <w:color w:val="auto"/>
              </w:rPr>
            </w:pPr>
            <w:r>
              <w:rPr>
                <w:rFonts w:ascii="Arial" w:cs="Arial" w:eastAsia="Arial" w:hAnsi="Arial"/>
                <w:sz w:val="18"/>
                <w:szCs w:val="18"/>
                <w:color w:val="auto"/>
              </w:rPr>
              <w:t>OEM</w:t>
            </w:r>
          </w:p>
        </w:tc>
        <w:tc>
          <w:tcPr>
            <w:tcW w:w="3940" w:type="dxa"/>
            <w:vAlign w:val="bottom"/>
          </w:tcPr>
          <w:p>
            <w:pPr>
              <w:ind w:left="120"/>
              <w:spacing w:after="0"/>
              <w:rPr>
                <w:sz w:val="20"/>
                <w:szCs w:val="20"/>
                <w:color w:val="auto"/>
              </w:rPr>
            </w:pPr>
            <w:r>
              <w:rPr>
                <w:rFonts w:ascii="Arial" w:cs="Arial" w:eastAsia="Arial" w:hAnsi="Arial"/>
                <w:sz w:val="18"/>
                <w:szCs w:val="18"/>
                <w:color w:val="auto"/>
              </w:rPr>
              <w:t>Original equipment manufacturer</w:t>
            </w:r>
          </w:p>
        </w:tc>
      </w:tr>
      <w:tr>
        <w:trPr>
          <w:trHeight w:val="175"/>
        </w:trPr>
        <w:tc>
          <w:tcPr>
            <w:tcW w:w="4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w w:val="99"/>
              </w:rPr>
              <w:t>2031</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5.300%</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January 2031</w:t>
            </w:r>
          </w:p>
        </w:tc>
        <w:tc>
          <w:tcPr>
            <w:tcW w:w="168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Revolving Credit</w:t>
            </w:r>
          </w:p>
        </w:tc>
        <w:tc>
          <w:tcPr>
            <w:tcW w:w="394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Facility</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2026</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2032</w:t>
            </w:r>
          </w:p>
        </w:tc>
        <w:tc>
          <w:tcPr>
            <w:tcW w:w="1200" w:type="dxa"/>
            <w:vAlign w:val="bottom"/>
          </w:tcPr>
          <w:p>
            <w:pPr>
              <w:ind w:left="20"/>
              <w:spacing w:after="0"/>
              <w:rPr>
                <w:sz w:val="20"/>
                <w:szCs w:val="20"/>
                <w:color w:val="auto"/>
              </w:rPr>
            </w:pPr>
            <w:r>
              <w:rPr>
                <w:rFonts w:ascii="Arial" w:cs="Arial" w:eastAsia="Arial" w:hAnsi="Arial"/>
                <w:sz w:val="18"/>
                <w:szCs w:val="18"/>
                <w:color w:val="auto"/>
              </w:rPr>
              <w:t>Green Bonds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2.703%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April 2032</w:t>
            </w:r>
          </w:p>
        </w:tc>
        <w:tc>
          <w:tcPr>
            <w:tcW w:w="1680" w:type="dxa"/>
            <w:vAlign w:val="bottom"/>
          </w:tcPr>
          <w:p>
            <w:pPr>
              <w:spacing w:after="0"/>
              <w:rPr>
                <w:sz w:val="20"/>
                <w:szCs w:val="20"/>
                <w:color w:val="auto"/>
              </w:rPr>
            </w:pPr>
            <w:r>
              <w:rPr>
                <w:rFonts w:ascii="Arial" w:cs="Arial" w:eastAsia="Arial" w:hAnsi="Arial"/>
                <w:sz w:val="18"/>
                <w:szCs w:val="18"/>
                <w:color w:val="auto"/>
              </w:rPr>
              <w:t>SOFR</w:t>
            </w:r>
          </w:p>
        </w:tc>
        <w:tc>
          <w:tcPr>
            <w:tcW w:w="3940" w:type="dxa"/>
            <w:vAlign w:val="bottom"/>
          </w:tcPr>
          <w:p>
            <w:pPr>
              <w:ind w:left="12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2033</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SSD</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Solid state drive</w:t>
            </w:r>
          </w:p>
        </w:tc>
      </w:tr>
    </w:tbl>
    <w:p>
      <w:pPr>
        <w:spacing w:after="0" w:line="11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All period references are to our fiscal periods unless otherwise indicated. Our fiscal year is the 52 or 53-week period ending on the Thursday closest to August 31. Fiscal 2024, 2023, and 2022 each contained 52 weeks.</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Form 10-K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expected production ramp of certain products; plans to invest in research and development, including the plans to implement EUV lithography; anticipated technological developments; potential change in our effective tax rate; the timing for construction and ramping of production for our facilities, including new memory manufacturing fabs in the United States; receipt and maintenance of government incentives; the payment of future cash dividends; market conditions and profitability in our industry; our DRAM and NAND market share; future demand for our products; the impact of the Cyberspace Administration of China decision; capital spending in 2025;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Products, Market, and Sales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Technologies</w:t>
      </w:r>
    </w:p>
    <w:p>
      <w:pPr>
        <w:spacing w:after="0" w:line="2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the data center, client PC, graphics, industrial, and automotive markets.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2023, we began shipping the industry’s first 1β (1-beta) production node, which offers further improvements in power efficiency and bit density. The majority of our DRAM bit production in 2024 was on leading-edge 1α (1-alpha) and 1ß nodes. We expect volume shipments in 2025 of our next generation of DRAM, the 1γ (1-gamma) node, which will employ EUV lithography production.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803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1"/>
          <w:szCs w:val="11"/>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u w:val="single" w:color="auto"/>
          <w:color w:val="auto"/>
        </w:rPr>
        <w:t>Double Data Rate (“DDR”)</w:t>
      </w:r>
      <w:r>
        <w:rPr>
          <w:rFonts w:ascii="Arial" w:cs="Arial" w:eastAsia="Arial" w:hAnsi="Arial"/>
          <w:sz w:val="18"/>
          <w:szCs w:val="18"/>
          <w:i w:val="1"/>
          <w:iCs w:val="1"/>
          <w:color w:val="auto"/>
        </w:rPr>
        <w:t xml:space="preserve">: </w:t>
      </w:r>
      <w:r>
        <w:rPr>
          <w:rFonts w:ascii="Arial" w:cs="Arial" w:eastAsia="Arial" w:hAnsi="Arial"/>
          <w:sz w:val="18"/>
          <w:szCs w:val="18"/>
          <w:color w:val="auto"/>
        </w:rPr>
        <w:t>DDR memory transfers data twice per clock cycle resulting in improved speeds, power efficiency, and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density. DDR5 is the fifth generation of this technology and offers the critical improvements in bandwidth and power efficiency necessary to meet the growing needs of high-performance computing, AI, and data-intensive applications.</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u w:val="single" w:color="auto"/>
          <w:color w:val="auto"/>
        </w:rPr>
        <w:t>High-Bandwidth Memory (“HBM”)</w:t>
      </w:r>
      <w:r>
        <w:rPr>
          <w:rFonts w:ascii="Arial" w:cs="Arial" w:eastAsia="Arial" w:hAnsi="Arial"/>
          <w:sz w:val="18"/>
          <w:szCs w:val="18"/>
          <w:i w:val="1"/>
          <w:iCs w:val="1"/>
          <w:color w:val="auto"/>
        </w:rPr>
        <w:t xml:space="preserve">: </w:t>
      </w:r>
      <w:r>
        <w:rPr>
          <w:rFonts w:ascii="Arial" w:cs="Arial" w:eastAsia="Arial" w:hAnsi="Arial"/>
          <w:sz w:val="18"/>
          <w:szCs w:val="18"/>
          <w:color w:val="auto"/>
        </w:rPr>
        <w:t>A 3D stacked DRAM architecture that utilizes through-silicon via (“TSV”) connections for a more efficient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between each stack giving it the ability to achieve a higher bandwidth while consuming less power compared to other memory types. This makes it ideal for applications that require high data throughput and energy efficiency, such as AI applications and high-performance computing.</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u w:val="single" w:color="auto"/>
          <w:color w:val="auto"/>
        </w:rPr>
        <w:t>Graphics DRAM (“GDDR”)</w:t>
      </w:r>
      <w:r>
        <w:rPr>
          <w:rFonts w:ascii="Arial" w:cs="Arial" w:eastAsia="Arial" w:hAnsi="Arial"/>
          <w:sz w:val="18"/>
          <w:szCs w:val="18"/>
          <w:i w:val="1"/>
          <w:iCs w:val="1"/>
          <w:color w:val="auto"/>
        </w:rPr>
        <w:t xml:space="preserve">: </w:t>
      </w:r>
      <w:r>
        <w:rPr>
          <w:rFonts w:ascii="Arial" w:cs="Arial" w:eastAsia="Arial" w:hAnsi="Arial"/>
          <w:sz w:val="18"/>
          <w:szCs w:val="18"/>
          <w:color w:val="auto"/>
        </w:rPr>
        <w:t>High performance memory solution designed for graphics cards, gaming consoles, and high-performance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applications. GDDR memory is optimized for high-bandwidth workloads encountered by graphics processing units, offering faster data rates and efficient data processing capabilities.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u w:val="single" w:color="auto"/>
          <w:color w:val="auto"/>
        </w:rPr>
        <w:t>Low-Power DRAM (“LPDDR”)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for mobile devices and applications requiring low power consumption. LPDDR products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at a lower voltage than standard DRAM products and are beneficial to any power conscious application. The benefits of LPDDR memory are being realized by many market segments including mobile, PC, automotive, and data center.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reported DRAM revenue was $17.60 billion in 2024, $10.98 billion in 2023, and $22.39 billion in 2022.</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products are non-volatile, re-writeable semiconductor storage devices that provide high-capacity, low-cost storage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performance characteristics. NAND is used in SSDs for the data center, client PC,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2022, we began volume production of 232-layer NAND (“Micron G8 NAND”), the industry’s first eighth-generation NAND. It features higher areal density and delivers higher capacity and improved energy efficiency over previous generations of our NAND. In 2024, we began volume production of Micron G9 NAND, representative of the industry's ninth-generation 3D NAND node. Micron G8 and G9 NAND nodes are ramping in high volume and will become an increasing portion of our mix through 2025.</w:t>
      </w:r>
    </w:p>
    <w:p>
      <w:pPr>
        <w:spacing w:after="0" w:line="20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NAND Flash includes triple-level cell (“TLC”) and quad-level cell (“QLC”), each with varying levels of storage density, performance, and endurance. In 2024, we announced shipments of our densest OEM production QLC NAND, built on this technology, with improved storage density and access times.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2024, we also began shipping Micron G9 TLC based NAND in SSDs designed to deliver the transfer rates required to meet the low-latency and high-throughput needs of data-centric workloads from AI training and machine learning to unstructured databases, self-driving cars, and cloud computing.</w:t>
      </w:r>
    </w:p>
    <w:p>
      <w:pPr>
        <w:spacing w:after="0" w:line="19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i w:val="1"/>
          <w:iCs w:val="1"/>
          <w:u w:val="single" w:color="auto"/>
          <w:color w:val="auto"/>
        </w:rPr>
        <w:t>Solid State Drives (“SSDs”)</w:t>
      </w:r>
      <w:r>
        <w:rPr>
          <w:rFonts w:ascii="Arial" w:cs="Arial" w:eastAsia="Arial" w:hAnsi="Arial"/>
          <w:sz w:val="18"/>
          <w:szCs w:val="18"/>
          <w:i w:val="1"/>
          <w:iCs w:val="1"/>
          <w:color w:val="auto"/>
        </w:rPr>
        <w:t xml:space="preserve">: </w:t>
      </w:r>
      <w:r>
        <w:rPr>
          <w:rFonts w:ascii="Arial" w:cs="Arial" w:eastAsia="Arial" w:hAnsi="Arial"/>
          <w:sz w:val="18"/>
          <w:szCs w:val="18"/>
          <w:color w:val="auto"/>
        </w:rPr>
        <w:t>SSD storage products incorporate NAND, a controller, and firmware to offer significant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over hard disk drives, including smaller form factors, faster read and write speeds, higher reliability, and lower power consumption needed to address the growing demands of data-centric workloads, ever-increasing expectations of client users, and the stringent requirements of automotive and industrial applications.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u w:val="single" w:color="auto"/>
          <w:color w:val="auto"/>
        </w:rPr>
        <w:t>Managed NAND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NAND combines NAND flash with a sophisticated controller and firmware in a single package. This integration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allows the memory to manage itself, handling tasks like wear leveling, bad block management, and error correction internally, freeing the host system from these tasks. Products such as embedded MultiMediaCards (“eMMC”) and universal flash storage (“UFS”) offer solutions that are compact and reliable making them widely used across the mobile, automotive, and industrial markets.</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u w:val="single" w:color="auto"/>
          <w:color w:val="auto"/>
        </w:rPr>
        <w:t>Multi-Chip Packages (“MCPs”)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provide high-performance, compact, and efficient memory solutions by integrating multiple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memory, generally LPDRAM, into a single package. MCPs are used in embedded internet of things (“IoT”) applications, automotive systems, mobile devices, and industrial devices where space and power efficiency are critical.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reported NAND revenue was $7.23 billion in 2024, $4.21 billion in 2023, and $7.81 billion in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 by Business Unit and Market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 and Networking Business Unit (“CNBU”)</w:t>
      </w:r>
    </w:p>
    <w:p>
      <w:pPr>
        <w:spacing w:after="0" w:line="250" w:lineRule="exact"/>
        <w:rPr>
          <w:sz w:val="20"/>
          <w:szCs w:val="20"/>
          <w:color w:val="auto"/>
        </w:rPr>
      </w:pPr>
    </w:p>
    <w:p>
      <w:pPr>
        <w:jc w:val="both"/>
        <w:ind w:right="600"/>
        <w:spacing w:after="0" w:line="268" w:lineRule="auto"/>
        <w:rPr>
          <w:sz w:val="20"/>
          <w:szCs w:val="20"/>
          <w:color w:val="auto"/>
        </w:rPr>
      </w:pPr>
      <w:r>
        <w:rPr>
          <w:rFonts w:ascii="Arial" w:cs="Arial" w:eastAsia="Arial" w:hAnsi="Arial"/>
          <w:sz w:val="18"/>
          <w:szCs w:val="18"/>
          <w:color w:val="auto"/>
        </w:rPr>
        <w:t>CNBU includes memory products and solutions sold into the data center, PC, graphics, and networking markets including HBM, DDR, LPDRAM and GDDR, as well as some emerging memory technologies like compute express link (“CXL”) and multi-ranked dual in-line memory module (“MRDIMM”).</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i w:val="1"/>
          <w:iCs w:val="1"/>
          <w:u w:val="single" w:color="auto"/>
          <w:color w:val="auto"/>
        </w:rPr>
        <w:t>Data center:</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data center end market were driven primarily by server demand across the cloud and enterprise markets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offered to the networking market.</w:t>
      </w:r>
    </w:p>
    <w:p>
      <w:pPr>
        <w:spacing w:after="0" w:line="18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Overall cloud growth continues to be driven by the shift of both infrastructure and workloads from on-premises to the cloud. Cloud-native workloads are drivers of growth through use-cases like intelligent edge devices capable of AI and augmented reality that store and access data in the cloud or rely on the cloud for compute capability. Cloud servers supporting AI and data-centric workloads require significantly increasing quantities of DRAM, including HBM, and NAND as the task of turning data into insight becomes increasingly memory-centric.</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2024, we began volume production of our 8-high 24GB HBM3E with increased bandwidth and superior power efficiency enabled by our advanced 1β process node. This enhanced version of the third generation of HBM delivers faster data rates, improved thermal response, and a higher monolithic die density within the same package footprint as previous generations. We have also started shipments of production-capable HBM3E 12-high 36GB units to enable qualifications across the AI ecosystem.</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modern servers pack more processing cores into central processing units (“CPUs”), the memory bandwidth per CPU core has been decreasing. Our DDR5 alleviates this bottleneck by providing higher bandwidth compared to previous generations, enabling improved performance and scaling. In 2024, we qualified and began shipping our 128GB DDR5 server module, built on a monolithic 32Gb DRAM die and powered by our 1ß node. This innovative product provides an industry alternative to existing 3D TSV-based solutions to address the rigorous speed and capacity demands of memory-intensive generative AI applications. We are leveraging our innovative solutions to pioneer the adoption of LPDDR for servers in the data center. Additionally, we also announced our 256GB MRDIMM module, which further enhances performance and increases DRAM content per server.</w:t>
      </w:r>
    </w:p>
    <w:p>
      <w:pPr>
        <w:spacing w:after="0" w:line="21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In 2024, networking demand was driven by AI and DDR5 platform deployments in data center networking and increasing data transfer requirements across multiple industries.</w:t>
      </w:r>
    </w:p>
    <w:p>
      <w:pPr>
        <w:spacing w:after="0" w:line="18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i w:val="1"/>
          <w:iCs w:val="1"/>
          <w:u w:val="single" w:color="auto"/>
          <w:color w:val="auto"/>
        </w:rPr>
        <w:t>PC</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sold to the client PC market support both commercial and consumer PC unit growth. The next generation PCs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announced contain high-performance neural processing chipsets as well as AI. We expect these devices will have significantly more DRAM content than today’s average PC.</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AI use cases proliferate to PCs, performance of the memory subsystem becomes more critical. In 2024, we announced the low-power compression-attached memory module to deliver the required performance to process AI workloads on PCs and provide the potential to scale to applications needing a high performance and low power solution in a compact and modular form factor.</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Graphics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graphics market is driven by the need for high-performance and HBM solutions. Our GDDR6 and GDDR6X DRAM graphics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incorporated into gaming consoles, PC graphics cards, and graphics processing unit-based data center solutions, which are the driving force behind applications such as AI, virtual and augmented reality, 4K and 8K gaming, and professional design.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80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1"/>
          <w:szCs w:val="11"/>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2024, we announced our next generation GDDR7 graphics memory which delivers high-performance memory in a power-optimized design. Built on our 1β node, GDDR7 is the next generation of GDDR memory to advance user experience in graphics and gaming. The addition of GDDR7 completes our industry-leading product portfolio for AI inference applications on CPUs, neural processing units, and graphics processing units.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CNBU reported revenue of $9.51 billion in 2024, $5.71 billion in 2023, and $13.69 billion in 2022. CNBU sales to the data center, PC, and graphics markets in 2024 consisted primarily of our HBM, DDR5 and DDR4, LPDDR5, and GDDR6 DRAM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p>
    <w:p>
      <w:pPr>
        <w:spacing w:after="0" w:line="25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MBU includes memory and storage products sold into the smartphone and other mobile-device markets including discrete NAND, DRAM, and managed NAND products. MBU offers a comprehensive portfolio of MCPs and managed NAND, including products which combine eMMC/UFS solutions with LPDRAM, along with a suite of unique firmware features designed for next-generation smartphones and to accelerate AI applications in the mobile market.</w:t>
      </w:r>
    </w:p>
    <w:p>
      <w:pPr>
        <w:spacing w:after="0" w:line="2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proliferation of smartphones, tablets, and other mobile devices continues to increase the demand for memory chips. These devices require high-performance memory to support various applications, from gaming to productivity. Smartphones offer tremendous potential for personalized AI capabilities that offer greater security and responsiveness when executed on the device. Enabling these on-device AI capabilities is driving increased memory and storage capacity needs and increasing demand for new value-add solutions.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2024, we announced our second generation of NAND UFS 4.0 devices, which offer a more compact package size and increased power efficiency to provide design manufacturers more room and power needed for next generation smartphone designs. We also began sampling our next generation of low power smartphone DRAM, built on our 1ß node. The LPDDR5X provides peak bandwidth data transfer that is critical for enabling AI at the intelligent edge. This advanced memory technology is designed for high-end and flagship smartphones where its high bandwidth and power efficiency are crucial for delivering top-tier performance.</w:t>
      </w:r>
    </w:p>
    <w:p>
      <w:pPr>
        <w:spacing w:after="0" w:line="20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MBU reported revenue of $6.35 billion in 2024, $3.63 billion in 2023, and $7.26 billion in 2022. MBU sales to the mobile market in 2024 consisted primarily of LPDDR5 and LPDDR4 DRAM and managed NAND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EBU includes memory and storage products and solutions sold into the intelligent edge through the automotive, industrial, and consumer embedded markets including discrete and module DRAM, discrete NAND, managed NAND, SSDs, and NOR. The intelligent edge refers to the continually growing set of connected systems and devices where data is analyzed and aggregated closest to where it is captured. Intelligent devices, those using AI for inference at the edge, are now more self-contained and do not need to connect to the cloud to run their algorithms.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u w:val="single" w:color="auto"/>
          <w:color w:val="auto"/>
        </w:rPr>
        <w:t>Automotive</w:t>
      </w:r>
      <w:r>
        <w:rPr>
          <w:rFonts w:ascii="Arial" w:cs="Arial" w:eastAsia="Arial" w:hAnsi="Arial"/>
          <w:sz w:val="18"/>
          <w:szCs w:val="18"/>
          <w:color w:val="auto"/>
        </w:rPr>
        <w:t>: Advancements in autonomous driving, advanced driver-assistance systems, and in-vehicle infotainment systems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Adoption of Level 2+ advanced driver-assistance systems capabilities continue to gain momentum, further expanding content per vehicle. Our products enable increasingly advanced vision and sensor based automated systems to support driver assistance solutions and vehicle safety. In 2024, we qualified our automotive LPDDR5X, UFS 3.1, and NOR flash storage solutions for a comprehensive set of cloud-connected platforms designed for power data-rich, intelligent automotive services.</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Industrial</w:t>
      </w:r>
      <w:r>
        <w:rPr>
          <w:rFonts w:ascii="Arial" w:cs="Arial" w:eastAsia="Arial" w:hAnsi="Arial"/>
          <w:sz w:val="18"/>
          <w:szCs w:val="18"/>
          <w:color w:val="auto"/>
        </w:rPr>
        <w:t>: The demand for industrial memory is being fueled by the increasing adoption of IoT devices, automation in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machine-to-machine communication, transportation, surveillance, retail, and smart infrastructure. The need for reliable and high-performance memory solutions in these applications is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u w:val="single" w:color="auto"/>
          <w:color w:val="auto"/>
        </w:rPr>
        <w:t>Consumer embedded</w:t>
      </w:r>
      <w:r>
        <w:rPr>
          <w:rFonts w:ascii="Arial" w:cs="Arial" w:eastAsia="Arial" w:hAnsi="Arial"/>
          <w:sz w:val="18"/>
          <w:szCs w:val="18"/>
          <w:color w:val="auto"/>
        </w:rPr>
        <w:t>: Embedded memory and storage solutions are used in a diverse set of consumer products, including service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and IP set-top boxes, digital home assistants, digital still and video cameras, home networking, ultra-high-definition televisions, augmented reality and virtual reality headsets, and many more applications. Our embedded memory and storage solutions enable intelligent edge devices in the consumer products market to store, connect, and transform information in the IoT.</w:t>
      </w:r>
    </w:p>
    <w:p>
      <w:pPr>
        <w:spacing w:after="0" w:line="203"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EBU reported revenue of $4.61 billion 2024, $3.64 billion in 2023, and $5.24 billion in 2022. EBU sales to the automotive, industrial, and consumer embedded markets in 2024 consisted primarily of LPDDR5 and LPDDR4 DRAM, DDR4 and DDR3 DRAM, and managed NAND.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Business Unit (“SBU”)</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SBU includes SSDs and component-level storage solutions sold into the data center, PC, and consumer markets. The data center market includes enterprise and cloud SSDs and enterprise NAND components while the PC market consists of client SSDs. Additionally, SBU sales include NAND components and our Crucial-branded SSDs sold to the consumer market.</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Data center:</w:t>
      </w:r>
      <w:r>
        <w:rPr>
          <w:rFonts w:ascii="Arial" w:cs="Arial" w:eastAsia="Arial" w:hAnsi="Arial"/>
          <w:sz w:val="18"/>
          <w:szCs w:val="18"/>
          <w:i w:val="1"/>
          <w:iCs w:val="1"/>
          <w:color w:val="auto"/>
        </w:rPr>
        <w:t xml:space="preserve"> </w:t>
      </w:r>
      <w:r>
        <w:rPr>
          <w:rFonts w:ascii="Arial" w:cs="Arial" w:eastAsia="Arial" w:hAnsi="Arial"/>
          <w:sz w:val="18"/>
          <w:szCs w:val="18"/>
          <w:color w:val="auto"/>
        </w:rPr>
        <w:t>The growing use of cloud computing and big data analytics is fueling the demand for high performance storage in data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such as machine learning servers require fast access to data with low latency, predictable performance, and high storage capacities. Our 6500 30TB SSDs features high performance, reliability, and endurance for AI data lake applications. In 2024, we began sampling our 9550 series SSD to meet the growing demands of AI, high-performance computing, and many other workloads. This fully integrated solution enables improved performance, power efficiency, and security features for data center operators.</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u w:val="single" w:color="auto"/>
          <w:color w:val="auto"/>
        </w:rPr>
        <w:t>PC:</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generation PCs contain high-performance neural processing chipsets as well as AI capabilities and require higher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higher average capacity SSDs than traditional PCs. Our client SSDs, targeted for leading personal computer OEMs, have mostly replaced hard disk drives used in notebooks, desktops, workstations, and other consumer applications, and deliver high performance, power efficiency, security, and capacity. In 2024, we expanded our technology portfolio with the 3500 NVMe SSD, our first performance client SSD built on Micron G8 NAND. This original SSD will help our customers handle demanding workloads for business applications, scientific computing, gaming, and content creation.</w:t>
      </w:r>
    </w:p>
    <w:p>
      <w:pPr>
        <w:spacing w:after="0" w:line="2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SBU reported revenue of $4.59 billion in 2024, $ 2.55 billion in 2023, and $4.55 billion in 2022. SBU sales to the data center SSD and PC markets in 2024 consisted primarily of our 2400, 5400, 6500 ION, 7450, 7500, and 9400 series SSDs as well as component NAND sales of QLC and TLC.</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Customers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distributors, retailers, and independent sales representatives. Our distributors carry our products in inventory and typically sell a variety of other semiconductor products, including our competitors’ products. Our independent sales representatives obtain orders, subject to final acceptance by us, and we then make shipments against these orders directly to customers or through our distributors. We sell our Crucial-branded products through a web-based customer-direct sales channel as well as through channel and distribution partners. We maintain inventory at locations in close proximity to certain key customers to facilitate rapid delivery of products.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Due to volatile industry conditions, our customers are generally reluctant to enter into long-term, fixed-price purchase contracts. We typically enter into long-term agreements with our customers with acknowledgment that pricing, quantity, and other terms will be periodically negotiated to reflect market conditions and our customer’s demand for our products.</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For other information regarding our concentrations and customers, see “Part II – Item 8. Financial Statements and Supplementary Data – Notes to Consolidated Financial Statements – Certain Concentrations.”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Conditions</w:t>
      </w:r>
    </w:p>
    <w:p>
      <w:pPr>
        <w:spacing w:after="0" w:line="2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May 2023 decision by China’s Cyberspace Administration (the “CAC”) that critical information infrastructure operators in China may not purchase Micron products had an adverse impact on our ability to compete effectively in China and elsewhere.</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Manufacturing</w:t>
      </w:r>
    </w:p>
    <w:p>
      <w:pPr>
        <w:spacing w:after="0" w:line="2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manufacture our products within our own facilities located in Taiwan, Singapore, Japan, the United States, Malaysia, China, and India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process for manufacturing semiconductor products is complex and involves numerous precise steps, including wafer fabrication, post fabrication processing,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and cost, package type, cleanliness of our manufacturing environment, and utilization of subcontractors to perform certain manufacturing processes. As we continue to increase our production of high value products and solutions, manufacturing costs are increasingly affected by the costs of application-specific integrated circuit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20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 Our construction projects are highly dependent on available sources of materials, and specialized equipment, as well as labor, skilled sub-contractors and other service providers. Increasing demand, supply constraints, inflation,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Resources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Materials, and Third-Party Service Providers</w:t>
      </w:r>
    </w:p>
    <w:p>
      <w:pPr>
        <w:spacing w:after="0" w:line="2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operations are dependent on a reliable and uninterrupted supply of electrical power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24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August 29, 2024, we owned approximately 14,500 active U.S. patents and 7,000 active foreign patents. In addition, we have thousands of U.S. and foreign patent applications pending. Our patents have various terms expiring through 2043.</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Research and Development</w:t>
      </w:r>
    </w:p>
    <w:p>
      <w:pPr>
        <w:spacing w:after="0" w:line="2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R&amp;D efforts are focused primarily on development of memory and storage solutions, including our industry-leading DRAM and NAND technology, that enable continuous improvement in performance and cost structure for our products. Our 1-gamma DRAM pilot production using EUV lithography is progressing well, and we are on track for volume production in calendar 2025. We have begun volume production on our Micron G9 NAND node, and expect to introduce several industry-leading products over the coming quarters. We are well-positioned with our industry leading HBM3E technology. We are also focused on developing new and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HBM, DDR5, LPDDR5, high-capacity MRDIMMs, CXL based products, and advanced graphics DRAM; TLC and QLC NAND technologies; mobile and storage solutions (including firmware and controllers) in managed NAND and SSDs; and other memory technologies and systems.</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primary R&amp;D centers are located in Boise, Idaho; San Jose, California; India; Japan; Taiwan; China; Italy; Singapore; Germany; Malaysia; and other sites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the scope of the product.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Human Capital</w:t>
      </w:r>
    </w:p>
    <w:p>
      <w:pPr>
        <w:spacing w:after="0" w:line="25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depend on a highly educated and experienced workforce to design, develop, and manufacture high-quality, cutting-edge memory and storage solutions. As of August 29, 2024, we had approximately 48,000 employees located primarily in Asia, the United States, and Europe of which 31% were women.</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of Directors was comprised of five men and four women as of August 29, 2024. In addition, as of August 29, 2024, based on self-identification, one member of our Board of Directors is Asian, one member is African-American, and seven members are White. One member of our Board of Directors is a veteran of the U.S. military.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Talent Acquisition, Development, and Engagement</w:t>
      </w:r>
    </w:p>
    <w:p>
      <w:pPr>
        <w:spacing w:after="0" w:line="2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Finding and retaining the best and brightest people in an extremely competitive industry environment is a strategic imperative for our business. We partner with our communities, institutions, governments, and associations to expand the pipeline of diverse, highly skilled STEM talent globally. Our partnerships with K-12 and post-secondary education systems are key to training and inspiring the next generation to consider STEM careers in the semiconductor industry. On hiring, we focus on merit and use a variety of means to find the best talent. We are committed to developing team members at all stages of their careers, including on-the-job training, continuing education, a robust mentoring program, and numerous internal certifications and training. In addition, we develop and accelerate our leaders’ careers through targeted learning that helps them move to higher-level positions or across functions.</w:t>
      </w:r>
    </w:p>
    <w:p>
      <w:pPr>
        <w:spacing w:after="0" w:line="210" w:lineRule="exact"/>
        <w:rPr>
          <w:sz w:val="20"/>
          <w:szCs w:val="20"/>
          <w:color w:val="auto"/>
        </w:rPr>
      </w:pPr>
    </w:p>
    <w:p>
      <w:pPr>
        <w:jc w:val="both"/>
        <w:ind w:right="500"/>
        <w:spacing w:after="0" w:line="291" w:lineRule="auto"/>
        <w:rPr>
          <w:sz w:val="20"/>
          <w:szCs w:val="20"/>
          <w:color w:val="auto"/>
        </w:rPr>
      </w:pPr>
      <w:r>
        <w:rPr>
          <w:rFonts w:ascii="Arial" w:cs="Arial" w:eastAsia="Arial" w:hAnsi="Arial"/>
          <w:sz w:val="17"/>
          <w:szCs w:val="17"/>
          <w:color w:val="auto"/>
        </w:rPr>
        <w:t>We use a research-based, people-centric approach to understanding and improving team member engagement. Listening to our team members is emphasized by the Micron Voice program. In 2023, we updated our listening strategy — which encompasses engagement, culture, leadership behaviors, wellbeing and inclusion — and implemented a survey to learn more from our team members.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and Benefits</w:t>
      </w:r>
    </w:p>
    <w:p>
      <w:pPr>
        <w:spacing w:after="0" w:line="2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compensation programs are designed to support our team members’ financial and personal wellbeing by providing a valuable return for their contributions to the Company. Our total compensation strategy includes base salary, bonuses, equity awards, a discounted stock purchase plan, and a comprehensive benefits package.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Diversity, Equality, and Inclusion</w:t>
      </w:r>
    </w:p>
    <w:p>
      <w:pPr>
        <w:spacing w:after="0" w:line="24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have five diversity, equality, and inclusion (“DEI”) commitments that serve as the roadmap of our DEI work internally, within our industry, and in the community at large. To hold ourselves accountable, each commitment is assigned an executive sponsor who is responsible for its strategy and execution. Our five DEI commitments are summarized as follows:</w:t>
      </w:r>
    </w:p>
    <w:p>
      <w:pPr>
        <w:spacing w:after="0" w:line="19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hiring from nontraditional pathways and underrepresented groups;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equitable pay and inclusive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champion advocacy and strengthen our culture of inclusion;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with diverse financial institutions;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diverse supplier representation and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a regular review of pay globally, including base pay and stock awards, to drive compensation equitably. In 2024, we achieved global pay equity for all underrepresented employees in compensation across base pay and stock rewards. We plan to also continually assess our global leave, medical, and financial benefits to ensure market competitiveness and opportunities to create greater inclusion.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Safety, and Wellbeing</w:t>
      </w:r>
    </w:p>
    <w:p>
      <w:pPr>
        <w:spacing w:after="0" w:line="2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2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our proactive efforts on safety, our team member wellbeing program offers resources across our five pillars (physical, mental, social, career, and financial). We provide services to our team members including free mental health and counseling support, on-site and near-site fitness centers, wellness spaces and health clinics at certain Micron sites, money management and other financial education tools, and encouraging team members to form healthy habits, reduce stress and reinforce mindfulness solutions by participating in wellbeing challenges and measuring their personal progress. We also provide family support for caregiving needs through various solutions including onsite or near-site childcare centers, backup care support and referral resources.</w:t>
      </w:r>
    </w:p>
    <w:p>
      <w:pPr>
        <w:spacing w:after="0" w:line="20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 information about our human capital is included in our 2024 Sustainability Report and our 2023 DEI Annual Report, each available on our website. Information contained or referenced on our website is not incorporated by reference and does not form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Government Regulations</w:t>
      </w:r>
    </w:p>
    <w:p>
      <w:pPr>
        <w:spacing w:after="0" w:line="2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worldwide business activities are subject to various federal, state, local, and foreign laws and our products are governed by a number of rules and regulations and customer expectations.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Compliance</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Manufacturing and sales of our products are subject to complex and evolving federal, state, local, and foreign environmental, health, safety and product laws and regulations and expectations. We approach environmental compliance and sustainability proactively to ensure we meet applicable government regulations regarding use of raw materials and chemicals, discharges, emissions, climate change and energy use, and waste disposal and management from our manufacturing processes. Our approach also considers the expectations of our investors, customers, team members, community members, and other stakeholders. Compliance with the law and other obligations is a minimum environmental expectation at Micron. Our wafer fabrication facilities conform to the requirements of the ISO 14001:2015 environmental management systems standard to ensure we are continuously improving our performance. As part of the ISO 14001 framework, we have established a global environmental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Regulations</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Risks Related to Laws and Regulations – Government actions and regulations, such as export restrictions, tariffs, and trade protection measures, may limit our ability to sell our products to certain customers or markets, or could otherwise restrict our ability to conduct operations” and “ – Risks Related to Our Business, Operations, and Industry – We face geopolitical and other risks associated with our international operations that could materially adversely affect our business, results of operations, or financial condition.” We and/or our suppliers and service providers could be affected by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Information About Our Executive Officers</w:t>
      </w:r>
    </w:p>
    <w:p>
      <w:pPr>
        <w:spacing w:after="0" w:line="25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information, as of August 29, 2024,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6934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r>
    </w:p>
    <w:p>
      <w:pPr>
        <w:spacing w:after="0" w:line="82"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R. Allen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Corporate Vice President and Chief Accounting Officer</w:t>
      </w:r>
    </w:p>
    <w:p>
      <w:pPr>
        <w:spacing w:after="0" w:line="75" w:lineRule="exact"/>
        <w:rPr>
          <w:sz w:val="20"/>
          <w:szCs w:val="20"/>
          <w:color w:val="auto"/>
        </w:rPr>
      </w:pPr>
    </w:p>
    <w:p>
      <w:pPr>
        <w:ind w:left="2060" w:right="60"/>
        <w:spacing w:after="0" w:line="247" w:lineRule="auto"/>
        <w:rPr>
          <w:sz w:val="20"/>
          <w:szCs w:val="20"/>
          <w:color w:val="auto"/>
        </w:rPr>
      </w:pPr>
      <w:r>
        <w:rPr>
          <w:rFonts w:ascii="Arial" w:cs="Arial" w:eastAsia="Arial" w:hAnsi="Arial"/>
          <w:sz w:val="18"/>
          <w:szCs w:val="18"/>
          <w:color w:val="auto"/>
        </w:rPr>
        <w:t>Mr. Allen, 56,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College.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April S. Arnzen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People Officer</w:t>
      </w:r>
    </w:p>
    <w:p>
      <w:pPr>
        <w:spacing w:after="0" w:line="75" w:lineRule="exact"/>
        <w:rPr>
          <w:sz w:val="20"/>
          <w:szCs w:val="20"/>
          <w:color w:val="auto"/>
        </w:rPr>
      </w:pPr>
    </w:p>
    <w:p>
      <w:pPr>
        <w:ind w:left="2060" w:right="280"/>
        <w:spacing w:after="0" w:line="245" w:lineRule="auto"/>
        <w:rPr>
          <w:sz w:val="20"/>
          <w:szCs w:val="20"/>
          <w:color w:val="auto"/>
        </w:rPr>
      </w:pPr>
      <w:r>
        <w:rPr>
          <w:rFonts w:ascii="Arial" w:cs="Arial" w:eastAsia="Arial" w:hAnsi="Arial"/>
          <w:sz w:val="18"/>
          <w:szCs w:val="18"/>
          <w:color w:val="auto"/>
        </w:rPr>
        <w:t>Ms. Arnzen, 53, joined us in December 1996 and has served in various leadership positions since that time. Ms. Arnzen was named Senior Vice President, Human Resources in June 2017, named Chief People Officer in</w:t>
      </w:r>
    </w:p>
    <w:p>
      <w:pPr>
        <w:ind w:left="2060" w:right="140"/>
        <w:spacing w:after="0" w:line="226" w:lineRule="auto"/>
        <w:rPr>
          <w:sz w:val="20"/>
          <w:szCs w:val="20"/>
          <w:color w:val="auto"/>
        </w:rPr>
      </w:pPr>
      <w:r>
        <w:rPr>
          <w:rFonts w:ascii="Arial" w:cs="Arial" w:eastAsia="Arial" w:hAnsi="Arial"/>
          <w:sz w:val="18"/>
          <w:szCs w:val="18"/>
          <w:color w:val="auto"/>
        </w:rPr>
        <w:t>October 2020, and named Executive Vice President in October 2023. Ms. Arnzen holds a BS in Human Resource Management and Marketing from the University of Idaho and is a graduate of the Stanford Graduate School of</w:t>
      </w:r>
    </w:p>
    <w:p>
      <w:pPr>
        <w:spacing w:after="0" w:line="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Business Executive Program.</w:t>
      </w:r>
    </w:p>
    <w:p>
      <w:pPr>
        <w:spacing w:after="0" w:line="200" w:lineRule="exact"/>
        <w:rPr>
          <w:sz w:val="20"/>
          <w:szCs w:val="20"/>
          <w:color w:val="auto"/>
        </w:rPr>
      </w:pPr>
    </w:p>
    <w:p>
      <w:pPr>
        <w:spacing w:after="0" w:line="221"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Manish Bhatia</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Global Operations</w:t>
      </w:r>
    </w:p>
    <w:p>
      <w:pPr>
        <w:spacing w:after="0" w:line="75" w:lineRule="exact"/>
        <w:rPr>
          <w:sz w:val="20"/>
          <w:szCs w:val="20"/>
          <w:color w:val="auto"/>
        </w:rPr>
      </w:pPr>
    </w:p>
    <w:p>
      <w:pPr>
        <w:ind w:left="2060" w:right="220"/>
        <w:spacing w:after="0" w:line="245" w:lineRule="auto"/>
        <w:rPr>
          <w:sz w:val="20"/>
          <w:szCs w:val="20"/>
          <w:color w:val="auto"/>
        </w:rPr>
      </w:pPr>
      <w:r>
        <w:rPr>
          <w:rFonts w:ascii="Arial" w:cs="Arial" w:eastAsia="Arial" w:hAnsi="Arial"/>
          <w:sz w:val="18"/>
          <w:szCs w:val="18"/>
          <w:color w:val="auto"/>
        </w:rPr>
        <w:t>Mr. Bhatia, 52, joined us in October 2017 as our Executive Vice President, Global Operations. From May 2016 to October 2017, Mr. Bhatia served as the Executive Vice President of Silicon Operations at Western Digital</w:t>
      </w:r>
    </w:p>
    <w:p>
      <w:pPr>
        <w:ind w:left="2060" w:right="200"/>
        <w:spacing w:after="0"/>
        <w:rPr>
          <w:sz w:val="20"/>
          <w:szCs w:val="20"/>
          <w:color w:val="auto"/>
        </w:rPr>
      </w:pPr>
      <w:r>
        <w:rPr>
          <w:rFonts w:ascii="Arial" w:cs="Arial" w:eastAsia="Arial" w:hAnsi="Arial"/>
          <w:sz w:val="17"/>
          <w:szCs w:val="17"/>
          <w:color w:val="auto"/>
        </w:rPr>
        <w:t>Corporation. From March 2010 to May 2016, Mr. Bhatia held several executive roles at SanDisk Corporation including Executive Vice President of Worldwide Operations until it was acquired by Western Digital in May 2016.</w:t>
      </w:r>
    </w:p>
    <w:p>
      <w:pPr>
        <w:spacing w:after="0" w:line="1" w:lineRule="exact"/>
        <w:rPr>
          <w:sz w:val="20"/>
          <w:szCs w:val="20"/>
          <w:color w:val="auto"/>
        </w:rPr>
      </w:pPr>
    </w:p>
    <w:p>
      <w:pPr>
        <w:ind w:left="2060" w:right="240"/>
        <w:spacing w:after="0" w:line="237" w:lineRule="auto"/>
        <w:rPr>
          <w:sz w:val="20"/>
          <w:szCs w:val="20"/>
          <w:color w:val="auto"/>
        </w:rPr>
      </w:pPr>
      <w:r>
        <w:rPr>
          <w:rFonts w:ascii="Arial" w:cs="Arial" w:eastAsia="Arial" w:hAnsi="Arial"/>
          <w:sz w:val="18"/>
          <w:szCs w:val="18"/>
          <w:color w:val="auto"/>
        </w:rPr>
        <w:t>Mr. Bhatia holds a BS and MS in Mechanical Engineering and an MBA, each from the Massachusetts Institute of Technology.</w:t>
      </w:r>
    </w:p>
    <w:p>
      <w:pPr>
        <w:spacing w:after="0" w:line="233"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Michael W. Bokan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Worldwide Sales</w:t>
      </w:r>
    </w:p>
    <w:p>
      <w:pPr>
        <w:spacing w:after="0" w:line="75" w:lineRule="exact"/>
        <w:rPr>
          <w:sz w:val="20"/>
          <w:szCs w:val="20"/>
          <w:color w:val="auto"/>
        </w:rPr>
      </w:pPr>
    </w:p>
    <w:p>
      <w:pPr>
        <w:ind w:left="2060" w:right="100"/>
        <w:spacing w:after="0" w:line="253" w:lineRule="auto"/>
        <w:rPr>
          <w:sz w:val="20"/>
          <w:szCs w:val="20"/>
          <w:color w:val="auto"/>
        </w:rPr>
      </w:pPr>
      <w:r>
        <w:rPr>
          <w:rFonts w:ascii="Arial" w:cs="Arial" w:eastAsia="Arial" w:hAnsi="Arial"/>
          <w:sz w:val="18"/>
          <w:szCs w:val="18"/>
          <w:color w:val="auto"/>
        </w:rPr>
        <w:t>Mr. Bokan, 63, joined us in 1996 and has served in various leadership positions since that time. Mr. Bokan was named Senior Vice President, Worldwide Sales in October 2018. Mr. Bokan holds a BS in Business Administration from Colorado State University.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J. DeBoer</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Technology &amp; Products</w:t>
      </w:r>
    </w:p>
    <w:p>
      <w:pPr>
        <w:spacing w:after="0" w:line="75" w:lineRule="exact"/>
        <w:rPr>
          <w:sz w:val="20"/>
          <w:szCs w:val="20"/>
          <w:color w:val="auto"/>
        </w:rPr>
      </w:pPr>
    </w:p>
    <w:p>
      <w:pPr>
        <w:ind w:left="2060" w:right="180"/>
        <w:spacing w:after="0" w:line="259" w:lineRule="auto"/>
        <w:rPr>
          <w:sz w:val="20"/>
          <w:szCs w:val="20"/>
          <w:color w:val="auto"/>
        </w:rPr>
      </w:pPr>
      <w:r>
        <w:rPr>
          <w:rFonts w:ascii="Arial" w:cs="Arial" w:eastAsia="Arial" w:hAnsi="Arial"/>
          <w:sz w:val="17"/>
          <w:szCs w:val="17"/>
          <w:color w:val="auto"/>
        </w:rPr>
        <w:t>Dr. DeBoer, 58, joined us in February 1995 and has served in various leadership positions since that time. Dr. DeBoer was named Executive Vice President, Technology Development in June 2017 and named Executive Vice</w:t>
      </w:r>
    </w:p>
    <w:p>
      <w:pPr>
        <w:spacing w:after="0" w:line="1" w:lineRule="exact"/>
        <w:rPr>
          <w:sz w:val="20"/>
          <w:szCs w:val="20"/>
          <w:color w:val="auto"/>
        </w:rPr>
      </w:pPr>
    </w:p>
    <w:p>
      <w:pPr>
        <w:ind w:left="2060" w:right="300"/>
        <w:spacing w:after="0" w:line="237" w:lineRule="auto"/>
        <w:rPr>
          <w:sz w:val="20"/>
          <w:szCs w:val="20"/>
          <w:color w:val="auto"/>
        </w:rPr>
      </w:pPr>
      <w:r>
        <w:rPr>
          <w:rFonts w:ascii="Arial" w:cs="Arial" w:eastAsia="Arial" w:hAnsi="Arial"/>
          <w:sz w:val="18"/>
          <w:szCs w:val="18"/>
          <w:color w:val="auto"/>
        </w:rPr>
        <w:t>President, Technology &amp; Products in September 2019. Dr. DeBoer holds a PhD in Electrical Engineering and an MS in Physics from Iowa State University. He completed his undergraduate degree at Hastings College.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5589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Sanjay Mehrotra</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48" w:lineRule="exact"/>
        <w:rPr>
          <w:sz w:val="20"/>
          <w:szCs w:val="20"/>
          <w:color w:val="auto"/>
        </w:rPr>
      </w:pPr>
    </w:p>
    <w:p>
      <w:pPr>
        <w:ind w:left="2060" w:right="60"/>
        <w:spacing w:after="0" w:line="226" w:lineRule="auto"/>
        <w:rPr>
          <w:sz w:val="20"/>
          <w:szCs w:val="20"/>
          <w:color w:val="auto"/>
        </w:rPr>
      </w:pPr>
      <w:r>
        <w:rPr>
          <w:rFonts w:ascii="Arial" w:cs="Arial" w:eastAsia="Arial" w:hAnsi="Arial"/>
          <w:sz w:val="18"/>
          <w:szCs w:val="18"/>
          <w:color w:val="auto"/>
        </w:rPr>
        <w:t>Mr. Mehrotra, 66,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has served since March 2021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153"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Mark J. Murphy</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61" w:lineRule="exact"/>
        <w:rPr>
          <w:sz w:val="20"/>
          <w:szCs w:val="20"/>
          <w:color w:val="auto"/>
        </w:rPr>
      </w:pPr>
    </w:p>
    <w:p>
      <w:pPr>
        <w:ind w:left="2060" w:right="80"/>
        <w:spacing w:after="0" w:line="228" w:lineRule="auto"/>
        <w:rPr>
          <w:sz w:val="20"/>
          <w:szCs w:val="20"/>
          <w:color w:val="auto"/>
        </w:rPr>
      </w:pPr>
      <w:r>
        <w:rPr>
          <w:rFonts w:ascii="Arial" w:cs="Arial" w:eastAsia="Arial" w:hAnsi="Arial"/>
          <w:sz w:val="18"/>
          <w:szCs w:val="18"/>
          <w:color w:val="auto"/>
        </w:rPr>
        <w:t>Mr. Murphy, 56,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249"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Michael Ray</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Chief Legal Officer and Corporate Secretary</w:t>
      </w:r>
    </w:p>
    <w:p>
      <w:pPr>
        <w:spacing w:after="0" w:line="61" w:lineRule="exact"/>
        <w:rPr>
          <w:sz w:val="20"/>
          <w:szCs w:val="20"/>
          <w:color w:val="auto"/>
        </w:rPr>
      </w:pPr>
    </w:p>
    <w:p>
      <w:pPr>
        <w:ind w:left="2060" w:right="140"/>
        <w:spacing w:after="0" w:line="230" w:lineRule="auto"/>
        <w:rPr>
          <w:sz w:val="20"/>
          <w:szCs w:val="20"/>
          <w:color w:val="auto"/>
        </w:rPr>
      </w:pPr>
      <w:r>
        <w:rPr>
          <w:rFonts w:ascii="Arial" w:cs="Arial" w:eastAsia="Arial" w:hAnsi="Arial"/>
          <w:sz w:val="18"/>
          <w:szCs w:val="18"/>
          <w:color w:val="auto"/>
        </w:rPr>
        <w:t>Mr. Ray, 56, joined us in January 2024 as our Senior Vice President, Chief Legal Officer and Corporate Secretary. From September 2000 to January 2024, Mr. Ray served as the Chief Legal Officer of Western Digital Corporation, and prior to that, held several leadership roles at Western Digital Corporation, including Senior Counsel, Assistant General Counsel, Vice President of Legal Services, and General Counsel. Mr. Ray holds a BA in Classics from Harvard College and a JD from Harvard Law School.</w:t>
      </w:r>
    </w:p>
    <w:p>
      <w:pPr>
        <w:spacing w:after="0" w:line="200" w:lineRule="exact"/>
        <w:rPr>
          <w:sz w:val="20"/>
          <w:szCs w:val="20"/>
          <w:color w:val="auto"/>
        </w:rPr>
      </w:pPr>
    </w:p>
    <w:p>
      <w:pPr>
        <w:spacing w:after="0" w:line="237"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Sumit Sadana</w:t>
      </w:r>
    </w:p>
    <w:p>
      <w:pPr>
        <w:spacing w:after="0" w:line="102"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Business Officer</w:t>
      </w:r>
    </w:p>
    <w:p>
      <w:pPr>
        <w:spacing w:after="0" w:line="61" w:lineRule="exact"/>
        <w:rPr>
          <w:sz w:val="20"/>
          <w:szCs w:val="20"/>
          <w:color w:val="auto"/>
        </w:rPr>
      </w:pPr>
    </w:p>
    <w:p>
      <w:pPr>
        <w:ind w:left="2060" w:right="60"/>
        <w:spacing w:after="0" w:line="228" w:lineRule="auto"/>
        <w:rPr>
          <w:sz w:val="20"/>
          <w:szCs w:val="20"/>
          <w:color w:val="auto"/>
        </w:rPr>
      </w:pPr>
      <w:r>
        <w:rPr>
          <w:rFonts w:ascii="Arial" w:cs="Arial" w:eastAsia="Arial" w:hAnsi="Arial"/>
          <w:sz w:val="18"/>
          <w:szCs w:val="18"/>
          <w:color w:val="auto"/>
        </w:rPr>
        <w:t>Mr. Sadana, 55,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us is available on our website, www.micron.com. Also available on our website are our Corporate Governance Guidelines,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and Sustainability Committee Charter, Compensation Committee Charter, Audit Committee Charter, Finance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Security Committee Charter, and Code of Business Conduct and Ethics. We intend to satisfy the disclosure requirement under Item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5.05 of Form 8-K regarding any amendments to, or waivers from, our Code of Business Conduct and Ethics by posting such information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website within four business days of the amendment or waiver. Copies of these documents are available to shareholders 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 Information contained or referenced on our website is not incorporated by reference and does not form a part of this Annual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Form 10-K.</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factors discussed elsewhere in this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achieving or maintaining certain outcomes and the compliance requirements associated with incentives from various governments;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quality of materials, supplies, electrical power, water, and capital equipment, or dependency on third-party service providers;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downturn in regional or worldwide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dependency on a select number of key customers, including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our security systems or products, systems failures, interruptions, delays in service, catastrophic events, and resulting interruptions of our systems or those of our customers, suppliers, or business partners;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and outcomes associated with the use and evolution of AI;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social, and governance expectations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and/or alliances;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restructure plans may not realize expected savings or other benefits.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regulatory and administrative investigations, inquiries,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In the past five years, annual percentage changes in DRAM average selling prices have ranged from plus low-teen percentage range to a minus high-40% range. In the past five years, annual percentage changes in NAND average selling prices have ranged from plus low-30% to a minus low-50% range. In some prior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margins may be adversely affected by a range of factors.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2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complexity of our product portfolio, which may impact operational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 or advanced packaging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 and</w:t>
      </w:r>
    </w:p>
    <w:p>
      <w:pPr>
        <w:spacing w:after="0" w:line="9" w:lineRule="exact"/>
        <w:rPr>
          <w:rFonts w:ascii="Arial" w:cs="Arial" w:eastAsia="Arial" w:hAnsi="Arial"/>
          <w:sz w:val="18"/>
          <w:szCs w:val="18"/>
          <w:color w:val="auto"/>
        </w:rPr>
      </w:pPr>
    </w:p>
    <w:p>
      <w:pPr>
        <w:ind w:left="660" w:right="30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manufacturing costs per gigabit due to fabrication facility underutilization, lower wafer output, and insufficient volume to run new technology nodes to achieve cost optimization.</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II – Item 7. Management’s Discussion and Analysis of Financial Condition and Results of Operations – Overview – Industry Conditions” for information regarding recent underutilization charges.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21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216"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may not be able to predict or quickly respond to trends in the dynamics of our markets and our customers or changes in customer demand, which could negatively impact our gross margin. Our inability to prevent deterioration of or improve gross margins could have a material adverse effect on our business, results of operations, or financial condition.</w:t>
      </w:r>
    </w:p>
    <w:p>
      <w:pPr>
        <w:spacing w:after="0" w:line="198"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2024, nearly half of our revenue was from sales to customers who have headquarters located outside the United States, while over 80% of our revenue in 2024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sales of goods or services to one or more of our significant foreign customers;</w:t>
      </w:r>
    </w:p>
    <w:p>
      <w:pPr>
        <w:spacing w:after="0" w:line="27"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including instability resulting from domestic and international conflicts;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23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2024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5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2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adverse impact on our ability to compete effectively in China and elsewhere.</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achieving acceptable yields and quality for HBM products with their multiple memory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Recent technologies, such as generative AI models have emerged, and while they have driven increased demand for HBM and other advanced products in the data center and other markets, the long-term trajectory is unknown and associated demand may fluctuate.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expected returns from capacity expansions.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construction projects are highly dependent on available sources of materials, and specialized equipment, as well as labor, skilled sub-contractors and other service providers. Increasing demand, supply constraints, inflation,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expansions involve several risks including the following:</w:t>
      </w:r>
    </w:p>
    <w:p>
      <w:pPr>
        <w:spacing w:after="0" w:line="252" w:lineRule="exact"/>
        <w:rPr>
          <w:sz w:val="20"/>
          <w:szCs w:val="20"/>
          <w:color w:val="auto"/>
        </w:rPr>
      </w:pPr>
    </w:p>
    <w:p>
      <w:pPr>
        <w:ind w:left="660" w:right="30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unavailability of necessary funding, which may include external sources;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realize expected grants, investment tax credits, and other government incentives, including through the U.S. CHIPS and Science Act of 2022 (“CHIPS Act”) and other national, international, state, and local grants;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and potential restrictions related to environmental regulations or permits;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attract, retain and motivate key talent;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customer demand to utilize our increased capacity.</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From time to time, we have experienced the impacts from the above items and, because these risks are a characteristic of our business, we expect to experience them in the future. Depending on the nature and extent of the impact from these risks, we may be unable to produce sufficient capacity in the expected time frame which could result in delays in the completion of our construction projects and increased costs, including costs to operate these facilities.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40"/>
        <w:spacing w:after="0" w:line="296" w:lineRule="auto"/>
        <w:rPr>
          <w:sz w:val="20"/>
          <w:szCs w:val="20"/>
          <w:color w:val="auto"/>
        </w:rPr>
      </w:pPr>
      <w:r>
        <w:rPr>
          <w:rFonts w:ascii="Arial" w:cs="Arial" w:eastAsia="Arial" w:hAnsi="Arial"/>
          <w:sz w:val="18"/>
          <w:szCs w:val="18"/>
          <w:b w:val="1"/>
          <w:bCs w:val="1"/>
          <w:color w:val="auto"/>
        </w:rPr>
        <w:t>Our incentives from various governments are conditioned upon achieving or maintaining certain outcomes and the compliance requirements and are subject to reduction, termination, clawback, or could impose certain limitations on our business.</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Our future business plans are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we have signed a non-binding preliminary memorandum of terms with the U.S. Department of Commerce to receive a grant under the U.S. CHIPS and Science Act of 2022 (“CHIPS Act”). These preliminary terms may not result in us receiving funding. We also cannot guarantee that we will successfully achieve or maintain outcomes or satisfy the compliance requirements to qualify for these incentives or that the granting agencies will provide or continue to provide such funding.</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3"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availability and quality of materials, supplies, electrical power, water, and capital equipment, or dependency on third-party service providers.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operations are dependent on a reliable and uninterrupted supply of electrical power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in regional or worldwide economies may harm our business.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in regional or worldwide economies could have a material adverse effect on our business, results of operations, or financial condition.</w:t>
      </w:r>
    </w:p>
    <w:p>
      <w:pPr>
        <w:spacing w:after="0" w:line="210"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a select number of customers.</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Approximately one-half of our total revenue comes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12"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2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Any such event, or the perception it has occurred, may result in significant losses and damage our reputation with customers and suppliers and may expose us to claims, demands, and litigation.</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still be hacked or the encryption schemes could be compromised, breached, or circumvented by motivated and sophisticated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are hacked, the encryption schemes are compromised or breached, or our suppliers are breached or attacked, this could harm our business by requiring us to employ additional resources to fix the errors or defects, and could expose us to litigation, claims, and harm to our reputation.</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any of the multiple uncertainties and outcomes associated with the use and evolution of AI.</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likely increase or change the competitive environment in our markets. Our competitors may be more successful in their AI strategy or they may have access to greater AI resources or technology and develop superior products and services.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AI algorithms or training methodologies may be flawed, and datasets may contain irrelevant, insufficient or biased information, which can cause errors in outputs.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 remain competitive, we must maintain a highly skilled, diverse workforce and effectively manage succession for key roles. Hiring, retaining and motivating qualified executives and other skilled talent is critical to our business and competition can be intense. If our total compensation programs, employment benefits, and workplace culture are not viewed as competitive and inclusive, our ability to attract and retain talent could be compromised.</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times, we experience higher levels of attrition and more intense competition for talent across our industry, which can lead to increased compensation costs. To the extent we experience significant attrition and are unable to timely replace employees, we could experience a loss of critical skills and reduced employee morale, potentially resulting in business disruptions, inefficiencies during transitional periods and increased expenses.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business success is dependent on our ability to attract, retain and motivate key talent. Our inability to do so could inhibit our ability to maintain or expand our business operations and may adversely impact our operating results.</w:t>
      </w:r>
    </w:p>
    <w:p>
      <w:pPr>
        <w:spacing w:after="0" w:line="180"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impacts on our ability to manufacture and sell products and maintain our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environmental, social, and governance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environmental, social, and governance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3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18"/>
          <w:szCs w:val="18"/>
          <w:color w:val="auto"/>
        </w:rPr>
      </w:pPr>
    </w:p>
    <w:p>
      <w:pPr>
        <w:ind w:left="660" w:right="9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restructure charges in future periods and may not realize expected savings or other benefits from restructure plans.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time to time, we have because of the nature of our business,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auto"/>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Legal, regulatory and administrative investigations, inquiries, proceedings, and claims could have a material adverse effect on our business, results of operations, or financial condition.</w:t>
      </w:r>
    </w:p>
    <w:p>
      <w:pPr>
        <w:spacing w:after="0" w:line="16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and infringement of intellectual property. See “Part II – Item 8. Financial Statements and Supplementary Data – Notes to Consolidated Financial Statements –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may be associated with and subject to litigation, claims, inquiries, investigations or disputes arising from, or as a result of:</w:t>
      </w:r>
    </w:p>
    <w:p>
      <w:pPr>
        <w:spacing w:after="0" w:line="252" w:lineRule="exact"/>
        <w:rPr>
          <w:sz w:val="20"/>
          <w:szCs w:val="20"/>
          <w:color w:val="auto"/>
        </w:rPr>
      </w:pPr>
    </w:p>
    <w:p>
      <w:pPr>
        <w:ind w:left="660" w:right="52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AI, and others, we may be exposed to greater potential for personal liability claims against us as a result of consumers’ use of those products. We, our officers, or our directors could also be subject to claims of alleged violations of securities laws. Expansion of our production capacity in the United States and in other regions is subject to inherent safety risks for our employees and contractors. This expansion activity may involve accidents, which could result in project delays, litigation, claims or disputes by our contractors and others, as well as increased insurance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 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2"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For example, increasing geopolitical tensions could result in new export controls associated with products that support or enable AI applications which could, in turn, restrict future sales of certain products to China or other markets.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matters could have a material adverse effect on our business, results of operations, or financial condition.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While we do not expect these enacted laws to materially impact our effective tax rate for 2025, additional countries where we operate, including Singapore, have announced plans to adopt Pillar Two legislation. Enactment of this legislation would become effective for us in 2026 and significantly increase our tax expense.</w:t>
      </w:r>
    </w:p>
    <w:p>
      <w:pPr>
        <w:spacing w:after="0" w:line="212"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and evolving laws and regulations relating to cybersecurity, data privacy, and AI impose requirements for information confidentiality, integrity, availability, personal and proprietary data collection, storage, use, sharing, deletion, and AI solutions that must be safe, transparent, fair, secure, human-focused,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considerations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supplies of chemicals or materials used to make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penalties, fines, civil or criminal sanctions, and other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2025 for property, plant, and equipment, net of proceeds from government incentives, to be around mid-30% range of revenue for the year.</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August 29, 2024, we had debt with a carrying value of $13.40 billion and may incur additional debt, including under our $2.50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borrowing costs and reduce our ability to raise funds on favorable terms;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8"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auto"/>
        </w:rPr>
        <w:t>Changes in foreign currency exchange rates could materially adversely affect our business, results of operations, or financial condition.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and priorities for the use of cash for other purposes. Our expenditures for these share repurchases were $300 million in 2024, $425 million in 2023, $2.43 billion in 2022, $1.20 billion in 2021,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1C. CYBERSECURITY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52"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We have established policies and processes for assessing, identifying, and managing material risk from cybersecurity threats and have integrated these processes into our overall risk management systems and processes. We have aligned our cybersecurity program with recognized security frameworks such as NIST-CSF (National Institute of Standard and Technologies – CyberSecurity Framework).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 regular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2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Following these risk assessments, we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Security Officer and Chief Information Officer, to manage the risk assessment and mitigation process.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implemented technical solutions that are designed to protect our information systems from cybersecurity threats, including firewalls, intrusion prevention and detection systems, antimalware functionality, and access controls. We regularly evaluate, monitor, and improve these solutions. As part of our overall risk management system, we monitor and test our safeguards and train our employees on these safeguards, in collaboration with human resources, information technology, legal, compliance and ethics and management. Personnel at all levels and departments are made aware of our cybersecurity policies through periodic trainings.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periodically engage assessors, consultants, auditors, or other third parties in connection with our risk assessment processes. These service providers assist us to design, implement or assess our cybersecurity policies and procedures, as well as to monitor and test our safeguards. We work with our third-party suppliers and service providers to address the use of appropriate security measures in connection with their work with us.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Like any other technology company operating in today’s environment, we have experienced incidents in the past and may experience them in the future. However, we have not experienced any cybersecurity incidents that have been determined to be material. For additional information regarding risks from cybersecurity threats, and their effect on our company, including our business strategy, results of operations, or financial condition, please refer to “Item 1A. Risk Factors – Risks Related to Our Business, Operations, and Industry – 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Security Committee.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Chief Security Officer and our Chief Information Officer report to our Security Committee, which oversees monitoring and incident response, risk mitigation, supply chain security, physical security, product security, insider trust, and other security related items and are primarily responsible to assess and manage our material risks from cybersecurity threats. Our Chief Security Officer and Chief Information Officer have combined relevant experience of more than 45 years, including over 20 years in cybersecurity, and they oversee our cybersecurity policies and processes, including those described in “Risk Management and Strategy” above. Our Chief Security Officer monitors and stays informed about prevention, detection, mitigation, and remediation efforts through regular communication and reporting from our security team, and through the use of technological tools and software and results from third party assessments.</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Security Officer and Chief Information Officer provide quarterly briefings to the Security Committee regarding our company’s cybersecurity risks and activities, including any recent cybersecurity incidents and related responses, cybersecurity systems testing, activities of third parties, and the like. Our Security Committee provides regular updates to the Board of Directors on such reports. In addition, our Chief Security Officer and our Chief Information Officer provide annual briefings to the Board of Directors on cybersecurity risks and activities.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2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863590" cy="3248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359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95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Principal Operations</w:t>
            </w:r>
          </w:p>
        </w:tc>
      </w:tr>
      <w:tr>
        <w:trPr>
          <w:trHeight w:val="34"/>
        </w:trPr>
        <w:tc>
          <w:tcPr>
            <w:tcW w:w="168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29"/>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reticle manufacturing</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China</w:t>
            </w:r>
          </w:p>
        </w:tc>
        <w:tc>
          <w:tcPr>
            <w:tcW w:w="9560" w:type="dxa"/>
            <w:vAlign w:val="bottom"/>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India</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believe that our existing facilities are suitable and adequate for our present purposes. We generally utilize all of our manufacturing capacity; however, a portion of our facilities were underutilized for 2024 and 2023 due to industry conditions. See “Part II – Item 7. Management’s Discussion and Analysis of Financial Condition and Results of Operations – Overview – Industry Conditions” for information regarding our current underutilization.</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support projected memory demand in the second half of the decade, we will need to add new DRAM wafer capacity. Following the enactment of the U.S. CHIPS and Science Act of 2022 (“CHIPS Act”), we announced plans to invest in two leading-edge memory manufacturing fab facilities in the United States, based on CHIPS Act support through grants and investment tax credits. As part of this plan, in September 2022, we broke ground on a leading-edge memory manufacturing fab in Boise, Idaho. Construction of the fab began in October 2023, with meaningful DRAM output projected in 2027.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 and to maintain an objective of stable bit share.</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signed a non-binding preliminary memorandum of terms with the U.S. Department of Commerce for up to $6.1 billion in direct funding under the CHIPS Act for our planned fab in Boise, Idaho and the first two planned fabs in Clay, New York. We are also eligible for federal loans up to $7.5 billion. 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Additionally, we began enablement of cleanroom space within our existing manufacturing fab in Hiroshima, Japan, that will support production of DRAM using EUV lithography. We also continue to advance our global back-end assembly and test network in order to support our product portfolio and extend our ability to deliver on global customer demand in the future. We have started construction to expand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w:t>
      </w:r>
    </w:p>
    <w:p>
      <w:pPr>
        <w:spacing w:after="0" w:line="2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do not identify or allocate assets by operating segment, other than goodwill. For a breakout of the carrying value of our long-lived assets by geographic area see “Part II – Item 8. Financial Statements and Supplementary Data – Notes to Consolidated Financial Statements – Geographic Information.”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2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 discussion of legal proceedings, see “Part II – Item 8. Financial Statements and Supplementary Data – Notes to Consolidated Financial Statements – Contingencies” and “Item 1A. Risk Factors” of this Annual Report on Form 10-K.</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20"/>
        <w:spacing w:after="0" w:line="298"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14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Market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“MU.”</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Holders of Record</w:t>
      </w:r>
    </w:p>
    <w:p>
      <w:pPr>
        <w:spacing w:after="0" w:line="25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September 27, 2024, there were approximately 1,636 shareholders of record of our common stock. A substantially greater number of holders of our common stock are "street name" or beneficial holders,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Dividends</w:t>
      </w:r>
    </w:p>
    <w:p>
      <w:pPr>
        <w:spacing w:after="0" w:line="25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 September 25, 2024, our Board of Directors declared a quarterly dividend of $0.115 per share, payable in cash on October 23, 2024, to shareholders of record as of the close of business on October 7, 2024.</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20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Issuer Purchase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 Authorization</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As of August 29, 2024, $2.81 billion of the authorization remained available for the repurchase of our common stock.</w:t>
      </w:r>
    </w:p>
    <w:p>
      <w:pPr>
        <w:spacing w:after="0" w:line="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fourth quarter of 2024, shares purchased under the authorization and shares withheld as payment upon the vesting of restricted stock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20" w:type="dxa"/>
            <w:vAlign w:val="bottom"/>
          </w:tcPr>
          <w:p>
            <w:pPr>
              <w:spacing w:after="0"/>
              <w:rPr>
                <w:sz w:val="17"/>
                <w:szCs w:val="17"/>
                <w:color w:val="auto"/>
              </w:rPr>
            </w:pPr>
          </w:p>
        </w:tc>
        <w:tc>
          <w:tcPr>
            <w:tcW w:w="8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Average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as part of</w:t>
            </w:r>
          </w:p>
        </w:tc>
        <w:tc>
          <w:tcPr>
            <w:tcW w:w="3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rPr>
              <w:t>price paid</w:t>
            </w: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publicly announced</w:t>
            </w:r>
          </w:p>
        </w:tc>
        <w:tc>
          <w:tcPr>
            <w:tcW w:w="3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30"/>
        </w:trPr>
        <w:tc>
          <w:tcPr>
            <w:tcW w:w="13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6"/>
              </w:rPr>
              <w:t>purchased</w:t>
            </w:r>
            <w:r>
              <w:rPr>
                <w:rFonts w:ascii="Arial" w:cs="Arial" w:eastAsia="Arial" w:hAnsi="Arial"/>
                <w:sz w:val="23"/>
                <w:szCs w:val="23"/>
                <w:b w:val="1"/>
                <w:bCs w:val="1"/>
                <w:color w:val="auto"/>
                <w:w w:val="96"/>
                <w:vertAlign w:val="superscript"/>
              </w:rPr>
              <w:t>(1)</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May 31, 2024</w:t>
            </w:r>
          </w:p>
        </w:tc>
        <w:tc>
          <w:tcPr>
            <w:tcW w:w="22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 June 27, 2024</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1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June 28, 2024</w:t>
            </w:r>
          </w:p>
        </w:tc>
        <w:tc>
          <w:tcPr>
            <w:tcW w:w="2200" w:type="dxa"/>
            <w:vAlign w:val="bottom"/>
          </w:tcPr>
          <w:p>
            <w:pPr>
              <w:ind w:left="380"/>
              <w:spacing w:after="0"/>
              <w:rPr>
                <w:sz w:val="20"/>
                <w:szCs w:val="20"/>
                <w:color w:val="auto"/>
              </w:rPr>
            </w:pPr>
            <w:r>
              <w:rPr>
                <w:rFonts w:ascii="Arial" w:cs="Arial" w:eastAsia="Arial" w:hAnsi="Arial"/>
                <w:sz w:val="18"/>
                <w:szCs w:val="18"/>
                <w:color w:val="auto"/>
              </w:rPr>
              <w:t>– July 25, 2024</w:t>
            </w:r>
          </w:p>
        </w:tc>
        <w:tc>
          <w:tcPr>
            <w:tcW w:w="1340" w:type="dxa"/>
            <w:vAlign w:val="bottom"/>
          </w:tcPr>
          <w:p>
            <w:pPr>
              <w:jc w:val="right"/>
              <w:spacing w:after="0"/>
              <w:rPr>
                <w:sz w:val="20"/>
                <w:szCs w:val="20"/>
                <w:color w:val="auto"/>
              </w:rPr>
            </w:pPr>
            <w:r>
              <w:rPr>
                <w:rFonts w:ascii="Arial" w:cs="Arial" w:eastAsia="Arial" w:hAnsi="Arial"/>
                <w:sz w:val="18"/>
                <w:szCs w:val="18"/>
                <w:color w:val="auto"/>
              </w:rPr>
              <w:t>25,931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133.55</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July 26, 2024</w:t>
            </w:r>
          </w:p>
        </w:tc>
        <w:tc>
          <w:tcPr>
            <w:tcW w:w="22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 August 29, 2024</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3,223,518</w:t>
            </w:r>
          </w:p>
        </w:tc>
        <w:tc>
          <w:tcPr>
            <w:tcW w:w="1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93.07</w:t>
            </w:r>
          </w:p>
        </w:tc>
        <w:tc>
          <w:tcPr>
            <w:tcW w:w="2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3,223,518</w:t>
            </w:r>
          </w:p>
        </w:tc>
        <w:tc>
          <w:tcPr>
            <w:tcW w:w="31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3,249,449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93.39</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3,223,518</w:t>
            </w:r>
          </w:p>
        </w:tc>
        <w:tc>
          <w:tcPr>
            <w:tcW w:w="314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Includes 25,931 shares withheld as payment of withholding taxes upon the vesting of restricted stock awards.</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Performance Graph</w:t>
      </w:r>
    </w:p>
    <w:p>
      <w:pPr>
        <w:spacing w:after="0" w:line="25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2019, through August 31, 2024.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709285" cy="26231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928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181"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The performance graph above assumes $100 was invested on August 31, 2019 in common stock of Micron Technology, Inc., the S&amp;P 500 Composite Index, and the Philadelphia Semiconductor Index (SOX). Any dividends paid during the period presented were assumed to be reinvested. The performance was plotted using the following data:</w:t>
      </w:r>
    </w:p>
    <w:tbl>
      <w:tblPr>
        <w:tblLayout w:type="fixed"/>
        <w:tblInd w:w="0" w:type="dxa"/>
        <w:tblCellMar>
          <w:top w:w="0" w:type="dxa"/>
          <w:left w:w="0" w:type="dxa"/>
          <w:bottom w:w="0" w:type="dxa"/>
          <w:right w:w="0" w:type="dxa"/>
        </w:tblCellMar>
      </w:tblPr>
      <w:tr>
        <w:trPr>
          <w:trHeight w:val="235"/>
        </w:trPr>
        <w:tc>
          <w:tcPr>
            <w:tcW w:w="3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r>
      <w:tr>
        <w:trPr>
          <w:trHeight w:val="34"/>
        </w:trPr>
        <w:tc>
          <w:tcPr>
            <w:tcW w:w="3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Inc.</w:t>
            </w:r>
          </w:p>
        </w:tc>
        <w:tc>
          <w:tcPr>
            <w:tcW w:w="8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S&amp;P 500 Composite Index</w:t>
            </w:r>
          </w:p>
        </w:tc>
        <w:tc>
          <w:tcPr>
            <w:tcW w:w="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Philadelphia Semiconductor Index (SOX)</w:t>
            </w:r>
          </w:p>
        </w:tc>
        <w:tc>
          <w:tcPr>
            <w:tcW w:w="8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August 29, 2024. All period references are to our fiscal periods unless otherwise indicated. Our fiscal year is the 52 or 53-week period ending on the Thursday closest to August 31. Fiscal 2024, 2023, and 2022 each contained 52 weeks. All tabular dollar amounts are in millions, except per share amounts.</w:t>
      </w:r>
    </w:p>
    <w:p>
      <w:pPr>
        <w:spacing w:after="0" w:line="20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For an overview of our business, see “Part I – Item 1. Business – Overview.”</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Conditions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Throughout 2024, we experienced substantial improvements in pricing and margins. Increasing demand growth, driven in part by deployment of AI and mostly normal customer inventories, combined with industry-wide supply discipline, resulted in an industry supply and demand balance that substantially improved from 2023 conditions. We executed well on pricing and improved our financial performance significantly from the start of the year. We are exiting the year with excellent momentum and an industry-leading product portfolio.</w:t>
      </w:r>
    </w:p>
    <w:p>
      <w:pPr>
        <w:spacing w:after="0" w:line="20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contrast, 2023 was a year of weak memory and storage industry demand in many end markets, stemming from global macroeconomic challenges and customer actions to reduce inventory levels. These conditions, which began in the fourth quarter of 2022 and persisted into early 2024, led to significant reductions in average selling prices for both DRAM and NAND and reductions in bit shipments for DRAM. We experienced declines in revenue across all our business segments and nearly all our end markets throughout 2023. Also in 2023, China’s Cyberspace Administration (the “CAC”) conducted a cybersecurity review of our products sold in China and decided that our products presented a cybersecurity risk. The CAC determined that critical information infrastructure operators in China may not purchase Micron products. The CAC decision has impacted our business, particularly in the domestic data center and networking markets in China, and we have been working to mitigate that impact. Our goal is to retain our worldwide DRAM and NAND market share.</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manufacturing, we have been fully utilized throughout most of 2024 on our high-volume manufacturing nodes where we are maximizing output against our current capacity, which we have proactively, structurally lowered. Beginning in the latter part of 2022, we reduced capital expenditures and wafer starts for both DRAM and NAND in response to challenging market conditions and increased levels of our inventories. In addition, to improve capital efficiency, we redeployed equipment from older technology nodes to support conversions to leading-edge nodes. Since the number of wafer processing steps is higher for leading-edge nodes, this approach has resulted in a meaningful structural reduction in DRAM and NAND wafer capacity. We believe this approach to node migration and consequent wafer capacity reduction was adopted across the industry. We recognized period costs from fabrication facility underutilization of $382 million in 2023 and $165 million in the first quarter of 2024 due to wafer start reductions. Subsequently, fabrication facility underutilization was reduced and principally related to legacy manufacturing capacity. Accordingly, 2024 period costs beyond the first quarter were not significant.</w:t>
      </w:r>
    </w:p>
    <w:p>
      <w:pPr>
        <w:spacing w:after="0" w:line="20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connection with improved 2024 market conditions, we reinstated our bonuses and phased out certain other temporary cost-saving measures that were implemented in 2023. We took significant steps in 2023 to reduce our costs and operating expenses, both on a temporary and ongoing structural basis. These measures included the 2023 Restructure Plan, as well as implementing productivity programs, suspension of our 2023 bonus, reductions in select product programs, lower discretionary spending, and cuts to 2023 executive salaries. Under the 2023 Restructure Plan, we reduced our headcount by approximately 15% by the end of calendar 2023, through a combination of voluntary attrition and personnel reductions. We incurred restructure charges of $171 million in 2023 primarily related to employee severance costs. The 2023 Restructure Plan, which was substantially completed in 2023, yielded estimated cost savings of approximately $130 million per quarter (approximately 60% in cost of goods sold, 30% in R&amp;D, and 10% in SG&amp;A) subsequent to 2023.</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25,111</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78 %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28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109 %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55 %</w:t>
            </w:r>
          </w:p>
        </w:tc>
      </w:tr>
      <w:tr>
        <w:trPr>
          <w:trHeight w:val="223"/>
        </w:trPr>
        <w:tc>
          <w:tcPr>
            <w:tcW w:w="5820" w:type="dxa"/>
            <w:vAlign w:val="bottom"/>
            <w:shd w:val="clear" w:color="auto" w:fill="D1D2D4"/>
          </w:tcPr>
          <w:p>
            <w:pPr>
              <w:ind w:left="2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r>
      <w:tr>
        <w:trPr>
          <w:trHeight w:val="257"/>
        </w:trPr>
        <w:tc>
          <w:tcPr>
            <w:tcW w:w="5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3,430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3,114</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shd w:val="clear" w:color="auto" w:fill="D1D2D4"/>
          </w:tcPr>
          <w:p>
            <w:pPr>
              <w:ind w:left="2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1,304</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32 %</w:t>
            </w:r>
          </w:p>
        </w:tc>
      </w:tr>
      <w:tr>
        <w:trPr>
          <w:trHeight w:val="257"/>
        </w:trPr>
        <w:tc>
          <w:tcPr>
            <w:tcW w:w="5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820" w:type="dxa"/>
            <w:vAlign w:val="bottom"/>
            <w:tcBorders>
              <w:top w:val="single" w:sz="8" w:color="D1D2D4"/>
              <w:bottom w:val="single" w:sz="8" w:color="D1D2D4"/>
            </w:tcBorders>
            <w:shd w:val="clear" w:color="auto" w:fill="D1D2D4"/>
          </w:tcPr>
          <w:p>
            <w:pPr>
              <w:ind w:left="26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3 %</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(5,833)</w:t>
            </w:r>
          </w:p>
        </w:tc>
        <w:tc>
          <w:tcPr>
            <w:tcW w:w="280" w:type="dxa"/>
            <w:vAlign w:val="bottom"/>
            <w:tcBorders>
              <w:top w:val="single" w:sz="8" w:color="D1D2D4"/>
              <w:bottom w:val="single" w:sz="8" w:color="D1D2D4"/>
            </w:tcBorders>
            <w:shd w:val="clear" w:color="auto" w:fill="D1D2D4"/>
          </w:tcPr>
          <w:p>
            <w:pPr>
              <w:spacing w:after="0"/>
              <w:rPr>
                <w:sz w:val="21"/>
                <w:szCs w:val="21"/>
                <w:color w:val="auto"/>
              </w:rPr>
            </w:pPr>
          </w:p>
        </w:tc>
        <w:tc>
          <w:tcPr>
            <w:tcW w:w="64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58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6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r>
    </w:tbl>
    <w:p>
      <w:pPr>
        <w:spacing w:after="0" w:line="31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2024 and 2023 was impacted by the factors described in the section titled “Industry Conditions” above.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conditions drove a recovery of average selling prices throughout 2024 after significant declines in average selling prices throughout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2024 increased 62% as compared to 2023 primarily due to increases in sales of both DRAM and NAND products.</w:t>
      </w:r>
    </w:p>
    <w:p>
      <w:pPr>
        <w:spacing w:after="0" w:line="252" w:lineRule="exact"/>
        <w:rPr>
          <w:sz w:val="20"/>
          <w:szCs w:val="20"/>
          <w:color w:val="auto"/>
        </w:rPr>
      </w:pPr>
    </w:p>
    <w:p>
      <w:pPr>
        <w:ind w:left="660" w:right="4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DRAM products increased 60% primarily due to a mid-40% range increase in bit shipments and a low-teen percentage range increase in average selling prices.</w:t>
      </w:r>
    </w:p>
    <w:p>
      <w:pPr>
        <w:spacing w:after="0" w:line="1"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NAND products increased 72% primarily due to a low-30% range increase in bit shipments and a low-30% percentage range increase in average selling prices.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2023 decreased 49% as compared to 2022 primarily due to decreases in sales of both DRAM and NAND products.</w:t>
      </w:r>
    </w:p>
    <w:p>
      <w:pPr>
        <w:spacing w:after="0" w:line="252" w:lineRule="exact"/>
        <w:rPr>
          <w:sz w:val="20"/>
          <w:szCs w:val="20"/>
          <w:color w:val="auto"/>
        </w:rPr>
      </w:pPr>
    </w:p>
    <w:p>
      <w:pPr>
        <w:ind w:left="660" w:right="30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DRAM products decreased 51% primarily due to a high-40% range decline in average selling prices and decreases in bit shipments in the high-single-digit percent range.</w:t>
      </w:r>
    </w:p>
    <w:p>
      <w:pPr>
        <w:spacing w:after="0" w:line="1" w:lineRule="exact"/>
        <w:rPr>
          <w:rFonts w:ascii="Arial" w:cs="Arial" w:eastAsia="Arial" w:hAnsi="Arial"/>
          <w:sz w:val="18"/>
          <w:szCs w:val="18"/>
          <w:color w:val="auto"/>
        </w:rPr>
      </w:pPr>
    </w:p>
    <w:p>
      <w:pPr>
        <w:ind w:left="660" w:right="66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NAND products decreased 46% primarily due to a low-50% range decline in average selling prices partially offset by increases in bit shipments in the high-single-digit percent range.</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impacted by the factors described in the section titled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above and inventory write-downs in 2023 as detailed in the table below. Our consolidated gross margin percentage improved to 22% for 2024 from negative 9% for 2023, as a result of improvements in margins for both DRAM and NAND products, primarily due to increases in average selling prices, and manufacturing cost reductions, the effects of charges to write down inventories to their NRV in 2023 and lower costs in 2024 from the sale of inventories written down in 2023 (as detailed in “Inventory NRV write-downs” below).</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consolidated gross margin percentage decreased to negative 9% for 2023 from 45% for 2022 primarily due to declines in average selling prices for both DRAM and NAND, charges to write down inventories, and $382 million of facility underutilization costs in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Inventory NRV write-downs:</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gross margin was impacted by charges in 2023 to write down inventories to their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NRV as a result of declines in average selling prices for both DRAM and NAND. As charges to write down inventories are recorded in advance of when inventories are sold, costs of goods sold in subsequent periods were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Lower costs from sale of inventory written down in prior periods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ind w:left="860"/>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9,513</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38 %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5,710</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37 %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13,693</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6,354</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4,614</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3,637</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5,235</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4,592</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25,111</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15,540</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30,758</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2024 as compared to 2023 were as follows:</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CNBU revenue increased 67% driven by increases in bit shipments and DRAM average selling prices.</w:t>
      </w:r>
    </w:p>
    <w:p>
      <w:pPr>
        <w:spacing w:after="0" w:line="27"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MBU revenue increased 75% primarily due to increases in average selling prices and bit shipments for both mobile DRAM and NAND.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EBU revenue increased 27% primarily due to increases in bit shipments, partially offset by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SBU revenue increased 80% primarily due to increases in average selling prices and bit shipments.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2023 as compared to 2022 were as follows:</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CNBU revenue decreased 58% primarily due to declines in average selling prices for DRAM and decreases in bit shipments.</w:t>
      </w:r>
    </w:p>
    <w:p>
      <w:pPr>
        <w:spacing w:after="0" w:line="27"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MBU revenue decreased 50% primarily due to declines in average selling prices for both DRAM and NAND and decreases in NAND bit shipments.</w:t>
      </w:r>
    </w:p>
    <w:p>
      <w:pPr>
        <w:ind w:left="660" w:right="4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EBU revenue decreased 31% primarily due to declines in average selling prices for both DRAM and NAND and decreases in bit shipments.</w:t>
      </w:r>
    </w:p>
    <w:p>
      <w:pPr>
        <w:ind w:left="660" w:right="78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SBU revenue decreased 44% primarily due to declines in average selling prices for NAND partially offset by increases in bit shipments.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r>
      <w:tr>
        <w:trPr>
          <w:trHeight w:val="34"/>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0"/>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980</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5,844</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MBU</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D1D2D4"/>
          </w:tcPr>
          <w:p>
            <w:pPr>
              <w:spacing w:after="0"/>
              <w:rPr>
                <w:sz w:val="19"/>
                <w:szCs w:val="19"/>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80 %</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71 %</w:t>
            </w:r>
          </w:p>
        </w:tc>
      </w:tr>
      <w:tr>
        <w:trPr>
          <w:trHeight w:val="223"/>
        </w:trPr>
        <w:tc>
          <w:tcPr>
            <w:tcW w:w="58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2024 as compared to 2023 were as follows:</w:t>
      </w:r>
    </w:p>
    <w:p>
      <w:pPr>
        <w:spacing w:after="0" w:line="252" w:lineRule="exact"/>
        <w:rPr>
          <w:sz w:val="20"/>
          <w:szCs w:val="20"/>
          <w:color w:val="auto"/>
        </w:rPr>
      </w:pPr>
    </w:p>
    <w:p>
      <w:pPr>
        <w:ind w:left="660" w:right="80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CNBU operating income (loss) improved primarily due to higher bit shipments, increases in average selling prices, and cost reductions, partially offset by higher R&amp;D expenses.</w:t>
      </w:r>
    </w:p>
    <w:p>
      <w:pPr>
        <w:spacing w:after="0" w:line="1" w:lineRule="exact"/>
        <w:rPr>
          <w:rFonts w:ascii="Arial" w:cs="Arial" w:eastAsia="Arial" w:hAnsi="Arial"/>
          <w:sz w:val="18"/>
          <w:szCs w:val="18"/>
          <w:color w:val="auto"/>
        </w:rPr>
      </w:pPr>
    </w:p>
    <w:p>
      <w:pPr>
        <w:ind w:left="660" w:right="9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MBU operating income (loss) improved primarily due to increases in average selling prices, higher bit shipments, and cost reductions.</w:t>
      </w:r>
    </w:p>
    <w:p>
      <w:pPr>
        <w:ind w:left="660" w:right="1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partially offset by higher bit shipments and cost reductions.</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SBU operating income (loss) improved primarily due to increases in average selling prices, higher bit shipments, and cost reductions, partially offset by higher R&amp;D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2023 as compared to 2022 were as follows:</w:t>
      </w:r>
    </w:p>
    <w:p>
      <w:pPr>
        <w:spacing w:after="0" w:line="23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CNBU operating income (loss) deteriorated primarily due to declines in average selling prices and lower bit shipments.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MBU operating income (loss) deteriorated primarily due to declines in average selling prices and lower NAND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and lower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SBU operating income (loss) deteriorated primarily due to declines in average selling prices.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R&amp;D expenses for 2024 increased 10% as compared to 2023 primarily due to an increase in employee compensation and higher volumes of development and prequalification wafers, partially offset by an increase in government incentives. R&amp;D expenses for 2023 were relatively unchanged as compared to 2022 as decreases in employee compensation were offset by higher depreciation expense.</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2024 increased 23% as compared to 2023 primarily due to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compensation. SG&amp;A expenses for 2023 were 14% lower as compared to 2022 primarily due to decreases in employee compensation, legal fees, advertising,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Interest Income (Expense),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(expense) deteriorated for 2024 as compared to 2023 primarily due to increases in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as a result of higher interest rates on our debt, partially offset by increases in interest income due to higher interest rates on our cash and investments. Interest income (expense) improved for 2023 as compared to 2022 primarily as a result of increases in interest income due to higher interest rates on our cash and investments, partially offset by increases in interest expense due to higher debt balances and interest rates on our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34"/>
        </w:trPr>
        <w:tc>
          <w:tcPr>
            <w:tcW w:w="6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5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1,240</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(5,658)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9,571</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5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(451)</w:t>
            </w: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(888)</w:t>
            </w: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36.4 %</w:t>
            </w:r>
          </w:p>
        </w:tc>
        <w:tc>
          <w:tcPr>
            <w:tcW w:w="3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9.3 %</w:t>
            </w:r>
          </w:p>
        </w:tc>
      </w:tr>
    </w:tbl>
    <w:p>
      <w:pPr>
        <w:spacing w:after="0" w:line="31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change in our effective tax rate for 2024 as compared to 2023 was primarily due to changes in profitability. The change in our effective tax rate for 2023 as compared to 2022 was primarily due to a pre-tax loss in 2023. Despite a consolidated pre-tax loss on a worldwide basis in 2023, we had taxes payable in certain geographies due to minimum taxable income reportable in those geographies.</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the low level of profitability and jurisdictional mix of income, the benefit from tax incentive arrangements was not material for 2024 or 2023. The effect of tax incentive arrangements reduced our tax provision by $1.12 billion (benefiting our diluted earnings per share by $1.00) for 2022.</w:t>
      </w:r>
    </w:p>
    <w:p>
      <w:pPr>
        <w:spacing w:after="0" w:line="20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While we do not expect these enacted laws to materially impact our effective tax rate for 2025, additional countries where we operate, including Singapore, have announced plans to adopt Pillar Two legislation. Enactment of this legislation would become effective for us in 2026 and significantly increase our tax expense.</w:t>
      </w:r>
    </w:p>
    <w:p>
      <w:pPr>
        <w:spacing w:after="0" w:line="19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can be found in the following notes contained in “Item 8. Financial Statements and Supplementary Data –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Consolidated Financial Statements”:</w:t>
      </w:r>
    </w:p>
    <w:p>
      <w:pPr>
        <w:spacing w:after="0" w:line="18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 Compensation Plans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$9.15 billion as of August 29, 2024, and $10.44 billion as of August 31, 2023.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29, 2024, $3.34 billion of our cash and marketable investments was held by our foreign subsidiaries.</w:t>
      </w:r>
    </w:p>
    <w:p>
      <w:pPr>
        <w:spacing w:after="0" w:line="21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August 29, 2024, $ 2.50 billion was available to draw under our Revolving Credit Facility. Funding of certain significant capital projects is also dependent on the receipt of government incentives, which are subject to conditions and may not be obtained.</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2025 for property, plant, and equipment, net of proceeds from government incentives, to be around mid-30% range of revenue for the year. Actual amounts for 2025 will vary depending on market conditions and may vary from quarter to quarter due to the timing of expenditures and proceeds from government incentives. As of August 29, 2024, we had purchase obligations of approximately $1.17 billion for the acquisition of property, plant, and equipment, of which approximately $1.10 billion is expected to be paid within one year. For a description of other contractual obligations, such as leases, debt, and commitments, see “Item 8. Financial Statements and Supplementary Data – Notes to Consolidated Financial Statements – Leases,” “ – Debt,” and “ – Commitments.”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support projected memory demand in the second half of the decade, we will need to add new DRAM wafer capacity. Following the enactment of the U.S. CHIPS and Science Act of 2022 (“CHIPS Act”), we announced plans to invest in two leading-edge memory manufacturing fab facilities in the United States, based on CHIPS Act support through grants and investment tax credits. As part of this plan, in September 2022, we broke ground on a leading-edge memory manufacturing fab in Boise, Idaho. Construction of the fab began in October 2023, with meaningful DRAM output projected in 2027.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 and to maintain an objective of stable bit share.</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signed a non-binding preliminary memorandum of terms with the U.S. Department of Commerce for up to $6.1 billion in direct funding under the CHIPS Act for our planned fab in Boise, Idaho and the first two planned fabs in Clay, New York. We are also eligible for federal loans up to $7.5 billion. 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we began enablement of cleanroom space within our existing manufacturing fab in Hiroshima, Japan, that will support production of DRAM using EUV lithography. We also continue to advance our global back-end assembly and test network in order to support our product portfolio and extend our ability to deliver on global customer demand in the future. We have started construction to expand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 See “Item 8. Financial Statements and Supplementary Data – Notes to Consolidated Financial Statements – Government Incentives.”</w:t>
      </w:r>
    </w:p>
    <w:p>
      <w:pPr>
        <w:spacing w:after="0" w:line="200" w:lineRule="exact"/>
        <w:rPr>
          <w:sz w:val="20"/>
          <w:szCs w:val="20"/>
          <w:color w:val="auto"/>
        </w:rPr>
      </w:pPr>
    </w:p>
    <w:p>
      <w:pPr>
        <w:spacing w:after="0" w:line="217"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August 29, 2024, we had repurchased an aggregate of $7.19 billion of the authorized amount. See “Item 8. Financial Statements and Supplementary Data – Notes to Consolidated Financial Statements – Equity.”</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September 25, 2024, our Board of Directors declared a quarterly dividend of $0.115 per share, payable in cash on October 23, 2024, to shareholders of record as of the close of business on October 7, 2024.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expect that our cash and investments, cash flows from operations, expected funding from government incentives,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8,507</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1,559</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(1,842)</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4,983</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184"/>
        </w:trPr>
        <w:tc>
          <w:tcPr>
            <w:tcW w:w="6900" w:type="dxa"/>
            <w:vAlign w:val="bottom"/>
          </w:tcPr>
          <w:p>
            <w:pPr>
              <w:ind w:left="20"/>
              <w:spacing w:after="0" w:line="183" w:lineRule="exact"/>
              <w:rPr>
                <w:sz w:val="20"/>
                <w:szCs w:val="20"/>
                <w:color w:val="auto"/>
              </w:rPr>
            </w:pPr>
            <w:r>
              <w:rPr>
                <w:rFonts w:ascii="Arial" w:cs="Arial" w:eastAsia="Arial" w:hAnsi="Arial"/>
                <w:sz w:val="18"/>
                <w:szCs w:val="18"/>
                <w:color w:val="auto"/>
              </w:rPr>
              <w:t>Effect of changes in currency exchange rates on cash, cash equivalents,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5"/>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(1,604)</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inventory write-downs, asset impairments, and stock-based compensation, and the effects of changes in operating assets and liabilities.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increase in cash provided by operating activities for 2024 as compared to 2023 was primarily due to net income in 2024 adjusted for non-cash items, the effect of an increase in accounts payable and accrued expenses and an increase in other current liabilities largely due to customer prepayments to secure product supply, partially offset by an increase in receivables.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decrease in cash provided by operating activities for 2023 as compared to 2022 was primarily due to a net loss in 2023 adjusted for non-cash items and the effect of an increase in inventories and a decline in accounts payable and accrued expenses, partially offset by a decrease in receivables.</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2024, net cash used for investing activities consisted primarily of $8.39 billion of expenditures for property, plant,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equipment; and $205 million of net outflows from purchases, maturities, and sales of available-for-sale securities; partially offset by contributions of $315 million received from government incentives to offset capital expenditures.</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2023, net cash used for investing activities consisted primarily of $7.68 billion of expenditures for property, plant, and equipment; partially offset by contributions of $710 million received from government incentives to offset capital expenditures; and $868 million of net inflows from maturities, sales, and purchases of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For 2022, net cash used for investing activities consisted primarily of $12.07 billion of expenditures for property, plant, and equipment; partially offset by contributions of $ 115 million received from government incentives to offset capital expenditures; $888 million of net inflows from the sale of the Lehi, Utah fab; and $155 million of net outflows from purchases, maturities, and sales of available-for-sale securities.</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2024, net cash used for financing activities consisted primarily of $1.90 billion of repayments of debt,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the prepayment of the 2024 Term Loan A and the 2025 Term Loan A borrowings; $513 million for payments of dividends to shareholders; $300 million for the acquisition of 3.2 million shares of our common stock under our share repurchase authorization; and $149 million of payments on equipment purchase contracts, partially offset by approximately $1.00 billion of proceeds from the issuance of the 2031 Notes.</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2023, net cash provided by financing activities consisted primarily of $3.20 billion of proceeds from our 2025, 2026, and 2027 Term Loan A borrowings; $ 1.27 billion from the issuance of the 2029 B Notes; $896 million from the issuance of the 2033 B Notes; $749 million from the issuance of the 2033 A Notes; and $ 599 million from the issuance of the 2028 Notes. Cash used for financing activities included $761 million for repayments of debt; $ 504 million for payments of dividends to shareholders; $425 million for the acquisition of 8.6 million shares of our common stock under our share repurchase authorization; and $138 million of payments on equipment purchase contracts.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2022, net cash used for financing activities included $2.43 billion for the acquisition of 35.4 million shares of our common stock under our share repurchase authorization; $2.03 billion of repayments of debt primarily to redeem the 2023 Notes and 2024 Notes; $461 million of cash payments of dividends to shareholders; and $141 million of payments on equipment purchase contracts. Cash used for financing activities was partially offset by aggregate proceeds of $2.00 billion from the issuance of the unsecured 2032 Green Bonds, 2041 Notes, and 2051 Notes.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0" w:lineRule="exact"/>
        <w:rPr>
          <w:sz w:val="20"/>
          <w:szCs w:val="20"/>
          <w:color w:val="auto"/>
        </w:rPr>
      </w:pP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Significant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test goodwill for impairment in our fourth quarter each year, or more frequently if indicators of an impairment exist,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quantitative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recognize an impairment loss up to the difference between the carrying value and implied fair value. We recognized a charge of $101 million in 2023 to impair all of the goodwill assigned to our SBU reporting unit based on our quantitative assessment for impairment. We performed a qualitative assessment for the current year and have not identified any impairment indicators for our reporting units.</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We assess the reasonableness of our methodology, forecasts, and assumptions by comparing the aggregate calculated fair value for our reporting units to our market capitalization.</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required to estimate our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Our income tax provision or benefit is dependent, in part, on our ability to forecast future taxable income in Japan, the United States, Malaysia, Taiwan,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Cost includes depreciation, labor, material, and overhead costs, including product and process technology costs. Determining net realizable value of finished goods and work in process inventories involves significant judgments, including projecting future average selling prices, future sales volumes, and future cost per part. To project average selling prices and sales volumes, we review recent sales volumes, existing customer orders, current contract prices, industry analyses of supply and demand, and general economic trends. To project cost per part, we review trends with historical results and consider known changes in our cost structure as applicable. Actual selling prices may vary significantly from projected prices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 For example, a 5% decrease in future average selling prices would have changed the estimated net realizable value of our finished goods and work in process inventories by approximately $700 million as of August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periodically assess the estimated useful lives of our property, plant, and equipment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primarily recognized at a point in time when control of the promised goods is transferred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5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Recently Issued Accounting Standards.”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August 29, 2024 and August 31, 2023, we had fixed-rate debt with an aggregate carrying value of $8.52 billion and $7.52 billion, respectively, and as a result, the fair value of our debt fluctuates with changes in market interest rates. We estimate that, as of August 29, 2024 and August 31, 2023, a hypothetical 1% decrease in market interest rates would increase the fair value of our fixed-rate debt by approximately $520 million and $475 million, respectively.</w:t>
      </w:r>
    </w:p>
    <w:p>
      <w:pPr>
        <w:spacing w:after="0" w:line="20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Interest rate risk related to our investment portfolio is managed by primarily investing in shorter term securities. We estimate that, as of August 29, 2024 and August 31, 2023, a hypothetical 1% increase in interest rates would decrease the fair value of our portfolio by approximately $20 million. Such impact would only be realized if investments were sold prior to maturity.</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August 29, 2024 and August 31, 2023, we had floating-rate debt, including fixed-rate debt that is swapped to floating-rate debt, with an aggregate principal amount of $ 2.89 billion and $4.63 billion, respectively. A hypothetical 1% increase in the interest rates of this floating-rate debt would result in an increase in annual interest expense of $29 million and $46 million as of August 29, 2024 and August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section should be read in conjunction with the information related to changes in the currency exchange rates in “Part I</w:t>
      </w:r>
    </w:p>
    <w:p>
      <w:pPr>
        <w:spacing w:after="0" w:line="2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Item 1A. Risk Factors – Changes in foreign currency exchange rates could materially adversely affect our business, results of operations, or financial condition.”</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functional currency for all of our operations is the U.S. dollar. The substantial majority of our sales are transacted in the U.S. dollar; however, significant amounts of our operating expenses and capital expenditures, and certain assets and liabilities, are incurred in or exposed to other currencies, primarily the Canadian dollar, Chinese yuan, euro, Indian rupee, Japanese yen, Malaysian ringgit, New Taiwan dollar, and Singapore dollar. We have established currency risk management programs for our monetary assets and liabilities, investments in debt instruments, and forecasted future cash flows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Based on monetary assets and liabilities and investments in debt instruments denominated in foreign currencies, we estimate that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hypothetical 10% adverse change in exchange rates versus the U.S. dollar would result in losses of approximately $480 million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29, 2024 and $129 million as of August 31, 2023. We hedge our exposure to changes in currency exchange rates by utilizing a rolling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hedge strategy for our primary currency exposures with currency forward contracts that generally mature within three months.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effectiveness of our hedges is dependent, among other factors, upon our ability to accurately measure exposures on a timely basis. We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hedge currency risk arising from foreign currency-denominated investments in debt instruments with currency forward contracts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generally mature within one year. To hedge the exposure of changes in cash flows from changes in currency exchange rates for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and manufacturing costs, we may utilize currency forward contracts that generally mature within two years. See “Item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Derivative Instruments.”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90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952"/>
        </w:trPr>
        <w:tc>
          <w:tcPr>
            <w:tcW w:w="9040" w:type="dxa"/>
            <w:vAlign w:val="bottom"/>
          </w:tcPr>
          <w:p>
            <w:pPr>
              <w:spacing w:after="0"/>
              <w:rPr>
                <w:sz w:val="20"/>
                <w:szCs w:val="20"/>
                <w:color w:val="auto"/>
              </w:rPr>
            </w:pPr>
            <w:r>
              <w:rPr>
                <w:rFonts w:ascii="Arial" w:cs="Arial" w:eastAsia="Arial" w:hAnsi="Arial"/>
                <w:sz w:val="25"/>
                <w:szCs w:val="25"/>
                <w:b w:val="1"/>
                <w:bCs w:val="1"/>
                <w:color w:val="auto"/>
              </w:rPr>
              <w:t>ITEM 8. FINANCIAL STATEMENTS AND SUPPLEMENTARY DATA</w:t>
            </w:r>
          </w:p>
        </w:tc>
        <w:tc>
          <w:tcPr>
            <w:tcW w:w="84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729"/>
        </w:trPr>
        <w:tc>
          <w:tcPr>
            <w:tcW w:w="9040" w:type="dxa"/>
            <w:vAlign w:val="bottom"/>
            <w:tcBorders>
              <w:bottom w:val="single" w:sz="8" w:color="auto"/>
            </w:tcBorders>
          </w:tcPr>
          <w:p>
            <w:pPr>
              <w:spacing w:after="0"/>
              <w:rPr>
                <w:sz w:val="20"/>
                <w:szCs w:val="20"/>
                <w:color w:val="auto"/>
              </w:rPr>
            </w:pPr>
            <w:r>
              <w:rPr>
                <w:rFonts w:ascii="Arial" w:cs="Arial" w:eastAsia="Arial" w:hAnsi="Arial"/>
                <w:sz w:val="40"/>
                <w:szCs w:val="40"/>
                <w:b w:val="1"/>
                <w:bCs w:val="1"/>
                <w:color w:val="auto"/>
              </w:rPr>
              <w:t>Index to Consolidated Financial Statements</w:t>
            </w: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34"/>
        </w:trPr>
        <w:tc>
          <w:tcPr>
            <w:tcW w:w="9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Statements of Operations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Income (Loss)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Balance Sheets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61</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Consolidated Statements of Changes in Equity</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Statements of Cash Flows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63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30"/>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92</w:t>
            </w:r>
          </w:p>
        </w:tc>
      </w:tr>
      <w:tr>
        <w:trPr>
          <w:trHeight w:val="1153"/>
        </w:trPr>
        <w:tc>
          <w:tcPr>
            <w:tcW w:w="904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58</w:t>
            </w:r>
          </w:p>
        </w:tc>
      </w:tr>
      <w:tr>
        <w:trPr>
          <w:trHeight w:val="95"/>
        </w:trPr>
        <w:tc>
          <w:tcPr>
            <w:tcW w:w="90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-325120</wp:posOffset>
            </wp:positionV>
            <wp:extent cx="65976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690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40" w:type="dxa"/>
            <w:vAlign w:val="bottom"/>
            <w:gridSpan w:val="3"/>
          </w:tcPr>
          <w:p>
            <w:pPr>
              <w:spacing w:after="0"/>
              <w:rPr>
                <w:sz w:val="20"/>
                <w:szCs w:val="20"/>
                <w:color w:val="auto"/>
              </w:rPr>
            </w:pPr>
            <w:r>
              <w:rPr>
                <w:rFonts w:ascii="Arial" w:cs="Arial" w:eastAsia="Arial" w:hAnsi="Arial"/>
                <w:sz w:val="40"/>
                <w:szCs w:val="40"/>
                <w:b w:val="1"/>
                <w:bCs w:val="1"/>
                <w:color w:val="auto"/>
              </w:rPr>
              <w:t>Consolidated Statements of Operations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(In millions, except per share amounts)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7"/>
                <w:szCs w:val="17"/>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5"/>
        </w:trPr>
        <w:tc>
          <w:tcPr>
            <w:tcW w:w="69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25,111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5,613</w:t>
            </w: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3,430</w:t>
            </w: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57"/>
        </w:trPr>
        <w:tc>
          <w:tcPr>
            <w:tcW w:w="69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56"/>
        </w:trPr>
        <w:tc>
          <w:tcPr>
            <w:tcW w:w="69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39"/>
        </w:trPr>
        <w:tc>
          <w:tcPr>
            <w:tcW w:w="6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6"/>
                <w:szCs w:val="16"/>
                <w:color w:val="auto"/>
              </w:rPr>
            </w:pPr>
          </w:p>
        </w:tc>
        <w:tc>
          <w:tcPr>
            <w:tcW w:w="122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6"/>
                <w:szCs w:val="16"/>
                <w:color w:val="auto"/>
              </w:rPr>
            </w:pPr>
          </w:p>
        </w:tc>
        <w:tc>
          <w:tcPr>
            <w:tcW w:w="124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Unrealized gains (losses) on investments</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(5,585)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0"/>
        </w:trPr>
        <w:tc>
          <w:tcPr>
            <w:tcW w:w="69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1,253 shares issued and 1,109</w:t>
            </w:r>
          </w:p>
        </w:tc>
        <w:tc>
          <w:tcPr>
            <w:tcW w:w="180" w:type="dxa"/>
            <w:vAlign w:val="bottom"/>
            <w:shd w:val="clear" w:color="auto" w:fill="D1D2D4"/>
          </w:tcPr>
          <w:p>
            <w:pPr>
              <w:spacing w:after="0"/>
              <w:rPr>
                <w:sz w:val="15"/>
                <w:szCs w:val="15"/>
                <w:color w:val="auto"/>
              </w:rPr>
            </w:pPr>
          </w:p>
        </w:tc>
        <w:tc>
          <w:tcPr>
            <w:tcW w:w="12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2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outstanding (1,239 shares issued and 1,098 outstanding as of August 31, 2023)</w:t>
            </w:r>
          </w:p>
        </w:tc>
        <w:tc>
          <w:tcPr>
            <w:tcW w:w="180" w:type="dxa"/>
            <w:vAlign w:val="bottom"/>
            <w:shd w:val="clear" w:color="auto" w:fill="D1D2D4"/>
          </w:tcPr>
          <w:p>
            <w:pPr>
              <w:spacing w:after="0"/>
              <w:rPr>
                <w:sz w:val="20"/>
                <w:szCs w:val="20"/>
                <w:color w:val="auto"/>
              </w:rPr>
            </w:pPr>
          </w:p>
        </w:tc>
        <w:tc>
          <w:tcPr>
            <w:tcW w:w="126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144 shares held (141 shares as of August 31, 2023)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2, 2021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right="140"/>
        <w:spacing w:after="0" w:line="281" w:lineRule="auto"/>
        <w:rPr>
          <w:sz w:val="20"/>
          <w:szCs w:val="20"/>
          <w:color w:val="auto"/>
        </w:rPr>
      </w:pPr>
      <w:r>
        <w:rPr>
          <w:rFonts w:ascii="Arial" w:cs="Arial" w:eastAsia="Arial" w:hAnsi="Arial"/>
          <w:sz w:val="17"/>
          <w:szCs w:val="17"/>
          <w:color w:val="auto"/>
        </w:rPr>
        <w:t>Stock-based compensation expense Repurchase of stock - repurchase program</w:t>
      </w:r>
    </w:p>
    <w:p>
      <w:pPr>
        <w:spacing w:after="0" w:line="1"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($0.315 per share)</w:t>
      </w: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1, 2022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right="140"/>
        <w:spacing w:after="0" w:line="281" w:lineRule="auto"/>
        <w:rPr>
          <w:sz w:val="20"/>
          <w:szCs w:val="20"/>
          <w:color w:val="auto"/>
        </w:rPr>
      </w:pPr>
      <w:r>
        <w:rPr>
          <w:rFonts w:ascii="Arial" w:cs="Arial" w:eastAsia="Arial" w:hAnsi="Arial"/>
          <w:sz w:val="17"/>
          <w:szCs w:val="17"/>
          <w:color w:val="auto"/>
        </w:rPr>
        <w:t>Stock-based compensation expense Repurchase of stock - repurchase program</w:t>
      </w:r>
    </w:p>
    <w:p>
      <w:pPr>
        <w:spacing w:after="0" w:line="1"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($0.460 per share)</w:t>
      </w:r>
    </w:p>
    <w:p>
      <w:pPr>
        <w:ind w:left="40" w:right="1240"/>
        <w:spacing w:after="0" w:line="271" w:lineRule="auto"/>
        <w:rPr>
          <w:sz w:val="20"/>
          <w:szCs w:val="20"/>
          <w:color w:val="auto"/>
        </w:rPr>
      </w:pPr>
      <w:r>
        <w:rPr>
          <w:rFonts w:ascii="Arial" w:cs="Arial" w:eastAsia="Arial" w:hAnsi="Arial"/>
          <w:sz w:val="18"/>
          <w:szCs w:val="18"/>
          <w:b w:val="1"/>
          <w:bCs w:val="1"/>
          <w:color w:val="auto"/>
        </w:rPr>
        <w:t xml:space="preserve">Balance at August 31, 2023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right="140"/>
        <w:spacing w:after="0" w:line="281" w:lineRule="auto"/>
        <w:rPr>
          <w:sz w:val="20"/>
          <w:szCs w:val="20"/>
          <w:color w:val="auto"/>
        </w:rPr>
      </w:pPr>
      <w:r>
        <w:rPr>
          <w:rFonts w:ascii="Arial" w:cs="Arial" w:eastAsia="Arial" w:hAnsi="Arial"/>
          <w:sz w:val="17"/>
          <w:szCs w:val="17"/>
          <w:color w:val="auto"/>
        </w:rPr>
        <w:t>Stock-based compensation expense Repurchase of stock - repurchase program</w:t>
      </w:r>
    </w:p>
    <w:p>
      <w:pPr>
        <w:spacing w:after="0" w:line="1"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($0.460 per share)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August 29,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8,687</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(2,432)</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1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10,197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47,274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(7,127)</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49,907</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(5,833)</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419"/>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1,239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40,824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44,120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419"/>
        </w:trPr>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-4782820</wp:posOffset>
            </wp:positionV>
            <wp:extent cx="711517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-4491355</wp:posOffset>
            </wp:positionV>
            <wp:extent cx="711517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-4079875</wp:posOffset>
            </wp:positionV>
            <wp:extent cx="711517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-3788410</wp:posOffset>
            </wp:positionV>
            <wp:extent cx="711517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-3256915</wp:posOffset>
            </wp:positionV>
            <wp:extent cx="711517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-2956560</wp:posOffset>
            </wp:positionV>
            <wp:extent cx="711517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-2545080</wp:posOffset>
            </wp:positionV>
            <wp:extent cx="711517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-2253615</wp:posOffset>
            </wp:positionV>
            <wp:extent cx="711517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-1722120</wp:posOffset>
            </wp:positionV>
            <wp:extent cx="711517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-1422400</wp:posOffset>
            </wp:positionV>
            <wp:extent cx="711517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-1010920</wp:posOffset>
            </wp:positionV>
            <wp:extent cx="711517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-719455</wp:posOffset>
            </wp:positionV>
            <wp:extent cx="7115175"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-187960</wp:posOffset>
            </wp:positionV>
            <wp:extent cx="711517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
            <w:col w:w="760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698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BD03F7"/>
            </w:tcBorders>
          </w:tcPr>
          <w:p>
            <w:pPr>
              <w:spacing w:after="0"/>
              <w:rPr>
                <w:sz w:val="24"/>
                <w:szCs w:val="24"/>
                <w:color w:val="auto"/>
              </w:rPr>
            </w:pPr>
          </w:p>
        </w:tc>
        <w:tc>
          <w:tcPr>
            <w:tcW w:w="128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400" w:type="dxa"/>
            <w:vAlign w:val="bottom"/>
            <w:gridSpan w:val="3"/>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7"/>
                <w:szCs w:val="17"/>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7"/>
                <w:szCs w:val="17"/>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(5,833)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7,780</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Provision to write down inventories to net realizable value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(3,581)</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2,763</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(1,302)</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196"/>
        </w:trPr>
        <w:tc>
          <w:tcPr>
            <w:tcW w:w="69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2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24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(8,386)</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(7,676)</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1,794</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1,591</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69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(8,309)</w:t>
            </w:r>
          </w:p>
        </w:tc>
        <w:tc>
          <w:tcPr>
            <w:tcW w:w="18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(6,191)</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196"/>
        </w:trPr>
        <w:tc>
          <w:tcPr>
            <w:tcW w:w="69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2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24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Pr>
          <w:p>
            <w:pPr>
              <w:ind w:left="20"/>
              <w:spacing w:after="0" w:line="183" w:lineRule="exact"/>
              <w:rPr>
                <w:sz w:val="20"/>
                <w:szCs w:val="20"/>
                <w:color w:val="auto"/>
              </w:rPr>
            </w:pPr>
            <w:r>
              <w:rPr>
                <w:rFonts w:ascii="Arial" w:cs="Arial" w:eastAsia="Arial" w:hAnsi="Arial"/>
                <w:sz w:val="18"/>
                <w:szCs w:val="18"/>
                <w:color w:val="auto"/>
              </w:rPr>
              <w:t>Effect of changes in currency exchange rates on cash, cash equivalents, and restricted</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5"/>
        </w:trPr>
        <w:tc>
          <w:tcPr>
            <w:tcW w:w="698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22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6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8,656</w:t>
            </w:r>
          </w:p>
        </w:tc>
        <w:tc>
          <w:tcPr>
            <w:tcW w:w="18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22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1240" w:type="dxa"/>
            <w:vAlign w:val="bottom"/>
            <w:shd w:val="clear" w:color="auto" w:fill="D1D2D4"/>
          </w:tcPr>
          <w:p>
            <w:pPr>
              <w:spacing w:after="0"/>
              <w:rPr>
                <w:sz w:val="15"/>
                <w:szCs w:val="15"/>
                <w:color w:val="auto"/>
              </w:rPr>
            </w:pPr>
          </w:p>
        </w:tc>
        <w:tc>
          <w:tcPr>
            <w:tcW w:w="6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12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taxes paid, net</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equipment acquisitions on contracts payable</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2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w:t>
      </w:r>
    </w:p>
    <w:p>
      <w:pPr>
        <w:spacing w:after="0" w:line="2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fiscal year is the 52 or 53-week period ending on the Thursday closest to August 31. Fiscal 2024, 2023, and 2022 each contained 52 weeks. All period references are to our fiscal periods unless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and Hedging Instruments</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use derivative instruments to manage our exposure to changes in currency exchange rates from (1) our monetary assets and liabilities denominated in currencies other than the U.S. dollar, (2) non-U.S.-dollar-denominated investments in debt instruments, and (3) forecasted cash flows for certain capital expenditures and manufacturing costs. We also use derivative instruments to manage our exposure to changes in commodity prices for manufacturing supplies and to minimize certain exposures to changes in the fair value of fixed-rate debt that result from fluctuations in benchmark interest rates. Derivative instruments are measured at their fair values and recognized as either assets or liabilities.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and cash flows are classified as investing activities in the statement of cash flows.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fair value hedges, changes in the fair values of the derivative instruments and the offsetting changes in the fair values of the underlying hedged items are both recognized in earnings. For foreign currency and commodity derivative instruments designated as cash flow hedges or fair value hedges, time value is excluded from the assessment of effectiveness and the gains and losses attributable to time value are recognized in earnings through an amortization approach. Cash flows from derivative instruments designated as cash flow hedges or fair value hedges are classified in the same category as the items being hedged.</w:t>
      </w:r>
    </w:p>
    <w:p>
      <w:pPr>
        <w:spacing w:after="0" w:line="2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Cash equivalents include highly liquid short-term investments with original maturities at the time of purchase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Functional Currency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U.S. dollar is the functional currency for us and all of our consolidated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perform an annual impairment assessment for goodwill in our fourth quarter each year.</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Incentives</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receive incentives from governmental entities related to capital expenditures, expenses,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asset costs or a reduction of expenses. Incentives related to the acquisition or construction of fixed assets are recognized as a reduction in the carrying amounts of the related assets and as a reduction to depreciation expense over the useful lives of the assets. Incentives related to specific operating activities are offset against the related expense in the period the expense is incurred.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Inventories are stated at the lower of cost or net realizable value, with cost being determined on a FIFO basis. Cost includes depreciation, labor, material, and overhead costs, including product and process technology costs. Determining net realizable value of finished goods and work in process inventories requires projecting future average selling prices, sales volumes, and costs per part.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w:t>
      </w:r>
    </w:p>
    <w:p>
      <w:pPr>
        <w:spacing w:after="0" w:line="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perform the lower of cost or net realizable value analysis and categorize all inventories (including DRAM, NAND, and other memory) as a single group.</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and Process Technology</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Costs incurred to (1) acquire product and process technology, (2) patent technology, and (3) keep patents in force,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w:t>
      </w:r>
    </w:p>
    <w:p>
      <w:pPr>
        <w:spacing w:after="0" w:line="1" w:lineRule="exact"/>
        <w:rPr>
          <w:sz w:val="20"/>
          <w:szCs w:val="20"/>
          <w:color w:val="auto"/>
        </w:rPr>
      </w:pPr>
    </w:p>
    <w:p>
      <w:pPr>
        <w:ind w:right="300" w:firstLine="8"/>
        <w:spacing w:after="0" w:line="266"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estimated useful life of the technology, (2) the patent term, or (3) the term of the technology agreement. Fully-amortized assets are removed from product and process technology and accumulated amortization.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Warranty</w:t>
      </w:r>
    </w:p>
    <w:p>
      <w:pPr>
        <w:spacing w:after="0" w:line="2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2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Property, plant, and equipment is stated at cost and depreciated using the straight-line method over estimated useful lives of generally 10 to 30 years for buildings, 7 years for production equipment, up to 7 years for other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20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We utilize a weighted average capitalization rate that is based on our consolidated debt portfolio. Capitalized interest becomes part of the cost of assets.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conversion of share units, or issuance of shares under our ESPP.</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Treasury Stock</w:t>
      </w:r>
    </w:p>
    <w:p>
      <w:pPr>
        <w:spacing w:after="0" w:line="24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Treasury stock is carried at cost. When we retire our treasury stock, any excess of the repurchase price paid over par value is allocated between additional capital and retained earnings.</w:t>
      </w:r>
    </w:p>
    <w:p>
      <w:pPr>
        <w:sectPr>
          <w:pgSz w:w="11900" w:h="16838" w:orient="portrait"/>
          <w:cols w:equalWidth="0" w:num="1">
            <w:col w:w="11240"/>
          </w:cols>
          <w:pgMar w:left="320" w:top="125" w:right="339" w:bottom="1440" w:gutter="0" w:footer="0" w:header="0"/>
        </w:sectPr>
      </w:pPr>
    </w:p>
    <w:p>
      <w:pPr>
        <w:spacing w:after="0" w:line="38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5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2023-07 (ASC Topic 280),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expands on existing reportable segment disclosure requirements primarily through enhanced disclosures about significant segment expenses. This ASU is effective for our annual reporting for 2025 on a retrospective basis. This standard will impact our disclosures and will not impact our financial statements.</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In December 2023, the FASB issued ASU 2023-09 (ASC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This ASU requires disaggregated income tax disclosures on the rate reconciliation and income taxes paid. This ASU will be effective for our annual reporting for 2026 on a prospective basis, with retrospective application permitted. This standard will impact our disclosures and will not impact our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 As of August 29, 2024, we had approximately $680 million of financial lease liabilities and right-of-use assets under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ectPr>
          <w:pgSz w:w="11900" w:h="16838" w:orient="portrait"/>
          <w:cols w:equalWidth="0" w:num="1">
            <w:col w:w="11240"/>
          </w:cols>
          <w:pgMar w:left="320" w:top="125" w:right="339" w:bottom="1440" w:gutter="0" w:footer="0" w:header="0"/>
        </w:sectPr>
      </w:pPr>
    </w:p>
    <w:p>
      <w:pPr>
        <w:spacing w:after="0" w:line="3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As of August 29,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20" w:type="dxa"/>
            <w:vAlign w:val="bottom"/>
          </w:tcPr>
          <w:p>
            <w:pPr>
              <w:spacing w:after="0"/>
              <w:rPr>
                <w:sz w:val="15"/>
                <w:szCs w:val="15"/>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13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8"/>
              </w:rPr>
              <w:t>Long-term</w:t>
            </w: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Total Fair</w:t>
            </w: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Marketable</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Investments</w:t>
            </w:r>
          </w:p>
        </w:tc>
        <w:tc>
          <w:tcPr>
            <w:tcW w:w="13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28975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Long-term</w:t>
      </w:r>
    </w:p>
    <w:p>
      <w:pPr>
        <w:ind w:right="40" w:firstLine="100"/>
        <w:spacing w:after="0" w:line="234" w:lineRule="auto"/>
        <w:rPr>
          <w:sz w:val="20"/>
          <w:szCs w:val="20"/>
          <w:color w:val="auto"/>
        </w:rPr>
      </w:pPr>
      <w:r>
        <w:rPr>
          <w:rFonts w:ascii="Arial" w:cs="Arial" w:eastAsia="Arial" w:hAnsi="Arial"/>
          <w:sz w:val="18"/>
          <w:szCs w:val="18"/>
          <w:b w:val="1"/>
          <w:bCs w:val="1"/>
          <w:color w:val="auto"/>
        </w:rPr>
        <w:t>Cash and Short-term Marketable Total Fair Equivalents Investments Investments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28975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560" w:space="180"/>
            <w:col w:w="4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38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1D2D4"/>
          </w:tcPr>
          <w:p>
            <w:pPr>
              <w:jc w:val="right"/>
              <w:ind w:right="29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120" w:type="dxa"/>
            <w:vAlign w:val="bottom"/>
            <w:shd w:val="clear" w:color="auto" w:fill="D1D2D4"/>
          </w:tcPr>
          <w:p>
            <w:pPr>
              <w:spacing w:after="0"/>
              <w:rPr>
                <w:sz w:val="18"/>
                <w:szCs w:val="18"/>
                <w:color w:val="auto"/>
              </w:rPr>
            </w:pP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5,771</w:t>
            </w:r>
          </w:p>
        </w:tc>
        <w:tc>
          <w:tcPr>
            <w:tcW w:w="38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D1D2D4"/>
          </w:tcPr>
          <w:p>
            <w:pPr>
              <w:jc w:val="right"/>
              <w:ind w:right="35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1,629</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1,172</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36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520" w:type="dxa"/>
            <w:vAlign w:val="bottom"/>
            <w:shd w:val="clear" w:color="auto" w:fill="D1D2D4"/>
          </w:tcPr>
          <w:p>
            <w:pPr>
              <w:spacing w:after="0"/>
              <w:rPr>
                <w:sz w:val="15"/>
                <w:szCs w:val="15"/>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D1D2D4"/>
          </w:tcPr>
          <w:p>
            <w:pPr>
              <w:spacing w:after="0"/>
              <w:rPr>
                <w:sz w:val="15"/>
                <w:szCs w:val="15"/>
                <w:color w:val="auto"/>
              </w:rPr>
            </w:pP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D1D2D4"/>
          </w:tcPr>
          <w:p>
            <w:pPr>
              <w:spacing w:after="0"/>
              <w:rPr>
                <w:sz w:val="15"/>
                <w:szCs w:val="15"/>
                <w:color w:val="auto"/>
              </w:rPr>
            </w:pPr>
          </w:p>
        </w:tc>
        <w:tc>
          <w:tcPr>
            <w:tcW w:w="36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D1D2D4"/>
          </w:tcPr>
          <w:p>
            <w:pPr>
              <w:spacing w:after="0"/>
              <w:rPr>
                <w:sz w:val="15"/>
                <w:szCs w:val="15"/>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360" w:type="dxa"/>
            <w:vAlign w:val="bottom"/>
            <w:shd w:val="clear" w:color="auto" w:fill="D1D2D4"/>
          </w:tcPr>
          <w:p>
            <w:pPr>
              <w:spacing w:after="0"/>
              <w:rPr>
                <w:sz w:val="20"/>
                <w:szCs w:val="20"/>
                <w:color w:val="auto"/>
              </w:rPr>
            </w:pPr>
          </w:p>
        </w:tc>
        <w:tc>
          <w:tcPr>
            <w:tcW w:w="760" w:type="dxa"/>
            <w:vAlign w:val="bottom"/>
            <w:vMerge w:val="continue"/>
            <w:shd w:val="clear" w:color="auto" w:fill="D1D2D4"/>
          </w:tcPr>
          <w:p>
            <w:pPr>
              <w:spacing w:after="0"/>
              <w:rPr>
                <w:sz w:val="20"/>
                <w:szCs w:val="20"/>
                <w:color w:val="auto"/>
              </w:rPr>
            </w:pPr>
          </w:p>
        </w:tc>
        <w:tc>
          <w:tcPr>
            <w:tcW w:w="38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520" w:type="dxa"/>
            <w:vAlign w:val="bottom"/>
            <w:shd w:val="clear" w:color="auto" w:fill="D1D2D4"/>
          </w:tcPr>
          <w:p>
            <w:pPr>
              <w:spacing w:after="0"/>
              <w:rPr>
                <w:sz w:val="20"/>
                <w:szCs w:val="20"/>
                <w:color w:val="auto"/>
              </w:rPr>
            </w:pPr>
          </w:p>
        </w:tc>
        <w:tc>
          <w:tcPr>
            <w:tcW w:w="86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62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360" w:type="dxa"/>
            <w:vAlign w:val="bottom"/>
            <w:shd w:val="clear" w:color="auto" w:fill="D1D2D4"/>
          </w:tcPr>
          <w:p>
            <w:pPr>
              <w:spacing w:after="0"/>
              <w:rPr>
                <w:sz w:val="20"/>
                <w:szCs w:val="20"/>
                <w:color w:val="auto"/>
              </w:rPr>
            </w:pPr>
          </w:p>
        </w:tc>
        <w:tc>
          <w:tcPr>
            <w:tcW w:w="760" w:type="dxa"/>
            <w:vAlign w:val="bottom"/>
            <w:vMerge w:val="continue"/>
            <w:shd w:val="clear" w:color="auto" w:fill="D1D2D4"/>
          </w:tcPr>
          <w:p>
            <w:pPr>
              <w:spacing w:after="0"/>
              <w:rPr>
                <w:sz w:val="20"/>
                <w:szCs w:val="20"/>
                <w:color w:val="auto"/>
              </w:rPr>
            </w:pPr>
          </w:p>
        </w:tc>
        <w:tc>
          <w:tcPr>
            <w:tcW w:w="38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80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Government securities</w:t>
            </w:r>
          </w:p>
        </w:tc>
        <w:tc>
          <w:tcPr>
            <w:tcW w:w="36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52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shd w:val="clear" w:color="auto" w:fill="D1D2D4"/>
          </w:tcPr>
          <w:p>
            <w:pPr>
              <w:spacing w:after="0"/>
              <w:rPr>
                <w:sz w:val="19"/>
                <w:szCs w:val="19"/>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D1D2D4"/>
          </w:tcPr>
          <w:p>
            <w:pPr>
              <w:spacing w:after="0"/>
              <w:rPr>
                <w:sz w:val="19"/>
                <w:szCs w:val="19"/>
                <w:color w:val="auto"/>
              </w:rPr>
            </w:pPr>
          </w:p>
        </w:tc>
        <w:tc>
          <w:tcPr>
            <w:tcW w:w="36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58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36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11</w:t>
            </w:r>
          </w:p>
        </w:tc>
        <w:tc>
          <w:tcPr>
            <w:tcW w:w="380" w:type="dxa"/>
            <w:vAlign w:val="bottom"/>
            <w:shd w:val="clear" w:color="auto" w:fill="D1D2D4"/>
          </w:tcPr>
          <w:p>
            <w:pPr>
              <w:spacing w:after="0"/>
              <w:rPr>
                <w:sz w:val="17"/>
                <w:szCs w:val="17"/>
                <w:color w:val="auto"/>
              </w:rPr>
            </w:pPr>
          </w:p>
        </w:tc>
        <w:tc>
          <w:tcPr>
            <w:tcW w:w="780" w:type="dxa"/>
            <w:vAlign w:val="bottom"/>
            <w:shd w:val="clear" w:color="auto" w:fill="D1D2D4"/>
          </w:tcPr>
          <w:p>
            <w:pPr>
              <w:spacing w:after="0"/>
              <w:rPr>
                <w:sz w:val="17"/>
                <w:szCs w:val="17"/>
                <w:color w:val="auto"/>
              </w:rPr>
            </w:pPr>
          </w:p>
        </w:tc>
        <w:tc>
          <w:tcPr>
            <w:tcW w:w="5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62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36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79</w:t>
            </w:r>
          </w:p>
        </w:tc>
        <w:tc>
          <w:tcPr>
            <w:tcW w:w="380" w:type="dxa"/>
            <w:vAlign w:val="bottom"/>
            <w:shd w:val="clear" w:color="auto" w:fill="D1D2D4"/>
          </w:tcPr>
          <w:p>
            <w:pPr>
              <w:spacing w:after="0"/>
              <w:rPr>
                <w:sz w:val="17"/>
                <w:szCs w:val="17"/>
                <w:color w:val="auto"/>
              </w:rPr>
            </w:pPr>
          </w:p>
        </w:tc>
        <w:tc>
          <w:tcPr>
            <w:tcW w:w="780" w:type="dxa"/>
            <w:vAlign w:val="bottom"/>
            <w:shd w:val="clear" w:color="auto" w:fill="D1D2D4"/>
          </w:tcPr>
          <w:p>
            <w:pPr>
              <w:spacing w:after="0"/>
              <w:rPr>
                <w:sz w:val="17"/>
                <w:szCs w:val="17"/>
                <w:color w:val="auto"/>
              </w:rPr>
            </w:pPr>
          </w:p>
        </w:tc>
        <w:tc>
          <w:tcPr>
            <w:tcW w:w="580" w:type="dxa"/>
            <w:vAlign w:val="bottom"/>
            <w:shd w:val="clear" w:color="auto" w:fill="D1D2D4"/>
          </w:tcPr>
          <w:p>
            <w:pPr>
              <w:spacing w:after="0"/>
              <w:rPr>
                <w:sz w:val="17"/>
                <w:szCs w:val="17"/>
                <w:color w:val="auto"/>
              </w:rPr>
            </w:pPr>
          </w:p>
        </w:tc>
        <w:tc>
          <w:tcPr>
            <w:tcW w:w="8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4" w:lineRule="exact"/>
              <w:rPr>
                <w:sz w:val="20"/>
                <w:szCs w:val="20"/>
                <w:color w:val="auto"/>
              </w:rPr>
            </w:pPr>
            <w:r>
              <w:rPr>
                <w:rFonts w:ascii="Arial" w:cs="Arial" w:eastAsia="Arial" w:hAnsi="Arial"/>
                <w:sz w:val="18"/>
                <w:szCs w:val="18"/>
                <w:color w:val="auto"/>
              </w:rPr>
              <w:t>Cash, cash equivalents,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7,052</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8,656</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3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240" w:hanging="252"/>
        <w:spacing w:after="0" w:line="228" w:lineRule="auto"/>
        <w:tabs>
          <w:tab w:leader="none" w:pos="254" w:val="left"/>
        </w:tabs>
        <w:numPr>
          <w:ilvl w:val="0"/>
          <w:numId w:val="2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primarily range from one to five years, except for asset-backed securities which are not due at a single maturity date.</w:t>
      </w:r>
    </w:p>
    <w:p>
      <w:pPr>
        <w:ind w:left="240" w:hanging="232"/>
        <w:spacing w:after="0" w:line="196" w:lineRule="auto"/>
        <w:tabs>
          <w:tab w:leader="none" w:pos="2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140" w:hanging="252"/>
        <w:spacing w:after="0" w:line="237" w:lineRule="auto"/>
        <w:tabs>
          <w:tab w:leader="none" w:pos="254" w:val="left"/>
        </w:tabs>
        <w:numPr>
          <w:ilvl w:val="0"/>
          <w:numId w:val="2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29, 2024 or August 31, 2023.</w:t>
      </w:r>
    </w:p>
    <w:p>
      <w:pPr>
        <w:spacing w:after="0" w:line="1" w:lineRule="exact"/>
        <w:rPr>
          <w:rFonts w:ascii="Arial" w:cs="Arial" w:eastAsia="Arial" w:hAnsi="Arial"/>
          <w:sz w:val="23"/>
          <w:szCs w:val="23"/>
          <w:i w:val="1"/>
          <w:iCs w:val="1"/>
          <w:color w:val="auto"/>
          <w:vertAlign w:val="superscript"/>
        </w:rPr>
      </w:pPr>
    </w:p>
    <w:p>
      <w:pPr>
        <w:ind w:left="260" w:right="180" w:hanging="252"/>
        <w:spacing w:after="0" w:line="230" w:lineRule="auto"/>
        <w:tabs>
          <w:tab w:leader="none" w:pos="254" w:val="left"/>
        </w:tabs>
        <w:numPr>
          <w:ilvl w:val="0"/>
          <w:numId w:val="2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Non-marketable Equity Investments</w:t>
      </w:r>
    </w:p>
    <w:p>
      <w:pPr>
        <w:spacing w:after="0" w:line="22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addition to the amounts included in the table above, we had $190 million and $218 million of non-marketable equity investments without a readily determinable fair value that were included in other noncurrent assets as of August 29, 2024 and August 31, 2023, respectively. For non-marketable investments, we recognized in other non-operating income (expense) a net loss of $32 million for 2024 and $7 million for 2023 and a net gain of $36 million for 2022. Our non-marketable equity investments are recorded at fair value on a non-recurring basis and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180" w:type="dxa"/>
            <w:vAlign w:val="bottom"/>
          </w:tcPr>
          <w:p>
            <w:pPr>
              <w:spacing w:after="0"/>
              <w:rPr>
                <w:sz w:val="24"/>
                <w:szCs w:val="24"/>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August 29,</w:t>
            </w: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15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5,419</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Government incentives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and other taxes</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6,615</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40"/>
                <w:szCs w:val="40"/>
                <w:b w:val="1"/>
                <w:bCs w:val="1"/>
                <w:color w:val="auto"/>
              </w:rPr>
              <w:t>Inventories</w:t>
            </w: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8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August 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2023, we recorded charges of $1.83 billion to cost of goods sold to write down the carrying value of work in process and finished goods inventories to their estimated net realizable value.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20,141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70,813</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65,555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1,365</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96,047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87,585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(56,298)</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(49,657)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$3.10 billion as of August 29, 2024 and $2.91 billion as of August 31, 2023.</w:t>
      </w:r>
    </w:p>
    <w:p>
      <w:pPr>
        <w:ind w:left="240" w:hanging="232"/>
        <w:spacing w:after="0" w:line="200" w:lineRule="auto"/>
        <w:tabs>
          <w:tab w:leader="none" w:pos="240" w:val="left"/>
        </w:tabs>
        <w:numPr>
          <w:ilvl w:val="0"/>
          <w:numId w:val="3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Primarily includes building-related construction and tool installation.</w:t>
      </w:r>
    </w:p>
    <w:p>
      <w:pPr>
        <w:spacing w:after="0" w:line="22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Depreciation expense was $7.70 billion, $ 7.67 billion, and $7.03 billion for 2024, 2023, and 2022, respectively. Interest capitalized as part of the cost of property, plant, and equipment was $225 million, $208 million, and $77 million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5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finance and operating leases through which we obtain the right to use facilities, land, and equipment that support our business operations. Our finance leases consist primarily of (i) gas and other supply agreements that are deemed to contain embedded leases and (ii) equipment leases. Our operating leases consist primarily of offices, laboratories, other facilities, and land. Certain of our operating leases include one or more options to extend the lease term for periods from one year to 10 years for real estate and one year to 99 years for land.</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any options to renew or terminate a lease or to purchase the right-of-use asset. Measuring the present value of the initial lease liability requires judgment to determine the discount rate, which we base on interest rates for borrowings with similar terms and collateral issued by entities with credit ratings similar to ours.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2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Amortization of right-of-use asset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9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liability</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920" w:type="dxa"/>
            <w:vAlign w:val="bottom"/>
            <w:tcBorders>
              <w:bottom w:val="single" w:sz="8" w:color="D1D2D4"/>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48"/>
        </w:trPr>
        <w:tc>
          <w:tcPr>
            <w:tcW w:w="692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386</w:t>
            </w:r>
          </w:p>
        </w:tc>
        <w:tc>
          <w:tcPr>
            <w:tcW w:w="34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692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0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1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6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820" w:type="dxa"/>
            <w:vAlign w:val="bottom"/>
          </w:tcPr>
          <w:p>
            <w:pPr>
              <w:spacing w:after="0"/>
              <w:rPr>
                <w:sz w:val="17"/>
                <w:szCs w:val="17"/>
                <w:color w:val="auto"/>
              </w:rPr>
            </w:pPr>
          </w:p>
        </w:tc>
        <w:tc>
          <w:tcPr>
            <w:tcW w:w="1040" w:type="dxa"/>
            <w:vAlign w:val="bottom"/>
            <w:gridSpan w:val="2"/>
          </w:tcPr>
          <w:p>
            <w:pPr>
              <w:ind w:left="20"/>
              <w:spacing w:after="0" w:line="199" w:lineRule="exact"/>
              <w:rPr>
                <w:sz w:val="20"/>
                <w:szCs w:val="20"/>
                <w:color w:val="auto"/>
              </w:rPr>
            </w:pPr>
            <w:r>
              <w:rPr>
                <w:rFonts w:ascii="Arial" w:cs="Arial" w:eastAsia="Arial" w:hAnsi="Arial"/>
                <w:sz w:val="18"/>
                <w:szCs w:val="18"/>
                <w:b w:val="1"/>
                <w:bCs w:val="1"/>
                <w:color w:val="auto"/>
              </w:rPr>
              <w:t>August 29,</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line="199"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8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2,038</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shd w:val="clear" w:color="auto" w:fill="D1D2D4"/>
          </w:tcPr>
          <w:p>
            <w:pPr>
              <w:spacing w:after="0"/>
              <w:rPr>
                <w:sz w:val="23"/>
                <w:szCs w:val="23"/>
                <w:color w:val="auto"/>
              </w:rPr>
            </w:pPr>
          </w:p>
        </w:tc>
        <w:tc>
          <w:tcPr>
            <w:tcW w:w="82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840" w:type="dxa"/>
            <w:vAlign w:val="bottom"/>
            <w:shd w:val="clear" w:color="auto" w:fill="D1D2D4"/>
          </w:tcPr>
          <w:p>
            <w:pPr>
              <w:spacing w:after="0"/>
              <w:rPr>
                <w:sz w:val="23"/>
                <w:szCs w:val="23"/>
                <w:color w:val="auto"/>
              </w:rPr>
            </w:pPr>
          </w:p>
        </w:tc>
        <w:tc>
          <w:tcPr>
            <w:tcW w:w="400" w:type="dxa"/>
            <w:vAlign w:val="bottom"/>
            <w:shd w:val="clear" w:color="auto" w:fill="D1D2D4"/>
          </w:tcPr>
          <w:p>
            <w:pPr>
              <w:spacing w:after="0"/>
              <w:rPr>
                <w:sz w:val="23"/>
                <w:szCs w:val="23"/>
                <w:color w:val="auto"/>
              </w:rPr>
            </w:pPr>
          </w:p>
        </w:tc>
        <w:tc>
          <w:tcPr>
            <w:tcW w:w="140" w:type="dxa"/>
            <w:vAlign w:val="bottom"/>
            <w:shd w:val="clear" w:color="auto" w:fill="D1D2D4"/>
          </w:tcPr>
          <w:p>
            <w:pPr>
              <w:spacing w:after="0"/>
              <w:rPr>
                <w:sz w:val="23"/>
                <w:szCs w:val="23"/>
                <w:color w:val="auto"/>
              </w:rPr>
            </w:pPr>
          </w:p>
        </w:tc>
        <w:tc>
          <w:tcPr>
            <w:tcW w:w="128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8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8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4.91 %</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4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3.42 %</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8"/>
        </w:trPr>
        <w:tc>
          <w:tcPr>
            <w:tcW w:w="7540" w:type="dxa"/>
            <w:vAlign w:val="bottom"/>
            <w:gridSpan w:val="2"/>
          </w:tcPr>
          <w:p>
            <w:pPr>
              <w:spacing w:after="0"/>
              <w:rPr>
                <w:sz w:val="20"/>
                <w:szCs w:val="20"/>
                <w:color w:val="auto"/>
              </w:rPr>
            </w:pPr>
            <w:r>
              <w:rPr>
                <w:rFonts w:ascii="Arial" w:cs="Arial" w:eastAsia="Arial" w:hAnsi="Arial"/>
                <w:sz w:val="18"/>
                <w:szCs w:val="18"/>
                <w:color w:val="auto"/>
              </w:rPr>
              <w:t>As of August 29, 2024, maturities of lease liabilities by fiscal year were as follows: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tcPr>
          <w:p>
            <w:pPr>
              <w:spacing w:after="0"/>
              <w:rPr>
                <w:sz w:val="17"/>
                <w:szCs w:val="17"/>
                <w:color w:val="auto"/>
              </w:rPr>
            </w:pPr>
          </w:p>
        </w:tc>
        <w:tc>
          <w:tcPr>
            <w:tcW w:w="1300" w:type="dxa"/>
            <w:vAlign w:val="bottom"/>
            <w:gridSpan w:val="2"/>
          </w:tcPr>
          <w:p>
            <w:pPr>
              <w:jc w:val="center"/>
              <w:ind w:right="140"/>
              <w:spacing w:after="0" w:line="199"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43"/>
        </w:trPr>
        <w:tc>
          <w:tcPr>
            <w:tcW w:w="4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102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400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380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8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373</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362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8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279</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2030 and thereafter</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568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820" w:type="dxa"/>
            <w:vAlign w:val="bottom"/>
            <w:shd w:val="clear" w:color="auto" w:fill="D1D2D4"/>
          </w:tcPr>
          <w:p>
            <w:pPr>
              <w:spacing w:after="0"/>
              <w:rPr>
                <w:sz w:val="19"/>
                <w:szCs w:val="19"/>
                <w:color w:val="auto"/>
              </w:rPr>
            </w:pP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August 29, 2024, excluded obligations consisted of $835 million of finance lease obligations over a weighted-average period of 13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rPr>
              <w:t>As of August 29, 2024</w:t>
            </w:r>
          </w:p>
        </w:tc>
        <w:tc>
          <w:tcPr>
            <w:tcW w:w="240" w:type="dxa"/>
            <w:vAlign w:val="bottom"/>
          </w:tcPr>
          <w:p>
            <w:pPr>
              <w:spacing w:after="0"/>
              <w:rPr>
                <w:sz w:val="18"/>
                <w:szCs w:val="18"/>
                <w:color w:val="auto"/>
              </w:rPr>
            </w:pPr>
          </w:p>
        </w:tc>
        <w:tc>
          <w:tcPr>
            <w:tcW w:w="398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9"/>
              </w:rPr>
              <w:t>As of August 31, 2023</w:t>
            </w:r>
          </w:p>
        </w:tc>
      </w:tr>
      <w:tr>
        <w:trPr>
          <w:trHeight w:val="169"/>
        </w:trPr>
        <w:tc>
          <w:tcPr>
            <w:tcW w:w="2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Net Carrying</w:t>
            </w:r>
          </w:p>
        </w:tc>
      </w:tr>
      <w:tr>
        <w:trPr>
          <w:trHeight w:val="243"/>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4"/>
        </w:trPr>
        <w:tc>
          <w:tcPr>
            <w:tcW w:w="2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r>
      <w:tr>
        <w:trPr>
          <w:trHeight w:val="230"/>
        </w:trPr>
        <w:tc>
          <w:tcPr>
            <w:tcW w:w="29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70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404</w:t>
            </w: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2024, 2023, and 2022, we capitalized $84 million, $87 million, and $158 million, respectively, for product and process technology with weighted-average useful lives of 10 years, 9 years, and 9 years, respectively. Amortization expense was $ 82 million, $86 million, and $ 85 million for 2024, 2023, and 2022, respectively. Expected amortization expense is $67 million for 2025, $56 million for 2026, $52 million for 2027, $49 million for 2028, and $42 million for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3"/>
          </w:tcPr>
          <w:p>
            <w:pPr>
              <w:jc w:val="center"/>
              <w:ind w:left="33"/>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Accounts Payable and Accrued Expenses</w:t>
            </w:r>
          </w:p>
        </w:tc>
        <w:tc>
          <w:tcPr>
            <w:tcW w:w="180" w:type="dxa"/>
            <w:vAlign w:val="bottom"/>
          </w:tcPr>
          <w:p>
            <w:pPr>
              <w:spacing w:after="0"/>
              <w:rPr>
                <w:sz w:val="24"/>
                <w:szCs w:val="24"/>
                <w:color w:val="auto"/>
              </w:rPr>
            </w:pP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August 29,</w:t>
            </w: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15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2,726</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 August 29, 2024</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9"/>
              </w:rPr>
              <w:t>As of August 31, 2023</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Stated</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Effective</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9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9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6.819 %</w:t>
            </w:r>
          </w:p>
        </w:tc>
        <w:tc>
          <w:tcPr>
            <w:tcW w:w="118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6.95 %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971</w:t>
            </w:r>
          </w:p>
        </w:tc>
        <w:tc>
          <w:tcPr>
            <w:tcW w:w="1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6.944 %</w:t>
            </w:r>
          </w:p>
        </w:tc>
        <w:tc>
          <w:tcPr>
            <w:tcW w:w="960" w:type="dxa"/>
            <w:vAlign w:val="bottom"/>
          </w:tcPr>
          <w:p>
            <w:pPr>
              <w:jc w:val="right"/>
              <w:spacing w:after="0"/>
              <w:rPr>
                <w:sz w:val="20"/>
                <w:szCs w:val="20"/>
                <w:color w:val="auto"/>
              </w:rPr>
            </w:pPr>
            <w:r>
              <w:rPr>
                <w:rFonts w:ascii="Arial" w:cs="Arial" w:eastAsia="Arial" w:hAnsi="Arial"/>
                <w:sz w:val="18"/>
                <w:szCs w:val="18"/>
                <w:color w:val="auto"/>
              </w:rPr>
              <w:t>7.08 %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4.185 %</w:t>
            </w:r>
          </w:p>
        </w:tc>
        <w:tc>
          <w:tcPr>
            <w:tcW w:w="960" w:type="dxa"/>
            <w:vAlign w:val="bottom"/>
          </w:tcPr>
          <w:p>
            <w:pPr>
              <w:jc w:val="right"/>
              <w:spacing w:after="0"/>
              <w:rPr>
                <w:sz w:val="20"/>
                <w:szCs w:val="20"/>
                <w:color w:val="auto"/>
              </w:rPr>
            </w:pPr>
            <w:r>
              <w:rPr>
                <w:rFonts w:ascii="Arial" w:cs="Arial" w:eastAsia="Arial" w:hAnsi="Arial"/>
                <w:sz w:val="18"/>
                <w:szCs w:val="18"/>
                <w:color w:val="auto"/>
              </w:rPr>
              <w:t>4.27 %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5.375 %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5.52 %</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Arial" w:cs="Arial" w:eastAsia="Arial" w:hAnsi="Arial"/>
                <w:sz w:val="18"/>
                <w:szCs w:val="18"/>
                <w:color w:val="auto"/>
              </w:rPr>
              <w:t>2029 A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5.327 %</w:t>
            </w:r>
          </w:p>
        </w:tc>
        <w:tc>
          <w:tcPr>
            <w:tcW w:w="960" w:type="dxa"/>
            <w:vAlign w:val="bottom"/>
          </w:tcPr>
          <w:p>
            <w:pPr>
              <w:jc w:val="right"/>
              <w:spacing w:after="0"/>
              <w:rPr>
                <w:sz w:val="20"/>
                <w:szCs w:val="20"/>
                <w:color w:val="auto"/>
              </w:rPr>
            </w:pPr>
            <w:r>
              <w:rPr>
                <w:rFonts w:ascii="Arial" w:cs="Arial" w:eastAsia="Arial" w:hAnsi="Arial"/>
                <w:sz w:val="18"/>
                <w:szCs w:val="18"/>
                <w:color w:val="auto"/>
              </w:rPr>
              <w:t>5.40 %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B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6.54 %</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4.663 %</w:t>
            </w:r>
          </w:p>
        </w:tc>
        <w:tc>
          <w:tcPr>
            <w:tcW w:w="960" w:type="dxa"/>
            <w:vAlign w:val="bottom"/>
          </w:tcPr>
          <w:p>
            <w:pPr>
              <w:jc w:val="right"/>
              <w:spacing w:after="0"/>
              <w:rPr>
                <w:sz w:val="20"/>
                <w:szCs w:val="20"/>
                <w:color w:val="auto"/>
              </w:rPr>
            </w:pPr>
            <w:r>
              <w:rPr>
                <w:rFonts w:ascii="Arial" w:cs="Arial" w:eastAsia="Arial" w:hAnsi="Arial"/>
                <w:sz w:val="18"/>
                <w:szCs w:val="18"/>
                <w:color w:val="auto"/>
              </w:rPr>
              <w:t>4.73 %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2031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5.300 %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5.41 %</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00" w:type="dxa"/>
            <w:vAlign w:val="bottom"/>
          </w:tcPr>
          <w:p>
            <w:pPr>
              <w:jc w:val="right"/>
              <w:spacing w:after="0"/>
              <w:rPr>
                <w:sz w:val="20"/>
                <w:szCs w:val="20"/>
                <w:color w:val="auto"/>
              </w:rPr>
            </w:pPr>
            <w:r>
              <w:rPr>
                <w:rFonts w:ascii="Arial" w:cs="Arial" w:eastAsia="Arial" w:hAnsi="Arial"/>
                <w:sz w:val="18"/>
                <w:szCs w:val="18"/>
                <w:color w:val="auto"/>
              </w:rPr>
              <w:t>2.703 %</w:t>
            </w:r>
          </w:p>
        </w:tc>
        <w:tc>
          <w:tcPr>
            <w:tcW w:w="960" w:type="dxa"/>
            <w:vAlign w:val="bottom"/>
          </w:tcPr>
          <w:p>
            <w:pPr>
              <w:jc w:val="right"/>
              <w:spacing w:after="0"/>
              <w:rPr>
                <w:sz w:val="20"/>
                <w:szCs w:val="20"/>
                <w:color w:val="auto"/>
              </w:rPr>
            </w:pPr>
            <w:r>
              <w:rPr>
                <w:rFonts w:ascii="Arial" w:cs="Arial" w:eastAsia="Arial" w:hAnsi="Arial"/>
                <w:sz w:val="18"/>
                <w:szCs w:val="18"/>
                <w:color w:val="auto"/>
              </w:rPr>
              <w:t>2.77 %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A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5.96 %</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2033 B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5.875 %</w:t>
            </w:r>
          </w:p>
        </w:tc>
        <w:tc>
          <w:tcPr>
            <w:tcW w:w="960" w:type="dxa"/>
            <w:vAlign w:val="bottom"/>
          </w:tcPr>
          <w:p>
            <w:pPr>
              <w:jc w:val="right"/>
              <w:spacing w:after="0"/>
              <w:rPr>
                <w:sz w:val="20"/>
                <w:szCs w:val="20"/>
                <w:color w:val="auto"/>
              </w:rPr>
            </w:pPr>
            <w:r>
              <w:rPr>
                <w:rFonts w:ascii="Arial" w:cs="Arial" w:eastAsia="Arial" w:hAnsi="Arial"/>
                <w:sz w:val="18"/>
                <w:szCs w:val="18"/>
                <w:color w:val="auto"/>
              </w:rPr>
              <w:t>6.01 %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3.477 %</w:t>
            </w:r>
          </w:p>
        </w:tc>
        <w:tc>
          <w:tcPr>
            <w:tcW w:w="960" w:type="dxa"/>
            <w:vAlign w:val="bottom"/>
          </w:tcPr>
          <w:p>
            <w:pPr>
              <w:jc w:val="right"/>
              <w:spacing w:after="0"/>
              <w:rPr>
                <w:sz w:val="20"/>
                <w:szCs w:val="20"/>
                <w:color w:val="auto"/>
              </w:rPr>
            </w:pPr>
            <w:r>
              <w:rPr>
                <w:rFonts w:ascii="Arial" w:cs="Arial" w:eastAsia="Arial" w:hAnsi="Arial"/>
                <w:sz w:val="18"/>
                <w:szCs w:val="18"/>
                <w:color w:val="auto"/>
              </w:rPr>
              <w:t>3.52 %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1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2025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75"/>
        </w:trPr>
        <w:tc>
          <w:tcPr>
            <w:tcW w:w="1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Finance lease</w:t>
            </w: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4.91 %</w:t>
            </w:r>
          </w:p>
        </w:tc>
        <w:tc>
          <w:tcPr>
            <w:tcW w:w="22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1,109</w:t>
            </w:r>
          </w:p>
        </w:tc>
        <w:tc>
          <w:tcPr>
            <w:tcW w:w="20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3"/>
        </w:trPr>
        <w:tc>
          <w:tcPr>
            <w:tcW w:w="198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obligations</w:t>
            </w:r>
          </w:p>
        </w:tc>
        <w:tc>
          <w:tcPr>
            <w:tcW w:w="1000" w:type="dxa"/>
            <w:vAlign w:val="bottom"/>
            <w:vMerge w:val="continue"/>
            <w:shd w:val="clear" w:color="auto" w:fill="D1D2D4"/>
          </w:tcPr>
          <w:p>
            <w:pPr>
              <w:spacing w:after="0"/>
              <w:rPr>
                <w:sz w:val="21"/>
                <w:szCs w:val="21"/>
                <w:color w:val="auto"/>
              </w:rPr>
            </w:pPr>
          </w:p>
        </w:tc>
        <w:tc>
          <w:tcPr>
            <w:tcW w:w="960" w:type="dxa"/>
            <w:vAlign w:val="bottom"/>
            <w:vMerge w:val="continue"/>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vMerge w:val="continue"/>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spacing w:after="0"/>
              <w:rPr>
                <w:sz w:val="21"/>
                <w:szCs w:val="21"/>
                <w:color w:val="auto"/>
              </w:rPr>
            </w:pPr>
          </w:p>
        </w:tc>
        <w:tc>
          <w:tcPr>
            <w:tcW w:w="760" w:type="dxa"/>
            <w:vAlign w:val="bottom"/>
            <w:tcBorders>
              <w:bottom w:val="single" w:sz="8" w:color="auto"/>
            </w:tcBorders>
            <w:vMerge w:val="continue"/>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vMerge w:val="continue"/>
            <w:shd w:val="clear" w:color="auto" w:fill="D1D2D4"/>
          </w:tcPr>
          <w:p>
            <w:pPr>
              <w:spacing w:after="0"/>
              <w:rPr>
                <w:sz w:val="21"/>
                <w:szCs w:val="21"/>
                <w:color w:val="auto"/>
              </w:rPr>
            </w:pPr>
          </w:p>
        </w:tc>
        <w:tc>
          <w:tcPr>
            <w:tcW w:w="200" w:type="dxa"/>
            <w:vAlign w:val="bottom"/>
            <w:tcBorders>
              <w:bottom w:val="single" w:sz="8" w:color="auto"/>
            </w:tcBorders>
            <w:shd w:val="clear" w:color="auto" w:fill="D1D2D4"/>
          </w:tcPr>
          <w:p>
            <w:pPr>
              <w:spacing w:after="0"/>
              <w:rPr>
                <w:sz w:val="21"/>
                <w:szCs w:val="21"/>
                <w:color w:val="auto"/>
              </w:rPr>
            </w:pPr>
          </w:p>
        </w:tc>
        <w:tc>
          <w:tcPr>
            <w:tcW w:w="720" w:type="dxa"/>
            <w:vAlign w:val="bottom"/>
            <w:tcBorders>
              <w:bottom w:val="single" w:sz="8" w:color="auto"/>
            </w:tcBorders>
            <w:vMerge w:val="continue"/>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640" w:type="dxa"/>
            <w:vAlign w:val="bottom"/>
            <w:tcBorders>
              <w:bottom w:val="single" w:sz="8" w:color="auto"/>
            </w:tcBorders>
            <w:vMerge w:val="continue"/>
            <w:shd w:val="clear" w:color="auto" w:fill="D1D2D4"/>
          </w:tcPr>
          <w:p>
            <w:pPr>
              <w:spacing w:after="0"/>
              <w:rPr>
                <w:sz w:val="21"/>
                <w:szCs w:val="21"/>
                <w:color w:val="auto"/>
              </w:rPr>
            </w:pPr>
          </w:p>
        </w:tc>
        <w:tc>
          <w:tcPr>
            <w:tcW w:w="60" w:type="dxa"/>
            <w:vAlign w:val="bottom"/>
            <w:tcBorders>
              <w:bottom w:val="single" w:sz="8" w:color="auto"/>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spacing w:after="0"/>
              <w:rPr>
                <w:sz w:val="21"/>
                <w:szCs w:val="21"/>
                <w:color w:val="auto"/>
              </w:rPr>
            </w:pPr>
          </w:p>
        </w:tc>
        <w:tc>
          <w:tcPr>
            <w:tcW w:w="740" w:type="dxa"/>
            <w:vAlign w:val="bottom"/>
            <w:tcBorders>
              <w:bottom w:val="single" w:sz="8" w:color="auto"/>
            </w:tcBorders>
            <w:vMerge w:val="continue"/>
            <w:shd w:val="clear" w:color="auto" w:fill="D1D2D4"/>
          </w:tcPr>
          <w:p>
            <w:pPr>
              <w:spacing w:after="0"/>
              <w:rPr>
                <w:sz w:val="21"/>
                <w:szCs w:val="21"/>
                <w:color w:val="auto"/>
              </w:rPr>
            </w:pPr>
          </w:p>
        </w:tc>
        <w:tc>
          <w:tcPr>
            <w:tcW w:w="20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vMerge w:val="continue"/>
            <w:shd w:val="clear" w:color="auto" w:fill="D1D2D4"/>
          </w:tcPr>
          <w:p>
            <w:pPr>
              <w:spacing w:after="0"/>
              <w:rPr>
                <w:sz w:val="21"/>
                <w:szCs w:val="21"/>
                <w:color w:val="auto"/>
              </w:rPr>
            </w:pPr>
          </w:p>
        </w:tc>
        <w:tc>
          <w:tcPr>
            <w:tcW w:w="200" w:type="dxa"/>
            <w:vAlign w:val="bottom"/>
            <w:tcBorders>
              <w:bottom w:val="single" w:sz="8" w:color="auto"/>
            </w:tcBorders>
            <w:shd w:val="clear" w:color="auto" w:fill="D1D2D4"/>
          </w:tcPr>
          <w:p>
            <w:pPr>
              <w:spacing w:after="0"/>
              <w:rPr>
                <w:sz w:val="21"/>
                <w:szCs w:val="21"/>
                <w:color w:val="auto"/>
              </w:rPr>
            </w:pPr>
          </w:p>
        </w:tc>
        <w:tc>
          <w:tcPr>
            <w:tcW w:w="720" w:type="dxa"/>
            <w:vAlign w:val="bottom"/>
            <w:tcBorders>
              <w:bottom w:val="single" w:sz="8" w:color="auto"/>
            </w:tcBorders>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13,465</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3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2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August 29, 2024, all of our debt, other than finance lease obligations, were unsecured obligations that rank equally in right of payment with all of our other existing and future unsecured indebtedness and were effectively subordinated to all future secured indebtedness, to the extent of the value of the assets securing such indebtedness. All our unsecured debt were obligations of our parent company, Micron, and were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797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gridSpan w:val="4"/>
          </w:tcPr>
          <w:p>
            <w:pPr>
              <w:ind w:left="100"/>
              <w:spacing w:after="0"/>
              <w:rPr>
                <w:sz w:val="20"/>
                <w:szCs w:val="20"/>
                <w:color w:val="auto"/>
              </w:rPr>
            </w:pPr>
            <w:r>
              <w:rPr>
                <w:rFonts w:ascii="Arial" w:cs="Arial" w:eastAsia="Arial" w:hAnsi="Arial"/>
                <w:sz w:val="16"/>
                <w:szCs w:val="16"/>
                <w:b w:val="1"/>
                <w:bCs w:val="1"/>
                <w:color w:val="BD03F7"/>
                <w:w w:val="99"/>
              </w:rPr>
              <w:t>Table of Contents</w:t>
            </w:r>
          </w:p>
        </w:tc>
        <w:tc>
          <w:tcPr>
            <w:tcW w:w="0" w:type="dxa"/>
            <w:vAlign w:val="bottom"/>
          </w:tcPr>
          <w:p>
            <w:pPr>
              <w:spacing w:after="0"/>
              <w:rPr>
                <w:sz w:val="1"/>
                <w:szCs w:val="1"/>
                <w:color w:val="auto"/>
              </w:rPr>
            </w:pPr>
          </w:p>
        </w:tc>
      </w:tr>
      <w:tr>
        <w:trPr>
          <w:trHeight w:val="910"/>
        </w:trPr>
        <w:tc>
          <w:tcPr>
            <w:tcW w:w="3240" w:type="dxa"/>
            <w:vAlign w:val="bottom"/>
            <w:gridSpan w:val="3"/>
          </w:tcPr>
          <w:p>
            <w:pPr>
              <w:spacing w:after="0"/>
              <w:rPr>
                <w:sz w:val="20"/>
                <w:szCs w:val="20"/>
                <w:color w:val="auto"/>
              </w:rPr>
            </w:pPr>
            <w:r>
              <w:rPr>
                <w:rFonts w:ascii="Arial" w:cs="Arial" w:eastAsia="Arial" w:hAnsi="Arial"/>
                <w:sz w:val="22"/>
                <w:szCs w:val="22"/>
                <w:b w:val="1"/>
                <w:bCs w:val="1"/>
                <w:color w:val="auto"/>
              </w:rPr>
              <w:t>Debt Activity</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spacing w:after="0"/>
              <w:rPr>
                <w:sz w:val="24"/>
                <w:szCs w:val="24"/>
                <w:color w:val="auto"/>
              </w:rPr>
            </w:pPr>
          </w:p>
        </w:tc>
        <w:tc>
          <w:tcPr>
            <w:tcW w:w="2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320" w:type="dxa"/>
            <w:vAlign w:val="bottom"/>
            <w:gridSpan w:val="6"/>
          </w:tcPr>
          <w:p>
            <w:pPr>
              <w:spacing w:after="0"/>
              <w:rPr>
                <w:sz w:val="20"/>
                <w:szCs w:val="20"/>
                <w:color w:val="auto"/>
              </w:rPr>
            </w:pPr>
            <w:r>
              <w:rPr>
                <w:rFonts w:ascii="Arial" w:cs="Arial" w:eastAsia="Arial" w:hAnsi="Arial"/>
                <w:sz w:val="18"/>
                <w:szCs w:val="18"/>
                <w:color w:val="auto"/>
              </w:rPr>
              <w:t>The table below presents the effects of debt financing and prepayment activities in 2024:</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Transaction Date</w:t>
            </w:r>
          </w:p>
        </w:tc>
        <w:tc>
          <w:tcPr>
            <w:tcW w:w="120" w:type="dxa"/>
            <w:vAlign w:val="bottom"/>
          </w:tcPr>
          <w:p>
            <w:pPr>
              <w:spacing w:after="0"/>
              <w:rPr>
                <w:sz w:val="15"/>
                <w:szCs w:val="15"/>
                <w:color w:val="auto"/>
              </w:rPr>
            </w:pPr>
          </w:p>
        </w:tc>
        <w:tc>
          <w:tcPr>
            <w:tcW w:w="13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rPr>
              <w:t>(Decrease) in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9"/>
              </w:rPr>
              <w:t>(Decrease) in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Cash</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60" w:type="dxa"/>
            <w:vAlign w:val="bottom"/>
            <w:tcBorders>
              <w:top w:val="single" w:sz="8" w:color="auto"/>
            </w:tcBorders>
          </w:tcPr>
          <w:p>
            <w:pPr>
              <w:spacing w:after="0"/>
              <w:rPr>
                <w:sz w:val="2"/>
                <w:szCs w:val="2"/>
                <w:color w:val="auto"/>
              </w:rPr>
            </w:pPr>
          </w:p>
        </w:tc>
        <w:tc>
          <w:tcPr>
            <w:tcW w:w="36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200" w:type="dxa"/>
            <w:vAlign w:val="bottom"/>
            <w:gridSpan w:val="2"/>
            <w:shd w:val="clear" w:color="auto" w:fill="D1D2D4"/>
          </w:tcPr>
          <w:p>
            <w:pPr>
              <w:spacing w:after="0"/>
              <w:rPr>
                <w:sz w:val="20"/>
                <w:szCs w:val="20"/>
                <w:color w:val="auto"/>
              </w:rPr>
            </w:pPr>
            <w:r>
              <w:rPr>
                <w:rFonts w:ascii="Arial" w:cs="Arial" w:eastAsia="Arial" w:hAnsi="Arial"/>
                <w:sz w:val="18"/>
                <w:szCs w:val="18"/>
                <w:b w:val="1"/>
                <w:bCs w:val="1"/>
                <w:color w:val="auto"/>
              </w:rPr>
              <w:t>Issuances</w:t>
            </w:r>
          </w:p>
        </w:tc>
        <w:tc>
          <w:tcPr>
            <w:tcW w:w="3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2031</w:t>
            </w:r>
          </w:p>
        </w:tc>
        <w:tc>
          <w:tcPr>
            <w:tcW w:w="2660" w:type="dxa"/>
            <w:vAlign w:val="bottom"/>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tcPr>
          <w:p>
            <w:pPr>
              <w:ind w:left="1620"/>
              <w:spacing w:after="0"/>
              <w:rPr>
                <w:sz w:val="20"/>
                <w:szCs w:val="20"/>
                <w:color w:val="auto"/>
              </w:rPr>
            </w:pPr>
            <w:r>
              <w:rPr>
                <w:rFonts w:ascii="Arial" w:cs="Arial" w:eastAsia="Arial" w:hAnsi="Arial"/>
                <w:sz w:val="18"/>
                <w:szCs w:val="18"/>
                <w:color w:val="auto"/>
              </w:rPr>
              <w:t>January 12,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770"/>
              <w:spacing w:after="0"/>
              <w:rPr>
                <w:sz w:val="20"/>
                <w:szCs w:val="20"/>
                <w:color w:val="auto"/>
              </w:rPr>
            </w:pPr>
            <w:r>
              <w:rPr>
                <w:rFonts w:ascii="Arial" w:cs="Arial" w:eastAsia="Arial" w:hAnsi="Arial"/>
                <w:sz w:val="18"/>
                <w:szCs w:val="18"/>
                <w:color w:val="auto"/>
                <w:w w:val="99"/>
              </w:rPr>
              <w:t>993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left="750"/>
              <w:spacing w:after="0"/>
              <w:rPr>
                <w:sz w:val="20"/>
                <w:szCs w:val="20"/>
                <w:color w:val="auto"/>
              </w:rPr>
            </w:pPr>
            <w:r>
              <w:rPr>
                <w:rFonts w:ascii="Arial" w:cs="Arial" w:eastAsia="Arial" w:hAnsi="Arial"/>
                <w:sz w:val="18"/>
                <w:szCs w:val="18"/>
                <w:color w:val="auto"/>
                <w:w w:val="99"/>
              </w:rPr>
              <w:t>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00" w:type="dxa"/>
            <w:vAlign w:val="bottom"/>
            <w:gridSpan w:val="2"/>
            <w:shd w:val="clear" w:color="auto" w:fill="D1D2D4"/>
          </w:tcPr>
          <w:p>
            <w:pPr>
              <w:spacing w:after="0"/>
              <w:rPr>
                <w:sz w:val="20"/>
                <w:szCs w:val="20"/>
                <w:color w:val="auto"/>
              </w:rPr>
            </w:pPr>
            <w:r>
              <w:rPr>
                <w:rFonts w:ascii="Arial" w:cs="Arial" w:eastAsia="Arial" w:hAnsi="Arial"/>
                <w:sz w:val="18"/>
                <w:szCs w:val="18"/>
                <w:b w:val="1"/>
                <w:bCs w:val="1"/>
                <w:color w:val="auto"/>
              </w:rPr>
              <w:t>Prepayments</w:t>
            </w:r>
          </w:p>
        </w:tc>
        <w:tc>
          <w:tcPr>
            <w:tcW w:w="3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2024</w:t>
            </w:r>
          </w:p>
        </w:tc>
        <w:tc>
          <w:tcPr>
            <w:tcW w:w="266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Pr>
          <w:p>
            <w:pPr>
              <w:ind w:left="1620"/>
              <w:spacing w:after="0"/>
              <w:rPr>
                <w:sz w:val="20"/>
                <w:szCs w:val="20"/>
                <w:color w:val="auto"/>
              </w:rPr>
            </w:pPr>
            <w:r>
              <w:rPr>
                <w:rFonts w:ascii="Arial" w:cs="Arial" w:eastAsia="Arial" w:hAnsi="Arial"/>
                <w:sz w:val="18"/>
                <w:szCs w:val="18"/>
                <w:color w:val="auto"/>
              </w:rPr>
              <w:t>January 12, 2024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9"/>
                <w:szCs w:val="19"/>
                <w:color w:val="auto"/>
              </w:rPr>
            </w:pPr>
          </w:p>
        </w:tc>
        <w:tc>
          <w:tcPr>
            <w:tcW w:w="1320" w:type="dxa"/>
            <w:vAlign w:val="bottom"/>
          </w:tcPr>
          <w:p>
            <w:pPr>
              <w:jc w:val="center"/>
              <w:ind w:left="730"/>
              <w:spacing w:after="0"/>
              <w:rPr>
                <w:sz w:val="20"/>
                <w:szCs w:val="20"/>
                <w:color w:val="auto"/>
              </w:rPr>
            </w:pPr>
            <w:r>
              <w:rPr>
                <w:rFonts w:ascii="Arial" w:cs="Arial" w:eastAsia="Arial" w:hAnsi="Arial"/>
                <w:sz w:val="18"/>
                <w:szCs w:val="18"/>
                <w:color w:val="auto"/>
                <w:w w:val="99"/>
              </w:rPr>
              <w:t>(587)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jc w:val="center"/>
              <w:ind w:left="750"/>
              <w:spacing w:after="0"/>
              <w:rPr>
                <w:sz w:val="20"/>
                <w:szCs w:val="20"/>
                <w:color w:val="auto"/>
              </w:rPr>
            </w:pPr>
            <w:r>
              <w:rPr>
                <w:rFonts w:ascii="Arial" w:cs="Arial" w:eastAsia="Arial" w:hAnsi="Arial"/>
                <w:sz w:val="18"/>
                <w:szCs w:val="18"/>
                <w:color w:val="auto"/>
                <w:w w:val="99"/>
              </w:rPr>
              <w:t>(588)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January 12, 2024</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center"/>
              <w:ind w:left="730"/>
              <w:spacing w:after="0"/>
              <w:rPr>
                <w:sz w:val="20"/>
                <w:szCs w:val="20"/>
                <w:color w:val="auto"/>
              </w:rPr>
            </w:pPr>
            <w:r>
              <w:rPr>
                <w:rFonts w:ascii="Arial" w:cs="Arial" w:eastAsia="Arial" w:hAnsi="Arial"/>
                <w:sz w:val="18"/>
                <w:szCs w:val="18"/>
                <w:color w:val="auto"/>
                <w:w w:val="99"/>
              </w:rPr>
              <w:t>(401)</w:t>
            </w: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00" w:type="dxa"/>
            <w:vAlign w:val="bottom"/>
            <w:shd w:val="clear" w:color="auto" w:fill="D1D2D4"/>
          </w:tcPr>
          <w:p>
            <w:pPr>
              <w:jc w:val="center"/>
              <w:ind w:left="750"/>
              <w:spacing w:after="0"/>
              <w:rPr>
                <w:sz w:val="20"/>
                <w:szCs w:val="20"/>
                <w:color w:val="auto"/>
              </w:rPr>
            </w:pPr>
            <w:r>
              <w:rPr>
                <w:rFonts w:ascii="Arial" w:cs="Arial" w:eastAsia="Arial" w:hAnsi="Arial"/>
                <w:sz w:val="18"/>
                <w:szCs w:val="18"/>
                <w:color w:val="auto"/>
                <w:w w:val="99"/>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2025</w:t>
            </w:r>
          </w:p>
        </w:tc>
        <w:tc>
          <w:tcPr>
            <w:tcW w:w="26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Borders>
              <w:bottom w:val="single" w:sz="8" w:color="D1D2D4"/>
            </w:tcBorders>
          </w:tcPr>
          <w:p>
            <w:pPr>
              <w:ind w:left="1620"/>
              <w:spacing w:after="0"/>
              <w:rPr>
                <w:sz w:val="20"/>
                <w:szCs w:val="20"/>
                <w:color w:val="auto"/>
              </w:rPr>
            </w:pPr>
            <w:r>
              <w:rPr>
                <w:rFonts w:ascii="Arial" w:cs="Arial" w:eastAsia="Arial" w:hAnsi="Arial"/>
                <w:sz w:val="18"/>
                <w:szCs w:val="18"/>
                <w:color w:val="auto"/>
              </w:rPr>
              <w:t>May 29, 2024</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(649)</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9"/>
              </w:rPr>
              <w:t>(650)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 w:type="dxa"/>
            <w:vAlign w:val="bottom"/>
            <w:tcBorders>
              <w:bottom w:val="single" w:sz="8" w:color="D1D2D4"/>
            </w:tcBorders>
            <w:shd w:val="clear" w:color="auto" w:fill="D1D2D4"/>
          </w:tcPr>
          <w:p>
            <w:pPr>
              <w:spacing w:after="0"/>
              <w:rPr>
                <w:sz w:val="21"/>
                <w:szCs w:val="21"/>
                <w:color w:val="auto"/>
              </w:rPr>
            </w:pPr>
          </w:p>
        </w:tc>
        <w:tc>
          <w:tcPr>
            <w:tcW w:w="2660" w:type="dxa"/>
            <w:vAlign w:val="bottom"/>
            <w:tcBorders>
              <w:bottom w:val="single" w:sz="8" w:color="D1D2D4"/>
            </w:tcBorders>
            <w:shd w:val="clear" w:color="auto" w:fill="D1D2D4"/>
          </w:tcPr>
          <w:p>
            <w:pPr>
              <w:spacing w:after="0"/>
              <w:rPr>
                <w:sz w:val="21"/>
                <w:szCs w:val="21"/>
                <w:color w:val="auto"/>
              </w:rPr>
            </w:pPr>
          </w:p>
        </w:tc>
        <w:tc>
          <w:tcPr>
            <w:tcW w:w="36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center"/>
              <w:ind w:left="730"/>
              <w:spacing w:after="0"/>
              <w:rPr>
                <w:sz w:val="20"/>
                <w:szCs w:val="20"/>
                <w:color w:val="auto"/>
              </w:rPr>
            </w:pPr>
            <w:r>
              <w:rPr>
                <w:rFonts w:ascii="Arial" w:cs="Arial" w:eastAsia="Arial" w:hAnsi="Arial"/>
                <w:sz w:val="18"/>
                <w:szCs w:val="18"/>
                <w:color w:val="auto"/>
                <w:w w:val="99"/>
              </w:rPr>
              <w:t>(644)</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center"/>
              <w:ind w:left="750"/>
              <w:spacing w:after="0"/>
              <w:rPr>
                <w:sz w:val="20"/>
                <w:szCs w:val="20"/>
                <w:color w:val="auto"/>
              </w:rPr>
            </w:pPr>
            <w:r>
              <w:rPr>
                <w:rFonts w:ascii="Arial" w:cs="Arial" w:eastAsia="Arial" w:hAnsi="Arial"/>
                <w:sz w:val="18"/>
                <w:szCs w:val="18"/>
                <w:color w:val="auto"/>
                <w:w w:val="99"/>
              </w:rPr>
              <w:t>(647)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top w:val="single" w:sz="8" w:color="D1D2D4"/>
            </w:tcBorders>
          </w:tcPr>
          <w:p>
            <w:pPr>
              <w:spacing w:after="0" w:line="20" w:lineRule="exact"/>
              <w:rPr>
                <w:sz w:val="1"/>
                <w:szCs w:val="1"/>
                <w:color w:val="auto"/>
              </w:rPr>
            </w:pPr>
          </w:p>
        </w:tc>
        <w:tc>
          <w:tcPr>
            <w:tcW w:w="2660" w:type="dxa"/>
            <w:vAlign w:val="bottom"/>
            <w:tcBorders>
              <w:top w:val="single" w:sz="8" w:color="D1D2D4"/>
            </w:tcBorders>
          </w:tcPr>
          <w:p>
            <w:pPr>
              <w:spacing w:after="0" w:line="20" w:lineRule="exact"/>
              <w:rPr>
                <w:sz w:val="1"/>
                <w:szCs w:val="1"/>
                <w:color w:val="auto"/>
              </w:rPr>
            </w:pPr>
          </w:p>
        </w:tc>
        <w:tc>
          <w:tcPr>
            <w:tcW w:w="36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2023, we issued $6.70 billion of senior unsecured notes and term loan agreements and received cash of $6.69 billion. We prepaid $600 million of principal amount of the 2024 Term Loan A.</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2022, we issued $2.00 billion of senior unsecured notes and received cash of $1.99 billion. We prepaid $1.85 billion of principal amount of notes for $1.93 billion in cash. We recognized losses of $83 million in connection with these prepayments.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Unsecured Notes</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redeem our 2026 Notes, 2027 Notes, 2028 Notes, 2029 A Notes, 2029 B Notes, 2030 Notes, 2031 Notes, 2032 Green Bonds, 2033 A Notes, 2033 B Notes, 2041 Notes, and 2051 Notes (the “Senior Unsecured Notes”), in whole or in part, at our option prior to their respective maturity dates at a redemption price equal to the greater of (i) 100% of the principal amount of the Senior Unsecured Notes to be redeemed and (ii) the present value of the remaining scheduled payments of principal and interest, in each case plus accrued interest. We may also redeem any series of our Senior Unsecured Notes, in whole or in part, at a price equal to par between one and six months prior to maturity in accordance with the respective terms of such series.</w:t>
      </w:r>
    </w:p>
    <w:p>
      <w:pPr>
        <w:spacing w:after="0" w:line="20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series)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as defined in the indentures governing our Senior Unsecured Notes, occurs with respect to a series of Senior Unsecured Notes, we will be required to offer to purchase such Senior Unsecured Notes at 101% of the outstanding aggregate principal amount plus accrued interest up to the purchase date.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Multi-Tranche Term Loan Agreement</w:t>
      </w:r>
    </w:p>
    <w:p>
      <w:pPr>
        <w:spacing w:after="0" w:line="243"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The 2026 Term Loan A and 2027 Term Loan A (the “Multi-Tranche Term Loan Agreement”) require equal quarterly installment payments in an amount equal to 1.25% of the original principal amount. Borrowings under the Multi-Tranche Term Loan Agreement will generally bear interest at adjusted term SOFR plus an applicable interest rate margin ranging from 1.00% to 2.00%, varying by tranche and depending on our corporate credit ratings. Adjusted term SOFR for the Multi-Tranche Term Loan Agreement is the SOFR benchmark plus 0.10%.</w:t>
      </w:r>
    </w:p>
    <w:p>
      <w:pPr>
        <w:spacing w:after="0" w:line="18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Multi-Tranche Term Loan Agreement requires us to maintain, on a consolidated basis, a leverage ratio of total indebtedness to adjusted EBITDA, as defined in the Multi-Tranche Term Loan Agreement and calculated as of the last day of each fiscal quarter, not to exceed 3.25 to 1.00, subject to a temporary four quarter increase in such ratio to 3.75 to 1.00 following certain material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Multi-Tranche Term Loan Agreement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 Our obligations under the Multi-Tranche Term Loan Agreement are unsecured.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Revolving Credit Facility</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August 29, 2024, no amounts were outstanding under the Revolving Credit Facility and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Revolving Credit Facility contains the same leverage ratio and substantially the same other covenants as the Multi-Tranche Term Loan Agreement.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Maturities of Notes Payable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August 29, 2024, maturities of notes payable by fiscal year were as follows: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11,343</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August 29, 2024, we had noncancelable commitments with remaining contractual terms in excess of one year of approximately $6.7 billion for purchase obligations, of which approximately $1.7 billion will be due in 2025, $1.7 billion due in 2026, $1.0 billion due in 2027, $800 million due in 2028, $200 million due in 2029, and $1.3 billion due in 2030 and thereafter. Purchase obligations primarily include payments for goods or services with either a fixed or minimum quantity and price, which includes payments for the acquisition of property, plant, and equipment. Payments for leases that have been executed but have not yet commenced are excluded.</w:t>
      </w:r>
    </w:p>
    <w:p>
      <w:pPr>
        <w:spacing w:after="0" w:line="206"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In 2023, we entered into an 18-year power purchase agreement in Singapore to purchase up to 450 megawatts of power at predominantly variable prices. This contract is expected to supply the majority of our power consumption needs in Singapore with more favorable pricing than our previous supply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 — U.S. Patent No. 7,619,912 (“the ‘912 patent”) and U.S. Patent No. 11,093,417 (“the ‘417 patent”) — and found that Micron should pay $425 million for infringement of the ‘912 patent and $20 million for infringement of the ‘417 patent. Micron expects to appeal the verdict. On April 17, 2024, the Patent Trial and Appeal Board (“PTAB”) of the United States Patent and Trademark Office (“USPTO”) issued a final written decision (“FWD”) finding unpatentable the sole asserted claim of the ‘912 patent. Netlist sought review of that ruling by the Director of the USPTO, which was denied on July 10, 2024. On July 30, 2024, the USPTO issued a FWD finding unpatentable all asserted claims of the ‘417 patent.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21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August 16, 2022, Sonrai Memory Ltd. filed a patent infringement complaint against Micron in the U.S. District Court for the Western District of Texas. The complaint alleged that two U.S. patents are infringed by certain SSD and NAND flash products. The complaint sought damages, attorneys’ fees, and costs. On September 6, 2024, pursuant to a motion jointly filed by the parties, the court dismissed Sonrai’s complaint.</w:t>
      </w:r>
    </w:p>
    <w:p>
      <w:pPr>
        <w:spacing w:after="0" w:line="203"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color w:val="auto"/>
        </w:rPr>
        <w:t>On January 23, 2023, Besang Inc. filed a patent infringement complaint against Micron in the U.S. District Court for the E.D. Tex. The complaint alleges that one U.S. patent is infringed by certain of our 3D NAND and SSD products. The complaint seeks an injunction, damages,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Technology, Inc. (“MTI”) was served with the same complaints. The complaints assert that MTI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the Company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MTI and MSS infringed five Chinese patents owned by YMTC by importing, selling, offering for sale, and assisting others to sell certain 3D NAND products and SSDs in China. The complaint seeks an injunction, damages, attorneys’ fees, and costs.</w:t>
      </w:r>
    </w:p>
    <w:p>
      <w:pPr>
        <w:spacing w:after="0" w:line="2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June 3, 2024, MimirIP LLC (“MimirIP”) submitted a complaint to the United States International Trade Commission (“ITC”) alleging that certain of Micron’s DRAM and NAND products infringe six patents owned by MimirIP. The complaint requested the ITC to institute an investigation of such alleged infringement pursuant to Section 337 of the Tariff Act of 1930 and to issue a permanent limited exclusion order barring from entry into the United States such allegedly infringing DRAM and NAND devices and electronic devices containing the same produced by several alleged customers of Micron. On August 27, 2024, MimirIP and the Company filed a joint motion to terminate the ITC investigation, which was granted on September 12, 2024.</w:t>
      </w:r>
    </w:p>
    <w:p>
      <w:pPr>
        <w:spacing w:after="0" w:line="20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June 3, 2024, MimirIP filed a complaint against Micron, two of its subsidiaries, and certain alleged customers of Micron in the E.D. Tex. alleging that the same six patents as are asserted in the ITC are infringed by certain of Micron’s DRAM and NAND products. The complaint sought damages, attorneys’ fees, and costs. On August 30, 2024, the court dismissed the complaint pursuant to a notice of voluntary dismissal filed by MimirIP.</w:t>
      </w:r>
    </w:p>
    <w:p>
      <w:pPr>
        <w:spacing w:after="0" w:line="20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On June 4, 2024, MimirIP filed a second complaint against Micron, two of its subsidiaries, and certain alleged customers of Micron in the E.D. Tex. alleging that six additional patents are infringed by certain of Micron’s DRAM and NAND products. The complaint sought damages, attorneys’ fees, and costs. On August 30, 2024, the court dismissed the complaint pursuant to a notice of voluntary dismissal filed by MimirIP.</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24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Contingency Assessment</w:t>
      </w:r>
    </w:p>
    <w:p>
      <w:pPr>
        <w:spacing w:after="0" w:line="2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We repurchased 3.2 million shares of our common stock for $300 million in 2024 and 8.6 million shares for $425 million in 2023. Through August 29, 2024, we had repurchased an aggregate of $7.19 billion under the authorization. Amounts repurchased are included in treasury stock.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each quarter of 2024, we declared and paid dividends of $0.115 per share. On September 25, 2024, our Board of Directors declared a quarterly dividend of $0.115 per share, payable in cash on October 23, 2024, to shareholders of record as of the close of business on October 7, 2024.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Income (Loss)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for the year ended August 29, 2024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66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320" w:type="dxa"/>
            <w:vAlign w:val="bottom"/>
            <w:gridSpan w:val="2"/>
          </w:tcPr>
          <w:p>
            <w:pPr>
              <w:jc w:val="right"/>
              <w:ind w:right="10"/>
              <w:spacing w:after="0" w:line="189"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6"/>
                <w:szCs w:val="16"/>
                <w:color w:val="auto"/>
              </w:rPr>
            </w:pPr>
          </w:p>
        </w:tc>
        <w:tc>
          <w:tcPr>
            <w:tcW w:w="122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6"/>
                <w:szCs w:val="16"/>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31, 2023</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55"/>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3"/>
                <w:szCs w:val="13"/>
                <w:color w:val="auto"/>
              </w:rPr>
            </w:pPr>
          </w:p>
        </w:tc>
        <w:tc>
          <w:tcPr>
            <w:tcW w:w="120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22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17780</wp:posOffset>
            </wp:positionV>
            <wp:extent cx="1834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p>
    <w:p>
      <w:pPr>
        <w:ind w:left="5920"/>
        <w:spacing w:after="0"/>
        <w:tabs>
          <w:tab w:leader="none" w:pos="714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line="8" w:lineRule="exact"/>
        <w:rPr>
          <w:sz w:val="20"/>
          <w:szCs w:val="20"/>
          <w:color w:val="auto"/>
        </w:rPr>
      </w:pPr>
    </w:p>
    <w:p>
      <w:pPr>
        <w:ind w:left="5840"/>
        <w:spacing w:after="0"/>
        <w:tabs>
          <w:tab w:leader="none" w:pos="726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229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17780</wp:posOffset>
            </wp:positionV>
            <wp:extent cx="1834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line="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6350</wp:posOffset>
            </wp:positionV>
            <wp:extent cx="1834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8120" w:space="720"/>
            <w:col w:w="2400"/>
          </w:cols>
          <w:pgMar w:left="320" w:top="125" w:right="339" w:bottom="1440" w:gutter="0" w:footer="0" w:header="0"/>
          <w:type w:val="continuous"/>
        </w:sectPr>
      </w:pPr>
    </w:p>
    <w:p>
      <w:pPr>
        <w:ind w:left="20"/>
        <w:spacing w:after="0"/>
        <w:tabs>
          <w:tab w:leader="none" w:pos="5360" w:val="left"/>
          <w:tab w:leader="none" w:pos="6160" w:val="left"/>
          <w:tab w:leader="none" w:pos="7600" w:val="left"/>
          <w:tab w:leader="none" w:pos="8340" w:val="left"/>
          <w:tab w:leader="none" w:pos="9160" w:val="left"/>
          <w:tab w:leader="none" w:pos="10600" w:val="left"/>
        </w:tabs>
        <w:rPr>
          <w:sz w:val="20"/>
          <w:szCs w:val="20"/>
          <w:color w:val="auto"/>
        </w:rPr>
      </w:pPr>
      <w:r>
        <w:rPr>
          <w:rFonts w:ascii="Arial" w:cs="Arial" w:eastAsia="Arial" w:hAnsi="Arial"/>
          <w:sz w:val="18"/>
          <w:szCs w:val="18"/>
          <w:color w:val="auto"/>
        </w:rPr>
        <w:t>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11,316 $</w:t>
      </w:r>
      <w:r>
        <w:rPr>
          <w:sz w:val="20"/>
          <w:szCs w:val="20"/>
          <w:color w:val="auto"/>
        </w:rPr>
        <w:tab/>
      </w:r>
      <w:r>
        <w:rPr>
          <w:rFonts w:ascii="Arial" w:cs="Arial" w:eastAsia="Arial" w:hAnsi="Arial"/>
          <w:sz w:val="18"/>
          <w:szCs w:val="18"/>
          <w:color w:val="auto"/>
        </w:rPr>
        <w:t>11,343</w:t>
        <w:tab/>
        <w:t>$</w:t>
      </w:r>
      <w:r>
        <w:rPr>
          <w:sz w:val="20"/>
          <w:szCs w:val="20"/>
          <w:color w:val="auto"/>
        </w:rPr>
        <w:tab/>
      </w:r>
      <w:r>
        <w:rPr>
          <w:rFonts w:ascii="Arial" w:cs="Arial" w:eastAsia="Arial" w:hAnsi="Arial"/>
          <w:sz w:val="18"/>
          <w:szCs w:val="18"/>
          <w:color w:val="auto"/>
        </w:rPr>
        <w:t>11,549 $</w:t>
      </w:r>
      <w:r>
        <w:rPr>
          <w:sz w:val="20"/>
          <w:szCs w:val="20"/>
          <w:color w:val="auto"/>
        </w:rPr>
        <w:tab/>
      </w:r>
      <w:r>
        <w:rPr>
          <w:rFonts w:ascii="Arial" w:cs="Arial" w:eastAsia="Arial" w:hAnsi="Arial"/>
          <w:sz w:val="17"/>
          <w:szCs w:val="17"/>
          <w:color w:val="auto"/>
        </w:rPr>
        <w:t>12,049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Derivative Instruments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2"/>
                <w:szCs w:val="22"/>
                <w:color w:val="auto"/>
              </w:rPr>
            </w:pPr>
          </w:p>
        </w:tc>
        <w:tc>
          <w:tcPr>
            <w:tcW w:w="26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1"/>
              <w:spacing w:after="0" w:line="130"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(2)</w:t>
            </w:r>
          </w:p>
        </w:tc>
        <w:tc>
          <w:tcPr>
            <w:tcW w:w="220" w:type="dxa"/>
            <w:vAlign w:val="bottom"/>
          </w:tcPr>
          <w:p>
            <w:pPr>
              <w:spacing w:after="0"/>
              <w:rPr>
                <w:sz w:val="4"/>
                <w:szCs w:val="4"/>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3,724</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2,511</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6"/>
        </w:trPr>
        <w:tc>
          <w:tcPr>
            <w:tcW w:w="59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900" w:type="dxa"/>
            <w:vAlign w:val="bottom"/>
            <w:tcBorders>
              <w:bottom w:val="single" w:sz="8" w:color="D1D2D4"/>
            </w:tcBorders>
          </w:tcPr>
          <w:p>
            <w:pPr>
              <w:spacing w:after="0" w:line="20" w:lineRule="exact"/>
              <w:rPr>
                <w:sz w:val="1"/>
                <w:szCs w:val="1"/>
                <w:color w:val="auto"/>
              </w:rPr>
            </w:pPr>
          </w:p>
        </w:tc>
        <w:tc>
          <w:tcPr>
            <w:tcW w:w="1180" w:type="dxa"/>
            <w:vAlign w:val="bottom"/>
            <w:tcBorders>
              <w:bottom w:val="single" w:sz="8" w:color="D1D2D4"/>
            </w:tcBorders>
          </w:tcPr>
          <w:p>
            <w:pPr>
              <w:spacing w:after="0" w:line="20" w:lineRule="exact"/>
              <w:rPr>
                <w:sz w:val="1"/>
                <w:szCs w:val="1"/>
                <w:color w:val="auto"/>
              </w:rPr>
            </w:pPr>
          </w:p>
        </w:tc>
        <w:tc>
          <w:tcPr>
            <w:tcW w:w="12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As of August 31, 2023</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59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440" w:hanging="252"/>
        <w:spacing w:after="0" w:line="228" w:lineRule="auto"/>
        <w:tabs>
          <w:tab w:leader="none" w:pos="254"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Forward and swap contracts are measured at fair value based on market-based observable inputs including market spot and forward rates, interest rates, and credit-risk spreads (Level 2).</w:t>
      </w:r>
    </w:p>
    <w:p>
      <w:pPr>
        <w:ind w:left="240" w:hanging="232"/>
        <w:spacing w:after="0" w:line="196" w:lineRule="auto"/>
        <w:tabs>
          <w:tab w:leader="none" w:pos="240"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 Hedge Accounting Designation</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The effects of cash flow hedging activities were as follows:</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from cash flow hedges in accumulated other comprehensive income (loss)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Gain (loss) excluded from effectiveness testing in cost of goods sold</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722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Gain (loss) reclassified from accumulated other comprehensive income (loss) to</w:t>
            </w:r>
          </w:p>
        </w:tc>
        <w:tc>
          <w:tcPr>
            <w:tcW w:w="11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D1D2D4"/>
          </w:tcPr>
          <w:p>
            <w:pPr>
              <w:spacing w:after="0"/>
              <w:rPr>
                <w:sz w:val="15"/>
                <w:szCs w:val="15"/>
                <w:color w:val="auto"/>
              </w:rPr>
            </w:pPr>
          </w:p>
        </w:tc>
        <w:tc>
          <w:tcPr>
            <w:tcW w:w="11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D1D2D4"/>
          </w:tcPr>
          <w:p>
            <w:pPr>
              <w:spacing w:after="0"/>
              <w:rPr>
                <w:sz w:val="15"/>
                <w:szCs w:val="15"/>
                <w:color w:val="auto"/>
              </w:rPr>
            </w:pPr>
          </w:p>
        </w:tc>
        <w:tc>
          <w:tcPr>
            <w:tcW w:w="11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7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primarily to cost of goods sold</w:t>
            </w:r>
          </w:p>
        </w:tc>
        <w:tc>
          <w:tcPr>
            <w:tcW w:w="1120" w:type="dxa"/>
            <w:vAlign w:val="bottom"/>
            <w:vMerge w:val="continue"/>
            <w:shd w:val="clear" w:color="auto" w:fill="D1D2D4"/>
          </w:tcPr>
          <w:p>
            <w:pPr>
              <w:spacing w:after="0"/>
              <w:rPr>
                <w:sz w:val="21"/>
                <w:szCs w:val="21"/>
                <w:color w:val="auto"/>
              </w:rPr>
            </w:pPr>
          </w:p>
        </w:tc>
        <w:tc>
          <w:tcPr>
            <w:tcW w:w="340" w:type="dxa"/>
            <w:vAlign w:val="bottom"/>
            <w:shd w:val="clear" w:color="auto" w:fill="D1D2D4"/>
          </w:tcPr>
          <w:p>
            <w:pPr>
              <w:spacing w:after="0"/>
              <w:rPr>
                <w:sz w:val="21"/>
                <w:szCs w:val="21"/>
                <w:color w:val="auto"/>
              </w:rPr>
            </w:pPr>
          </w:p>
        </w:tc>
        <w:tc>
          <w:tcPr>
            <w:tcW w:w="1120" w:type="dxa"/>
            <w:vAlign w:val="bottom"/>
            <w:vMerge w:val="continue"/>
            <w:shd w:val="clear" w:color="auto" w:fill="D1D2D4"/>
          </w:tcPr>
          <w:p>
            <w:pPr>
              <w:spacing w:after="0"/>
              <w:rPr>
                <w:sz w:val="21"/>
                <w:szCs w:val="21"/>
                <w:color w:val="auto"/>
              </w:rPr>
            </w:pPr>
          </w:p>
        </w:tc>
        <w:tc>
          <w:tcPr>
            <w:tcW w:w="320" w:type="dxa"/>
            <w:vAlign w:val="bottom"/>
            <w:shd w:val="clear" w:color="auto" w:fill="D1D2D4"/>
          </w:tcPr>
          <w:p>
            <w:pPr>
              <w:spacing w:after="0"/>
              <w:rPr>
                <w:sz w:val="21"/>
                <w:szCs w:val="21"/>
                <w:color w:val="auto"/>
              </w:rPr>
            </w:pPr>
          </w:p>
        </w:tc>
        <w:tc>
          <w:tcPr>
            <w:tcW w:w="112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color w:val="auto"/>
        </w:rPr>
        <w:t>As of August 29, 2024, we expect to reclassify $89 million of pre-tax losses related to cash flow hedges from accumulated other comprehensive income (loss) into earnings in the next 12 months.</w:t>
      </w:r>
    </w:p>
    <w:p>
      <w:pPr>
        <w:spacing w:after="0" w:line="180"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currency forward contracts that generally mature within one year designated as fair value hedges to minimize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 to changes in currency exchange rates for non-U.S.-dollar-denominated cash and investments in debt securities. The fair value of our hedged cash and investments in debt securities was $2.58 billion as of August 29, 2024. The changes in the fair values of derivatives designated as fair value hedges and the offsetting changes in the underlying fair values of the hedged items are both recognized in earnings. The effects of fair value currency hedges on our consolidated statements of operations, recognized in other non-operating income (expense), net, were not significant for the periods presented.</w:t>
      </w:r>
    </w:p>
    <w:p>
      <w:pPr>
        <w:spacing w:after="0" w:line="2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utilize fixed-to-floating interest rate swaps designated as fair value hedges to minimize certain exposures to changes in the fair value of fixed-rate debt that result from fluctuations in benchmark interest rates. We recognized interest expense of $96 million for changes in the fair value of our interest rate swaps in 2022 and the impact to interest expense was not significant for 2024 or 2023. We also recognized offsetting reductions in interest expense of the same amounts related to the changes in the fair value of the hedged portion of the underlying debt for these periods.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without Hedge Accounting Designation</w:t>
      </w:r>
    </w:p>
    <w:p>
      <w:pPr>
        <w:spacing w:after="0" w:line="2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Counterparty Credit Risk and Master Netting Arrangements</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29, 2024 and August 31, 2023, amounts netted under our master netting arrangements were not significant.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Plans</w:t>
      </w:r>
    </w:p>
    <w:p>
      <w:pPr>
        <w:spacing w:after="0" w:line="25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As of August 29, 2024, 69 million shares of our common stock were available for future awards under our equity compensation plans, including 11 million shares approved for issuance under our employee stock purchase plan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and Restricted Stock Units (“Restricted Stock Awards”)</w:t>
      </w:r>
    </w:p>
    <w:p>
      <w:pPr>
        <w:spacing w:after="0" w:line="2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August 29, 2024, there were 28 million shares of Restricted Stock Awards outstanding, 24 million of which are only subject to service-based vesting conditions. Service-based Restricted Stock Awards granted through October 2021 generally vest in one-fourth or one-third increments during each year of employment after the grant date. Service-based Restricted Stock Awards granted after October 2021 generally vest on 25% or 33% of the units granted after the first year and on 6.25% or 8.33% each quarter thereafter over the remaining three or two years of employment. Restricted Stock Awards with performance or market-based vesting conditions vest over a 3-year period as conditions are met. At the end of the performance period, the number of actual shares to be awarded will vary between 0% and 200% of target amounts, depending upon the achievement level. In 2022, our Board of Directors approved dividend equivalent rights for unvested restricted stock units awarded on or after October 13,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color w:val="auto"/>
              </w:rPr>
              <w:t>Restricted Stock Awards activity for 2024 is summarized as follows:</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15"/>
                <w:szCs w:val="15"/>
                <w:color w:val="auto"/>
              </w:rPr>
            </w:pPr>
          </w:p>
        </w:tc>
        <w:tc>
          <w:tcPr>
            <w:tcW w:w="15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Grant Date Fair</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Value Per Share</w:t>
            </w:r>
          </w:p>
        </w:tc>
        <w:tc>
          <w:tcPr>
            <w:tcW w:w="0" w:type="dxa"/>
            <w:vAlign w:val="bottom"/>
          </w:tcPr>
          <w:p>
            <w:pPr>
              <w:spacing w:after="0"/>
              <w:rPr>
                <w:sz w:val="1"/>
                <w:szCs w:val="1"/>
                <w:color w:val="auto"/>
              </w:rPr>
            </w:pPr>
          </w:p>
        </w:tc>
      </w:tr>
      <w:tr>
        <w:trPr>
          <w:trHeight w:val="3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Outstanding as of August 31, 2023</w:t>
            </w:r>
          </w:p>
        </w:tc>
        <w:tc>
          <w:tcPr>
            <w:tcW w:w="740" w:type="dxa"/>
            <w:vAlign w:val="bottom"/>
            <w:shd w:val="clear" w:color="auto" w:fill="D1D2D4"/>
          </w:tcPr>
          <w:p>
            <w:pPr>
              <w:spacing w:after="0"/>
              <w:rPr>
                <w:sz w:val="19"/>
                <w:szCs w:val="19"/>
                <w:color w:val="auto"/>
              </w:rPr>
            </w:pPr>
          </w:p>
        </w:tc>
        <w:tc>
          <w:tcPr>
            <w:tcW w:w="134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29"/>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Vested</w:t>
            </w:r>
          </w:p>
        </w:tc>
        <w:tc>
          <w:tcPr>
            <w:tcW w:w="740" w:type="dxa"/>
            <w:vAlign w:val="bottom"/>
            <w:shd w:val="clear" w:color="auto" w:fill="D1D2D4"/>
          </w:tcPr>
          <w:p>
            <w:pPr>
              <w:spacing w:after="0"/>
              <w:rPr>
                <w:sz w:val="19"/>
                <w:szCs w:val="19"/>
                <w:color w:val="auto"/>
              </w:rPr>
            </w:pPr>
          </w:p>
        </w:tc>
        <w:tc>
          <w:tcPr>
            <w:tcW w:w="134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Forfeited</w:t>
            </w:r>
          </w:p>
        </w:tc>
        <w:tc>
          <w:tcPr>
            <w:tcW w:w="740" w:type="dxa"/>
            <w:vAlign w:val="bottom"/>
            <w:tcBorders>
              <w:bottom w:val="single" w:sz="8" w:color="D1D2D4"/>
            </w:tcBorders>
          </w:tcPr>
          <w:p>
            <w:pPr>
              <w:spacing w:after="0"/>
              <w:rPr>
                <w:sz w:val="19"/>
                <w:szCs w:val="19"/>
                <w:color w:val="auto"/>
              </w:rPr>
            </w:pPr>
          </w:p>
        </w:tc>
        <w:tc>
          <w:tcPr>
            <w:tcW w:w="1340" w:type="dxa"/>
            <w:vAlign w:val="bottom"/>
            <w:tcBorders>
              <w:bottom w:val="single" w:sz="8" w:color="D1D2D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D1D2D4"/>
            </w:tcBorders>
          </w:tcPr>
          <w:p>
            <w:pPr>
              <w:spacing w:after="0"/>
              <w:rPr>
                <w:sz w:val="19"/>
                <w:szCs w:val="19"/>
                <w:color w:val="auto"/>
              </w:rPr>
            </w:pPr>
          </w:p>
        </w:tc>
        <w:tc>
          <w:tcPr>
            <w:tcW w:w="15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Outstanding as of August 29, 2024</w:t>
            </w:r>
          </w:p>
        </w:tc>
        <w:tc>
          <w:tcPr>
            <w:tcW w:w="740" w:type="dxa"/>
            <w:vAlign w:val="bottom"/>
            <w:tcBorders>
              <w:bottom w:val="single" w:sz="8" w:color="D1D2D4"/>
            </w:tcBorders>
            <w:shd w:val="clear" w:color="auto" w:fill="D1D2D4"/>
          </w:tcPr>
          <w:p>
            <w:pPr>
              <w:spacing w:after="0"/>
              <w:rPr>
                <w:sz w:val="21"/>
                <w:szCs w:val="21"/>
                <w:color w:val="auto"/>
              </w:rPr>
            </w:pPr>
          </w:p>
        </w:tc>
        <w:tc>
          <w:tcPr>
            <w:tcW w:w="1340" w:type="dxa"/>
            <w:vAlign w:val="bottom"/>
            <w:tcBorders>
              <w:bottom w:val="single" w:sz="8" w:color="D1D2D4"/>
            </w:tcBorders>
            <w:shd w:val="clear" w:color="auto" w:fill="D1D2D4"/>
          </w:tcPr>
          <w:p>
            <w:pPr>
              <w:spacing w:after="0"/>
              <w:rPr>
                <w:sz w:val="21"/>
                <w:szCs w:val="21"/>
                <w:color w:val="auto"/>
              </w:rPr>
            </w:pPr>
          </w:p>
        </w:tc>
        <w:tc>
          <w:tcPr>
            <w:tcW w:w="38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D1D2D4"/>
            </w:tcBorders>
            <w:shd w:val="clear" w:color="auto" w:fill="D1D2D4"/>
          </w:tcPr>
          <w:p>
            <w:pPr>
              <w:spacing w:after="0"/>
              <w:rPr>
                <w:sz w:val="21"/>
                <w:szCs w:val="21"/>
                <w:color w:val="auto"/>
              </w:rPr>
            </w:pPr>
          </w:p>
        </w:tc>
        <w:tc>
          <w:tcPr>
            <w:tcW w:w="1560" w:type="dxa"/>
            <w:vAlign w:val="bottom"/>
            <w:tcBorders>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0"/>
        </w:trPr>
        <w:tc>
          <w:tcPr>
            <w:tcW w:w="5740" w:type="dxa"/>
            <w:vAlign w:val="bottom"/>
            <w:tcBorders>
              <w:top w:val="single" w:sz="8" w:color="D1D2D4"/>
            </w:tcBorders>
          </w:tcPr>
          <w:p>
            <w:pPr>
              <w:spacing w:after="0" w:line="20" w:lineRule="exact"/>
              <w:rPr>
                <w:sz w:val="1"/>
                <w:szCs w:val="1"/>
                <w:color w:val="auto"/>
              </w:rPr>
            </w:pPr>
          </w:p>
        </w:tc>
        <w:tc>
          <w:tcPr>
            <w:tcW w:w="740" w:type="dxa"/>
            <w:vAlign w:val="bottom"/>
            <w:tcBorders>
              <w:top w:val="single" w:sz="8" w:color="D1D2D4"/>
            </w:tcBorders>
          </w:tcPr>
          <w:p>
            <w:pPr>
              <w:spacing w:after="0" w:line="20" w:lineRule="exact"/>
              <w:rPr>
                <w:sz w:val="1"/>
                <w:szCs w:val="1"/>
                <w:color w:val="auto"/>
              </w:rPr>
            </w:pPr>
          </w:p>
        </w:tc>
        <w:tc>
          <w:tcPr>
            <w:tcW w:w="1340" w:type="dxa"/>
            <w:vAlign w:val="bottom"/>
            <w:tcBorders>
              <w:top w:val="single" w:sz="8" w:color="D1D2D4"/>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156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5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74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72.72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55.99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30"/>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Aggregate vesting-date fair value of shares vested</w:t>
            </w:r>
          </w:p>
        </w:tc>
        <w:tc>
          <w:tcPr>
            <w:tcW w:w="7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1,008</w:t>
            </w:r>
          </w:p>
        </w:tc>
        <w:tc>
          <w:tcPr>
            <w:tcW w:w="3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Stock Purchase Plan (“ESPP”)</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ESPP is offered to substantially all employees and permitted eligible employees to purchase shares of our common stock through payroll deductions of up to 15% of their eligible compensation, subject to certain limitations.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34"/>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420" w:type="dxa"/>
            <w:vAlign w:val="bottom"/>
            <w:shd w:val="clear" w:color="auto" w:fill="D1D2D4"/>
          </w:tcPr>
          <w:p>
            <w:pPr>
              <w:jc w:val="right"/>
              <w:ind w:right="89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7"/>
              </w:rPr>
              <w:t>26.82</w:t>
            </w:r>
          </w:p>
        </w:tc>
        <w:tc>
          <w:tcPr>
            <w:tcW w:w="1120" w:type="dxa"/>
            <w:vAlign w:val="bottom"/>
            <w:shd w:val="clear" w:color="auto" w:fill="D1D2D4"/>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7"/>
              </w:rPr>
              <w:t>17.06</w:t>
            </w:r>
          </w:p>
        </w:tc>
        <w:tc>
          <w:tcPr>
            <w:tcW w:w="4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18.87</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1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12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5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 (based on implied volatility)</w:t>
            </w:r>
          </w:p>
        </w:tc>
        <w:tc>
          <w:tcPr>
            <w:tcW w:w="14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41 %</w:t>
            </w:r>
          </w:p>
        </w:tc>
        <w:tc>
          <w:tcPr>
            <w:tcW w:w="11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c>
          <w:tcPr>
            <w:tcW w:w="400" w:type="dxa"/>
            <w:vAlign w:val="bottom"/>
            <w:shd w:val="clear" w:color="auto" w:fill="D1D2D4"/>
          </w:tcPr>
          <w:p>
            <w:pPr>
              <w:spacing w:after="0"/>
              <w:rPr>
                <w:sz w:val="19"/>
                <w:szCs w:val="19"/>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5.2 %</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5.1 %</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0.5 %</w:t>
            </w:r>
          </w:p>
        </w:tc>
        <w:tc>
          <w:tcPr>
            <w:tcW w:w="11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0.7 %</w:t>
            </w:r>
          </w:p>
        </w:tc>
        <w:tc>
          <w:tcPr>
            <w:tcW w:w="400" w:type="dxa"/>
            <w:vAlign w:val="bottom"/>
            <w:shd w:val="clear" w:color="auto" w:fill="D1D2D4"/>
          </w:tcPr>
          <w:p>
            <w:pPr>
              <w:spacing w:after="0"/>
              <w:rPr>
                <w:sz w:val="19"/>
                <w:szCs w:val="19"/>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0.6 %</w:t>
            </w:r>
          </w:p>
        </w:tc>
      </w:tr>
    </w:tbl>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Under the ESPP, employees purchased 4 million, 5 million, and 4 million shares of common stock in 2024, 2023, and 2022, respectively, at a per share weighted average price of $65.72, $51.93, and $58.52,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last granted stock options in September 2018 and as of August 29, 2024, our outstanding stock options were not material. Stock options of 1.3 million shares were exercised in 2024. The total intrinsic value for options exercised was $92 million, $30 million, and $54 million in 2024, 2023, and 2022,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910"/>
        </w:trPr>
        <w:tc>
          <w:tcPr>
            <w:tcW w:w="6900" w:type="dxa"/>
            <w:vAlign w:val="bottom"/>
          </w:tcPr>
          <w:p>
            <w:pPr>
              <w:spacing w:after="0"/>
              <w:rPr>
                <w:sz w:val="20"/>
                <w:szCs w:val="20"/>
                <w:color w:val="auto"/>
              </w:rPr>
            </w:pPr>
            <w:r>
              <w:rPr>
                <w:rFonts w:ascii="Arial" w:cs="Arial" w:eastAsia="Arial" w:hAnsi="Arial"/>
                <w:sz w:val="22"/>
                <w:szCs w:val="22"/>
                <w:b w:val="1"/>
                <w:bCs w:val="1"/>
                <w:color w:val="auto"/>
              </w:rPr>
              <w:t>Stock-based Compensation Expense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BD03F7"/>
            </w:tcBorders>
          </w:tcPr>
          <w:p>
            <w:pPr>
              <w:spacing w:after="0"/>
              <w:rPr>
                <w:sz w:val="24"/>
                <w:szCs w:val="24"/>
                <w:color w:val="auto"/>
              </w:rPr>
            </w:pPr>
          </w:p>
        </w:tc>
        <w:tc>
          <w:tcPr>
            <w:tcW w:w="1120" w:type="dxa"/>
            <w:vAlign w:val="bottom"/>
            <w:tcBorders>
              <w:top w:val="single" w:sz="8" w:color="BD03F7"/>
            </w:tcBorders>
          </w:tcPr>
          <w:p>
            <w:pPr>
              <w:spacing w:after="0"/>
              <w:rPr>
                <w:sz w:val="24"/>
                <w:szCs w:val="24"/>
                <w:color w:val="auto"/>
              </w:rPr>
            </w:pPr>
          </w:p>
        </w:tc>
      </w:tr>
      <w:tr>
        <w:trPr>
          <w:trHeight w:val="474"/>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749</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ESPP</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benefits related to the tax deductions for share -based awards are recognized only upon the settlement of the related share-based awards. Income tax benefits for share-based awards were $140 million, $68 million, and $77 million for 2024, 2023, and 2022, respectively. Stock-based compensation expense of $99 million and $88 million was capitalized and remained in inventory as of August 29, 2024 and August 31, 2023, respectively. As of August 29, 2024, $1.44 billion of total unrecognized compensation costs for unvested awards, before the effect of any future forfeitures, was expected to be recognized through the fourth quarter of 2028, resulting in a weighted-average period of 1.2 years.</w:t>
      </w:r>
    </w:p>
    <w:p>
      <w:pPr>
        <w:spacing w:after="0" w:line="18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Employee Benefit Plans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 retirement plans at our U.S. and international sites. Details of significant plans are as follows: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Savings Plan for U.S. Employees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$66 million, $59 million, and $66 million in 2024, 2023,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Plans</w:t>
      </w:r>
    </w:p>
    <w:p>
      <w:pPr>
        <w:spacing w:after="0" w:line="24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have pension plans available to employees at various foreign sites. As of August 29, 2024, the projected benefit obligations of our plans were $191 million and plan assets were $261 million. As of August 31, 2023, the projected benefit obligations of our plans were $175 million and plan assets were $232 million. Pension expense was not material for 2024,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Government Incentives</w:t>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receive incentives from governmental entities primarily in India, Japan, Singapore, Taiwan, and the United States principally in the form of cash grants and tax credits. These incentives primarily relate to capital expenditures, have initial terms ranging from one year to 15 years, and may be subject to reimbursement if certain conditions are not met or maintained. The conditions attached to these incentives require us to incur expenditures related to the construction of new manufacturing facilities, the purchase and installation of specialized tools and equipment, R&amp;D expenditures, and/or maintain certain levels of fixed asset investment or employee headcount during the incentive terms.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80" w:type="dxa"/>
            <w:vAlign w:val="bottom"/>
          </w:tcPr>
          <w:p>
            <w:pPr>
              <w:spacing w:after="0"/>
              <w:rPr>
                <w:sz w:val="20"/>
                <w:szCs w:val="20"/>
                <w:color w:val="auto"/>
              </w:rPr>
            </w:pPr>
            <w:r>
              <w:rPr>
                <w:rFonts w:ascii="Arial" w:cs="Arial" w:eastAsia="Arial" w:hAnsi="Arial"/>
                <w:sz w:val="18"/>
                <w:szCs w:val="18"/>
                <w:color w:val="auto"/>
              </w:rPr>
              <w:t>The line items on the balance sheet affected by government incentives were as follows:</w:t>
            </w: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35"/>
        </w:trPr>
        <w:tc>
          <w:tcPr>
            <w:tcW w:w="838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Receivables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8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6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Beginning in 2023, we receive a 25% investment tax credit on qualified investments in U.S. semiconductor manufacturing under the CHIPS Act. As qualified investments are made, we recognize investment tax credits in receivables or other noncurrent assets.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signed a non-binding preliminary memorandum of terms with the U.S. Department of Commerce for up to $6.1 billion in direct funding under the CHIPS Act for our planned fab in Boise, Idaho and the first two planned fabs in Clay, New York. We are also eligible for federal loans up to $7.5 billion.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the receivables and other noncurrent assets in the table above, as of August 29, 2024, we had aggregate commitments from various governmental entities of up to $ 3.4 billion to be received through 2033, subject to achievement of certain performance conditions. The commitment amount includes $1.8 billion (150 billion Indian rupees) for the construction of a new assembly and test facility in Gujarat, India. We will receive incentives representing 50% of the total project cost from the Indian central government and 20% of the total project cost from the state of Gujarat. The commitment amount also includes up to $1.3 billion (188 billion Japanese yen) from the Japanese Ministry of Economy, Trade and Industry to support the production of DRAM using EUV lithography in Hiroshima, Japan.</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Government incentives related to capital expenditures have reduced property, plant and equipment by $2.34 billion as of August 29, 2024, of which $1.10 billion pertained to 2024 expenditures.</w:t>
      </w:r>
    </w:p>
    <w:p>
      <w:pPr>
        <w:spacing w:after="0" w:line="18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In 2024, operating income (loss) benefited by $588 million (approximately 85% in COGS and 15% in R&amp;D) from government incentives recognized as a reduction of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Technology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17,603</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10,978</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22,386</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4,206</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7,811</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356</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561</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30,758</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August 29, 2024, our future performance obligations beyond one year were $141 million, which included customer prepayments and other contract liabilities. Customer prepayments made to secure product supply in future periods and other contract liabilities were $907 million as of August 29, 2024, of which $766 million was reported in other current liabilities and the remainder in other noncurrent liabilities.</w:t>
      </w:r>
    </w:p>
    <w:p>
      <w:pPr>
        <w:spacing w:after="0" w:line="21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August 29, 2024 and August 31, 2023, other current liabilities included $718 million and $453 million, respectively, for estimates of consideration payable to customers including estimates for pricing adjustments and returns.</w:t>
      </w:r>
    </w:p>
    <w:p>
      <w:pPr>
        <w:spacing w:after="0" w:line="18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In 2023, we received an aggregate of $ 228 million from settlements of insurance claims involving a power disruption in 2022 and an operational disruption in 2017, of which $186 million was for business interruption and recognized in revenue.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severance</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Asset impairments and other asset-related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2023, we initiated a restructure plan in response to challenging industry conditions (the “2023 Restructure Plan”). Under the 2023 Restructure Plan, we reduced our headcount by approximately 15% by the end of calendar 2023, through a combination of voluntary attrition and personnel reductions. The plan was substantially completed in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Restructure and asset impairments for 2022 primarily related to the sale of our Lehi, Utah facility to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cross-license agreement gain</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disposition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Litigation settlement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performed a qualitative assessment for goodwill impairment in 2024 and did not identify any impairment indicators for our reporting units.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Due to 2023 global and macroeconomic challenges, as well as lower expected demand resulting from customer actions to reduce elevated inventory levels, we performed a 2023 quantitative assessment for goodwill impairment for each of our reporting units. We evaluated the fair value of our reporting units based on an income approach, using a discounted cash flow methodology. We recognized a $101 million charge in 2023, included in other operating income (loss) to impair all of the goodwill assigned to our SBU reporting unit based on our best estimates of projected future cash flows at that time. The 2023 quantitative assessment for all of our other reporting units yielded fair values that substantially exceeded their carrying values.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5"/>
        </w:trPr>
        <w:tc>
          <w:tcPr>
            <w:tcW w:w="690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Income (loss) before income taxes and equity in net income (loss) of equity method</w:t>
            </w:r>
          </w:p>
        </w:tc>
        <w:tc>
          <w:tcPr>
            <w:tcW w:w="3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34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3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r>
      <w:tr>
        <w:trPr>
          <w:trHeight w:val="243"/>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investees</w:t>
            </w:r>
          </w:p>
        </w:tc>
        <w:tc>
          <w:tcPr>
            <w:tcW w:w="32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34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32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(5,893)</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9,459</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w:t>
            </w: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90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690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(594)</w:t>
            </w: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U.S. federal</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900" w:type="dxa"/>
            <w:vAlign w:val="bottom"/>
            <w:tcBorders>
              <w:bottom w:val="single" w:sz="8" w:color="D1D2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36"/>
        </w:trPr>
        <w:tc>
          <w:tcPr>
            <w:tcW w:w="690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r>
      <w:tr>
        <w:trPr>
          <w:trHeight w:val="230"/>
        </w:trPr>
        <w:tc>
          <w:tcPr>
            <w:tcW w:w="6900" w:type="dxa"/>
            <w:vAlign w:val="bottom"/>
          </w:tcPr>
          <w:p>
            <w:pPr>
              <w:ind w:left="5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04"/>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109"/>
        </w:trPr>
        <w:tc>
          <w:tcPr>
            <w:tcW w:w="6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-325120</wp:posOffset>
            </wp:positionV>
            <wp:extent cx="659765"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20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20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U.S. federal income tax (provision) benefit at statutory rate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tax on foreign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valuation allowance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unrecognized tax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tax rate differential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tax credits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taxes, net of federal benefit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(260)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21.0 % $</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1,188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21.0 % $</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3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(322)</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29"/>
        </w:trPr>
        <w:tc>
          <w:tcPr>
            <w:tcW w:w="3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4.8</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30"/>
        </w:trPr>
        <w:tc>
          <w:tcPr>
            <w:tcW w:w="3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29"/>
        </w:trPr>
        <w:tc>
          <w:tcPr>
            <w:tcW w:w="3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(214)</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17.2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(1,285)</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(22.8)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1,601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(16.7)</w:t>
            </w:r>
          </w:p>
        </w:tc>
      </w:tr>
      <w:tr>
        <w:trPr>
          <w:trHeight w:val="229"/>
        </w:trPr>
        <w:tc>
          <w:tcPr>
            <w:tcW w:w="30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76</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(6.1)</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0.8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30"/>
        </w:trPr>
        <w:tc>
          <w:tcPr>
            <w:tcW w:w="30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0.7</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(86)</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85</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(451)</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36.4 % $</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(177)</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 $</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-1353820</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-1062355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-770890</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-479425</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520"/>
            <w:col w:w="6040"/>
          </w:cols>
          <w:pgMar w:left="320" w:top="125" w:right="339" w:bottom="1440" w:gutter="0" w:footer="0" w:header="0"/>
          <w:type w:val="continuous"/>
        </w:sectPr>
      </w:pP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low level of profitability and geographic mix of income, the benefit from tax incentive arrangements was not material for 2024 or 2023. These arrangements reduced our tax provision by $1.12 billion ($1.00 per diluted share) for 2022.</w:t>
      </w:r>
    </w:p>
    <w:p>
      <w:pPr>
        <w:spacing w:after="0" w:line="1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of August 29, 2024, certain non-U.S. subsidiaries had cumulative undistributed earnings of $4.12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182"/>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5"/>
                <w:szCs w:val="15"/>
                <w:color w:val="auto"/>
              </w:rPr>
            </w:pPr>
          </w:p>
        </w:tc>
        <w:tc>
          <w:tcPr>
            <w:tcW w:w="12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5"/>
                <w:szCs w:val="15"/>
                <w:color w:val="auto"/>
              </w:rPr>
            </w:pPr>
          </w:p>
        </w:tc>
        <w:tc>
          <w:tcPr>
            <w:tcW w:w="12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Accrued salaries, wages, and benefits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deferred tax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Reported as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assess positive and negative evidence for each jurisdiction to determine whether it is more likely than not that existing deferred tax assets will be realized. As of August 29, 2024, and August 31, 2023, we had a valuation allowance of $593 million and $528 million, respectively, against our net deferred tax assets, primarily related to carryforwards in U.S. states and Malaysia. Changes in 2024 in the valuation allowance were due to adjustments based on management's assessment of the realizability of tax credits, allowances and net operating losses based on a level that is more likely than not to be realized.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August 29, 2024, our net operating loss carryforward amounts and expiration periods, as reported to tax authorities,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of Expiration</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Malaysia</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Singapore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Japan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2025 - 2029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54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102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2030 - 2034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2035 - 2039</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2040 - 2044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2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1,224</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765</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1D2D4"/>
          </w:tcPr>
          <w:p>
            <w:pPr>
              <w:spacing w:after="0"/>
              <w:rPr>
                <w:sz w:val="19"/>
                <w:szCs w:val="19"/>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r>
      <w:tr>
        <w:trPr>
          <w:trHeight w:val="20"/>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August 29, 2024, our tax credit carryforward amounts and expiration periods, as reported to tax authorities,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of Tax Credit Expiration</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 Federal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State</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2025 - 2029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D1D2D4"/>
          </w:tcPr>
          <w:p>
            <w:pPr>
              <w:jc w:val="right"/>
              <w:ind w:right="810"/>
              <w:spacing w:after="0"/>
              <w:rPr>
                <w:sz w:val="20"/>
                <w:szCs w:val="20"/>
                <w:color w:val="auto"/>
              </w:rPr>
            </w:pPr>
            <w:r>
              <w:rPr>
                <w:rFonts w:ascii="Arial" w:cs="Arial" w:eastAsia="Arial" w:hAnsi="Arial"/>
                <w:sz w:val="18"/>
                <w:szCs w:val="18"/>
                <w:color w:val="auto"/>
              </w:rPr>
              <w:t>— $</w:t>
            </w: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1020" w:type="dxa"/>
            <w:vAlign w:val="bottom"/>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2030 - 2034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2035 - 2039</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020" w:type="dxa"/>
            <w:vAlign w:val="bottom"/>
            <w:shd w:val="clear" w:color="auto" w:fill="D1D2D4"/>
          </w:tcPr>
          <w:p>
            <w:pPr>
              <w:spacing w:after="0"/>
              <w:rPr>
                <w:sz w:val="19"/>
                <w:szCs w:val="19"/>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1020" w:type="dxa"/>
            <w:vAlign w:val="bottom"/>
            <w:shd w:val="clear" w:color="auto" w:fill="D1D2D4"/>
          </w:tcPr>
          <w:p>
            <w:pPr>
              <w:spacing w:after="0"/>
              <w:rPr>
                <w:sz w:val="19"/>
                <w:szCs w:val="19"/>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2040 - 2045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1D2D4"/>
          </w:tcPr>
          <w:p>
            <w:pPr>
              <w:spacing w:after="0"/>
              <w:rPr>
                <w:sz w:val="19"/>
                <w:szCs w:val="19"/>
                <w:color w:val="auto"/>
              </w:rPr>
            </w:pPr>
          </w:p>
        </w:tc>
        <w:tc>
          <w:tcPr>
            <w:tcW w:w="4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145</w:t>
            </w:r>
          </w:p>
        </w:tc>
        <w:tc>
          <w:tcPr>
            <w:tcW w:w="1020" w:type="dxa"/>
            <w:vAlign w:val="bottom"/>
            <w:tcBorders>
              <w:bottom w:val="single" w:sz="8" w:color="auto"/>
            </w:tcBorders>
            <w:shd w:val="clear" w:color="auto" w:fill="D1D2D4"/>
          </w:tcPr>
          <w:p>
            <w:pPr>
              <w:spacing w:after="0"/>
              <w:rPr>
                <w:sz w:val="19"/>
                <w:szCs w:val="19"/>
                <w:color w:val="auto"/>
              </w:rPr>
            </w:pP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5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r>
      <w:tr>
        <w:trPr>
          <w:trHeight w:val="20"/>
        </w:trPr>
        <w:tc>
          <w:tcPr>
            <w:tcW w:w="5460" w:type="dxa"/>
            <w:vAlign w:val="bottom"/>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1"/>
        </w:trPr>
        <w:tc>
          <w:tcPr>
            <w:tcW w:w="7920" w:type="dxa"/>
            <w:vAlign w:val="bottom"/>
            <w:gridSpan w:val="4"/>
          </w:tcPr>
          <w:p>
            <w:pPr>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Beginning unrecognized tax benefits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1020" w:type="dxa"/>
            <w:vAlign w:val="bottom"/>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Increases related to tax positions from prior years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Increases related to prior year tax positions taken in current year</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D1D2D4"/>
          </w:tcPr>
          <w:p>
            <w:pPr>
              <w:spacing w:after="0"/>
              <w:rPr>
                <w:sz w:val="19"/>
                <w:szCs w:val="19"/>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Increases related to tax positions taken in current year</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Decreases related to tax positions from prior years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1020" w:type="dxa"/>
            <w:vAlign w:val="bottom"/>
            <w:shd w:val="clear" w:color="auto" w:fill="D1D2D4"/>
          </w:tcPr>
          <w:p>
            <w:pPr>
              <w:spacing w:after="0"/>
              <w:rPr>
                <w:sz w:val="19"/>
                <w:szCs w:val="19"/>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4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Decreases related to settlement with tax authorities</w:t>
            </w:r>
          </w:p>
        </w:tc>
        <w:tc>
          <w:tcPr>
            <w:tcW w:w="16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Ending unrecognized tax benefits</w:t>
            </w:r>
          </w:p>
        </w:tc>
        <w:tc>
          <w:tcPr>
            <w:tcW w:w="16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1020" w:type="dxa"/>
            <w:vAlign w:val="bottom"/>
            <w:tcBorders>
              <w:bottom w:val="single" w:sz="8" w:color="auto"/>
            </w:tcBorders>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716</w:t>
            </w:r>
          </w:p>
        </w:tc>
        <w:tc>
          <w:tcPr>
            <w:tcW w:w="1020" w:type="dxa"/>
            <w:vAlign w:val="bottom"/>
            <w:tcBorders>
              <w:bottom w:val="single" w:sz="8" w:color="auto"/>
            </w:tcBorders>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54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As of August 29, 2024, gross unrecognized tax benefits were $716 million, which would have an impact of approximately $633 million on our effective tax rate in the future, if recognized. Amounts accrued for interest and penalties related to uncertain tax positions were not significant for any period presented. The resolution of tax audits or expiration of statute of limitations could also reduce our unrecognized tax benefits.</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Although the timing of final resolution is uncertain, the estimated potential reduction in our unrecognized tax benefits in the next 12 months would not be significant.</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2024. We are currently under audit by the Internal Revenue Service for our 2018 and 2019 tax years. In addition, tax returns that remain open to examination in Singapore, Taiwan and Japan range from the years 2016 to 2024.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(5,833)</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r>
      <w:tr>
        <w:trPr>
          <w:trHeight w:val="256"/>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1,105</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compensation plans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1,118</w:t>
            </w:r>
          </w:p>
        </w:tc>
        <w:tc>
          <w:tcPr>
            <w:tcW w:w="36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2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1,122</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3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690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0.70</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as follows at the end of the periods shown: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7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4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compensation plans</w:t>
            </w:r>
          </w:p>
        </w:tc>
        <w:tc>
          <w:tcPr>
            <w:tcW w:w="37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3</w:t>
            </w:r>
          </w:p>
        </w:tc>
        <w:tc>
          <w:tcPr>
            <w:tcW w:w="142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33</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12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and solutions sold into the data center, PC,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the smartphone and other mobile-device markets.</w:t>
      </w:r>
    </w:p>
    <w:p>
      <w:pPr>
        <w:spacing w:after="0" w:line="9" w:lineRule="exact"/>
        <w:rPr>
          <w:sz w:val="20"/>
          <w:szCs w:val="20"/>
          <w:color w:val="auto"/>
        </w:rPr>
      </w:pPr>
    </w:p>
    <w:p>
      <w:pPr>
        <w:ind w:left="340" w:right="760" w:hanging="323"/>
        <w:spacing w:after="0" w:line="250" w:lineRule="auto"/>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and solutions sold into the intelligent edge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industrial, and consumer embedded markets.</w:t>
      </w:r>
    </w:p>
    <w:p>
      <w:pPr>
        <w:spacing w:after="0" w:line="1" w:lineRule="exact"/>
        <w:rPr>
          <w:sz w:val="20"/>
          <w:szCs w:val="20"/>
          <w:color w:val="auto"/>
        </w:rPr>
      </w:pPr>
    </w:p>
    <w:p>
      <w:pPr>
        <w:ind w:left="340" w:right="620" w:hanging="323"/>
        <w:spacing w:after="0" w:line="266"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storage solutions sold into the data center, PC, and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9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August 29, 2024 and August 31, 2023, CNBU, MBU, and EBU had goodwill of $855 million, $198 million, and $97 million, respectively.</w:t>
      </w:r>
    </w:p>
    <w:p>
      <w:pPr>
        <w:spacing w:after="0" w:line="39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88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4"/>
                <w:szCs w:val="24"/>
                <w:color w:val="auto"/>
              </w:rPr>
            </w:pPr>
          </w:p>
        </w:tc>
        <w:tc>
          <w:tcPr>
            <w:tcW w:w="240" w:type="dxa"/>
            <w:vAlign w:val="bottom"/>
            <w:tcBorders>
              <w:top w:val="single" w:sz="8" w:color="BD03F7"/>
              <w:bottom w:val="single" w:sz="8" w:color="auto"/>
            </w:tcBorders>
          </w:tcPr>
          <w:p>
            <w:pPr>
              <w:spacing w:after="0"/>
              <w:rPr>
                <w:sz w:val="24"/>
                <w:szCs w:val="24"/>
                <w:color w:val="auto"/>
              </w:rPr>
            </w:pPr>
          </w:p>
        </w:tc>
        <w:tc>
          <w:tcPr>
            <w:tcW w:w="1120" w:type="dxa"/>
            <w:vAlign w:val="bottom"/>
            <w:tcBorders>
              <w:top w:val="single" w:sz="8" w:color="BD03F7"/>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5,710</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13,693</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6,354</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3,630</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7,260</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5,235</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4,592</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4,553</w:t>
            </w: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25,111</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30,758</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5,844</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(362)</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900" w:type="dxa"/>
            <w:vAlign w:val="bottom"/>
            <w:shd w:val="clear" w:color="auto" w:fill="D1D2D4"/>
          </w:tcPr>
          <w:p>
            <w:pPr>
              <w:spacing w:after="0"/>
              <w:rPr>
                <w:sz w:val="19"/>
                <w:szCs w:val="19"/>
                <w:color w:val="auto"/>
              </w:rPr>
            </w:pPr>
          </w:p>
        </w:tc>
        <w:tc>
          <w:tcPr>
            <w:tcW w:w="42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948</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(3,832)</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10,281</w:t>
            </w:r>
          </w:p>
        </w:tc>
      </w:tr>
      <w:tr>
        <w:trPr>
          <w:trHeight w:val="237"/>
        </w:trPr>
        <w:tc>
          <w:tcPr>
            <w:tcW w:w="6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cross-license agreement</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Provision to write down inventories to net realizable value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Litigation settlement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900" w:type="dxa"/>
            <w:vAlign w:val="bottom"/>
            <w:tcBorders>
              <w:bottom w:val="single" w:sz="8" w:color="D1D2D4"/>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36"/>
        </w:trPr>
        <w:tc>
          <w:tcPr>
            <w:tcW w:w="6900" w:type="dxa"/>
            <w:vAlign w:val="bottom"/>
            <w:shd w:val="clear" w:color="auto" w:fill="D1D2D4"/>
          </w:tcPr>
          <w:p>
            <w:pPr>
              <w:spacing w:after="0"/>
              <w:rPr>
                <w:sz w:val="20"/>
                <w:szCs w:val="20"/>
                <w:color w:val="auto"/>
              </w:rPr>
            </w:pPr>
          </w:p>
        </w:tc>
        <w:tc>
          <w:tcPr>
            <w:tcW w:w="42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shd w:val="clear" w:color="auto" w:fill="D1D2D4"/>
          </w:tcPr>
          <w:p>
            <w:pPr>
              <w:spacing w:after="0"/>
              <w:rPr>
                <w:sz w:val="20"/>
                <w:szCs w:val="20"/>
                <w:color w:val="auto"/>
              </w:rPr>
            </w:pPr>
          </w:p>
        </w:tc>
        <w:tc>
          <w:tcPr>
            <w:tcW w:w="340" w:type="dxa"/>
            <w:vAlign w:val="bottom"/>
            <w:tcBorders>
              <w:bottom w:val="single" w:sz="8" w:color="auto"/>
            </w:tcBorders>
            <w:shd w:val="clear" w:color="auto" w:fill="D1D2D4"/>
          </w:tcPr>
          <w:p>
            <w:pPr>
              <w:spacing w:after="0"/>
              <w:rPr>
                <w:sz w:val="20"/>
                <w:szCs w:val="20"/>
                <w:color w:val="auto"/>
              </w:rPr>
            </w:pPr>
          </w:p>
        </w:tc>
        <w:tc>
          <w:tcPr>
            <w:tcW w:w="1120" w:type="dxa"/>
            <w:vAlign w:val="bottom"/>
            <w:tcBorders>
              <w:bottom w:val="single" w:sz="8" w:color="auto"/>
            </w:tcBorders>
            <w:shd w:val="clear" w:color="auto" w:fill="D1D2D4"/>
          </w:tcPr>
          <w:p>
            <w:pPr>
              <w:spacing w:after="0"/>
              <w:rPr>
                <w:sz w:val="20"/>
                <w:szCs w:val="20"/>
                <w:color w:val="auto"/>
              </w:rPr>
            </w:pPr>
          </w:p>
        </w:tc>
        <w:tc>
          <w:tcPr>
            <w:tcW w:w="80" w:type="dxa"/>
            <w:vAlign w:val="bottom"/>
            <w:tcBorders>
              <w:bottom w:val="single" w:sz="8" w:color="auto"/>
            </w:tcBorders>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120" w:type="dxa"/>
            <w:vAlign w:val="bottom"/>
            <w:tcBorders>
              <w:bottom w:val="single" w:sz="8" w:color="auto"/>
            </w:tcBorders>
            <w:shd w:val="clear" w:color="auto" w:fill="D1D2D4"/>
          </w:tcPr>
          <w:p>
            <w:pPr>
              <w:spacing w:after="0"/>
              <w:rPr>
                <w:sz w:val="20"/>
                <w:szCs w:val="20"/>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r>
      <w:tr>
        <w:trPr>
          <w:trHeight w:val="20"/>
        </w:trPr>
        <w:tc>
          <w:tcPr>
            <w:tcW w:w="6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1"/>
        </w:trPr>
        <w:tc>
          <w:tcPr>
            <w:tcW w:w="73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 included in operating income (loss) was as follows: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2,760</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2,512</w:t>
            </w:r>
          </w:p>
        </w:tc>
        <w:tc>
          <w:tcPr>
            <w:tcW w:w="3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2,766</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MBU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1,324</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Unallocated</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7,780</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7,756</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7,116</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624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410"/>
        </w:trPr>
        <w:tc>
          <w:tcPr>
            <w:tcW w:w="9780" w:type="dxa"/>
            <w:vAlign w:val="bottom"/>
            <w:gridSpan w:val="3"/>
          </w:tcPr>
          <w:p>
            <w:pPr>
              <w:spacing w:after="0"/>
              <w:rPr>
                <w:sz w:val="20"/>
                <w:szCs w:val="20"/>
                <w:color w:val="auto"/>
              </w:rPr>
            </w:pPr>
            <w:r>
              <w:rPr>
                <w:rFonts w:ascii="Arial" w:cs="Arial" w:eastAsia="Arial" w:hAnsi="Arial"/>
                <w:sz w:val="18"/>
                <w:szCs w:val="18"/>
                <w:color w:val="auto"/>
              </w:rPr>
              <w:t>Revenue by market segment as a percent of total revenue, rounded to the nearest 5%, is presented in the table below:</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2024</w:t>
            </w: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2022</w:t>
            </w:r>
          </w:p>
        </w:tc>
      </w:tr>
      <w:tr>
        <w:trPr>
          <w:trHeight w:val="34"/>
        </w:trPr>
        <w:tc>
          <w:tcPr>
            <w:tcW w:w="6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Data center and networking</w:t>
            </w:r>
          </w:p>
        </w:tc>
        <w:tc>
          <w:tcPr>
            <w:tcW w:w="22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35 %</w:t>
            </w:r>
          </w:p>
        </w:tc>
        <w:tc>
          <w:tcPr>
            <w:tcW w:w="13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25 %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35 %</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Mobile</w:t>
            </w:r>
          </w:p>
        </w:tc>
        <w:tc>
          <w:tcPr>
            <w:tcW w:w="2200" w:type="dxa"/>
            <w:vAlign w:val="bottom"/>
          </w:tcPr>
          <w:p>
            <w:pPr>
              <w:jc w:val="right"/>
              <w:ind w:right="210"/>
              <w:spacing w:after="0"/>
              <w:rPr>
                <w:sz w:val="20"/>
                <w:szCs w:val="20"/>
                <w:color w:val="auto"/>
              </w:rPr>
            </w:pPr>
            <w:r>
              <w:rPr>
                <w:rFonts w:ascii="Arial" w:cs="Arial" w:eastAsia="Arial" w:hAnsi="Arial"/>
                <w:sz w:val="18"/>
                <w:szCs w:val="18"/>
                <w:color w:val="auto"/>
              </w:rPr>
              <w:t>25 %</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r>
      <w:tr>
        <w:trPr>
          <w:trHeight w:val="229"/>
        </w:trPr>
        <w:tc>
          <w:tcPr>
            <w:tcW w:w="6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PC, graphics, and other</w:t>
            </w:r>
          </w:p>
        </w:tc>
        <w:tc>
          <w:tcPr>
            <w:tcW w:w="22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25 %</w:t>
            </w:r>
          </w:p>
        </w:tc>
        <w:tc>
          <w:tcPr>
            <w:tcW w:w="13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30 %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25 %</w:t>
            </w: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color w:val="auto"/>
              </w:rPr>
              <w:t>Intelligent edge – automotive, industrial, and consumer embedded</w:t>
            </w:r>
          </w:p>
        </w:tc>
        <w:tc>
          <w:tcPr>
            <w:tcW w:w="2200" w:type="dxa"/>
            <w:vAlign w:val="bottom"/>
          </w:tcPr>
          <w:p>
            <w:pPr>
              <w:jc w:val="right"/>
              <w:ind w:right="210"/>
              <w:spacing w:after="0"/>
              <w:rPr>
                <w:sz w:val="20"/>
                <w:szCs w:val="20"/>
                <w:color w:val="auto"/>
              </w:rPr>
            </w:pPr>
            <w:r>
              <w:rPr>
                <w:rFonts w:ascii="Arial" w:cs="Arial" w:eastAsia="Arial" w:hAnsi="Arial"/>
                <w:sz w:val="18"/>
                <w:szCs w:val="18"/>
                <w:color w:val="auto"/>
              </w:rPr>
              <w:t>20 %</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from one customer was 10% (primarily included in MBU, EBU, and CNBU segments) of total revenue for 2024. No customer accounted for 10% or more of total revenue in 2023. Revenue from one customer was 12% (primarily included in CNBU and SBU segments) and another customer was 11% (primarily included in MBU, CNBU, and EBU segments) of total revenue in 2022.</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derivative hedging programs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6900" w:type="dxa"/>
            <w:vAlign w:val="bottom"/>
          </w:tcPr>
          <w:p>
            <w:pPr>
              <w:spacing w:after="0"/>
              <w:rPr>
                <w:sz w:val="20"/>
                <w:szCs w:val="20"/>
                <w:color w:val="auto"/>
              </w:rPr>
            </w:pPr>
            <w:r>
              <w:rPr>
                <w:rFonts w:ascii="Arial" w:cs="Arial" w:eastAsia="Arial" w:hAnsi="Arial"/>
                <w:sz w:val="40"/>
                <w:szCs w:val="40"/>
                <w:b w:val="1"/>
                <w:bCs w:val="1"/>
                <w:color w:val="auto"/>
              </w:rPr>
              <w:t>Geographic Information</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BD03F7"/>
            </w:tcBorders>
          </w:tcPr>
          <w:p>
            <w:pPr>
              <w:spacing w:after="0"/>
              <w:rPr>
                <w:sz w:val="24"/>
                <w:szCs w:val="24"/>
                <w:color w:val="auto"/>
              </w:rPr>
            </w:pPr>
          </w:p>
        </w:tc>
        <w:tc>
          <w:tcPr>
            <w:tcW w:w="1120" w:type="dxa"/>
            <w:vAlign w:val="bottom"/>
            <w:tcBorders>
              <w:top w:val="single" w:sz="8" w:color="BD03F7"/>
            </w:tcBorders>
          </w:tcPr>
          <w:p>
            <w:pPr>
              <w:spacing w:after="0"/>
              <w:rPr>
                <w:sz w:val="24"/>
                <w:szCs w:val="24"/>
                <w:color w:val="auto"/>
              </w:rPr>
            </w:pPr>
          </w:p>
        </w:tc>
      </w:tr>
      <w:tr>
        <w:trPr>
          <w:trHeight w:val="410"/>
        </w:trPr>
        <w:tc>
          <w:tcPr>
            <w:tcW w:w="7320" w:type="dxa"/>
            <w:vAlign w:val="bottom"/>
            <w:gridSpan w:val="2"/>
          </w:tcPr>
          <w:p>
            <w:pPr>
              <w:spacing w:after="0"/>
              <w:rPr>
                <w:sz w:val="20"/>
                <w:szCs w:val="20"/>
                <w:color w:val="auto"/>
              </w:rPr>
            </w:pPr>
            <w:r>
              <w:rPr>
                <w:rFonts w:ascii="Arial" w:cs="Arial" w:eastAsia="Arial" w:hAnsi="Arial"/>
                <w:sz w:val="18"/>
                <w:szCs w:val="18"/>
                <w:color w:val="auto"/>
              </w:rPr>
              <w:t>Revenue based on the geographic location of our customers’ headquarters was as follows: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13,168</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7,805</w:t>
            </w:r>
          </w:p>
        </w:tc>
        <w:tc>
          <w:tcPr>
            <w:tcW w:w="36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16,026</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Taiwan</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6,185</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Mainland China (excluding Hong Kong)</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3,045</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Other Asia Pacific</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Hong Kong</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1,071</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1,665</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Europe</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818</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25,111</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36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30,758</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color w:val="auto"/>
        </w:rPr>
        <w:t>Long-lived assets by geographic area consisted of property, plant, and equipment and operating lease right-of-use assets and were as follows:</w:t>
      </w:r>
    </w:p>
    <w:tbl>
      <w:tblPr>
        <w:tblLayout w:type="fixed"/>
        <w:tblInd w:w="0" w:type="dxa"/>
        <w:tblCellMar>
          <w:top w:w="0" w:type="dxa"/>
          <w:left w:w="0" w:type="dxa"/>
          <w:bottom w:w="0" w:type="dxa"/>
          <w:right w:w="0" w:type="dxa"/>
        </w:tblCellMar>
      </w:tblPr>
      <w:tr>
        <w:trPr>
          <w:trHeight w:val="182"/>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5"/>
                <w:szCs w:val="15"/>
                <w:color w:val="auto"/>
              </w:rPr>
            </w:pPr>
          </w:p>
        </w:tc>
        <w:tc>
          <w:tcPr>
            <w:tcW w:w="122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5"/>
                <w:szCs w:val="15"/>
                <w:color w:val="auto"/>
              </w:rPr>
            </w:pPr>
          </w:p>
        </w:tc>
        <w:tc>
          <w:tcPr>
            <w:tcW w:w="12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14,156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10,588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7,085</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40,394</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38,594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8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Micron Technology,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have audited the accompanying consolidated balance sheets of Micron Technology, Inc. and its subsidiaries (the “Company”) as of August 29, 2024 and August 31, 2023, and the related consolidated statements of operations, of comprehensive income (loss), of changes in equity and of cash flows for each of the three years in the period ended August 29, 2024, including the related notes and schedule of valuation and qualifying accounts for each of the three years in the period ended August 29, 2024 appearing under Item 15 (collectively referred to as the “consolidated financial statements”). We also have audited the Company’s internal control over financial reporting as of August 29,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August 29, 2024 and August 31, 2023</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August 29, 2024 in conformity with accounting principles generally accepted in the United States of America. Also in our opinion, the Company maintained, in all material respects, effective internal control over financial reporting as of August 29,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Realizable Value of Finished Goods and Work in Process Inventories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described in the Inventories note to the consolidated financial statements, as of August 29, 2024, the Company had a net inventory balance for finished goods and work in process inventory totaling $8.1 billion. As disclosed by management, determining the net realizable value of the Company's finished goods and work in process inventories involves significant judgments, including projecting future average selling prices, future sales volumes, and future cost per part.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principal considerations for our determination that performing procedures relating to the net realizable value of finished goods and work in process inventories is a critical audit matter are (i) the significant judgment by management in determining the net realizable value of finished goods and work in process inventories and (ii) a high degree of auditor judgment, subjectivity and effort in performing procedures and evaluating management’s significant assumption related to future average selling prices.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93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net realizable value of finished goods and work in process inventories. These procedures also included, among others (i) testing management's process for determining the net realizable value of finished goods and work in process inventories; (ii) evaluating the appropriateness of management’s methodology; (iii) testing the completeness and accuracy of underlying data used in determining the net realizable value; and (iv) evaluating the reasonableness of management's significant assumption related to future average selling prices. Evaluating management's assumption related to future average selling prices involved considering (i) current and past sales (ii) the consistency with external market and industry data; (iii) a comparison of the prior year estimates to actual average selling prices in the current fiscal year; and (iv) whether the assumption was consistent with evidence obtained in other areas of the audit.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4,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00" w:lineRule="exact"/>
        <w:rPr>
          <w:sz w:val="20"/>
          <w:szCs w:val="20"/>
          <w:color w:val="auto"/>
        </w:rPr>
      </w:pPr>
    </w:p>
    <w:p>
      <w:pPr>
        <w:spacing w:after="0" w:line="21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98"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During the fourth quarter of 2024, there were no changes in our internal control over financial reporting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29, 2024. The effectiveness of our internal control over financial reporting as of August 29, 2024 has been audited by PricewaterhouseCoopers LLP, an independent registered public accounting firm, as stated in their report, which is included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95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Trading Plans of Directors and Executive Officers</w:t>
      </w:r>
    </w:p>
    <w:p>
      <w:pPr>
        <w:spacing w:after="0" w:line="24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officers and director, as defined in Rule 16a-1(f) of the Exchange Act, adopted a “Rule 10b5-1 trading arrangement,” as defined in Item 408 of Regulation S-K, as follows:</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July 19, 2024, Michael Ray, our Senior Vice President, Chief Legal Officer and Corporate Secretary, adopted a Rule 10b5-1 trading arrangement providing for the sale of an aggregate of up to 24,379 shares of our common stock acquired upon the vesting of restricted stock units held by Mr. Ray. The actual number of shares sold under the trading arrangement will be net of shares withheld for taxes upon vesting and settlement of the restricted stock units subject to the trading plan. The trading arrangement is intended to satisfy the affirmative defense in Rule 10b5-1(c). The first date that sales of any shares are permitted to be sold under the trading arrangement is January 27, 2025, and subsequent sales under the trading arrangement may occur on a regular basis for the duration of the trading arrangement until July 11, 2025, or earlier if all transactions under the trading arrangement are completed.</w:t>
      </w:r>
    </w:p>
    <w:p>
      <w:pPr>
        <w:spacing w:after="0" w:line="212"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On August 8, 2024, the Mehrotra Family Trust, a trust for which Sanjay Mehrotra, our President, Chief Executive Officer and Director, serves as trustee, adopted a Rule 10b5-1 trading arrangement providing for the sale of an aggregate of up to 200,000 shares of our common stock acquired by Mr. Mehrotra upon the vesting of certain equity awards held by Mr. Mehrotra. The trading arrangement is intended to satisfy the affirmative defense in Rule 10b5-1(c). The first date that sales of any shares are permitted to be sold under the trading arrangement is</w:t>
      </w:r>
    </w:p>
    <w:p>
      <w:pPr>
        <w:ind w:right="160"/>
        <w:spacing w:after="0"/>
        <w:rPr>
          <w:sz w:val="20"/>
          <w:szCs w:val="20"/>
          <w:color w:val="auto"/>
        </w:rPr>
      </w:pPr>
      <w:r>
        <w:rPr>
          <w:rFonts w:ascii="Arial" w:cs="Arial" w:eastAsia="Arial" w:hAnsi="Arial"/>
          <w:sz w:val="17"/>
          <w:szCs w:val="17"/>
          <w:color w:val="auto"/>
        </w:rPr>
        <w:t>November 7, 2024, and subsequent sales under the trading arrangement may occur on a regular basis for the duration of the trading arrangement until November 7, 2026, or earlier if all transactions under the trading arrangement are completed. Mr. Mehrotra’s Rule 10b5-1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trading plan, dated as of May 15, 2023, expired by its terms prior to August 8, 2024.</w:t>
      </w:r>
    </w:p>
    <w:p>
      <w:pPr>
        <w:spacing w:after="0" w:line="22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231" w:lineRule="exact"/>
        <w:rPr>
          <w:sz w:val="20"/>
          <w:szCs w:val="20"/>
          <w:color w:val="auto"/>
        </w:rPr>
      </w:pPr>
    </w:p>
    <w:p>
      <w:pPr>
        <w:ind w:right="1620"/>
        <w:spacing w:after="0" w:line="309" w:lineRule="auto"/>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III</w:t>
      </w:r>
    </w:p>
    <w:p>
      <w:pPr>
        <w:spacing w:after="0" w:line="27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Certain information concerning our executive officers is included under the caption, “Information About Our Executive Officers” in Part I, Item 1 of this report. Other information required by Items 10, 11, 12, 13, and 14 will be contained in our 2024 Proxy Statement which will be filed with the SEC within 120 days after August 29, 2024 and is incorporated herein by reference.</w:t>
      </w:r>
    </w:p>
    <w:p>
      <w:pPr>
        <w:spacing w:after="0" w:line="192" w:lineRule="exact"/>
        <w:rPr>
          <w:sz w:val="20"/>
          <w:szCs w:val="20"/>
          <w:color w:val="auto"/>
        </w:rPr>
      </w:pPr>
    </w:p>
    <w:p>
      <w:pPr>
        <w:ind w:right="1520"/>
        <w:spacing w:after="0" w:line="450" w:lineRule="auto"/>
        <w:rPr>
          <w:sz w:val="20"/>
          <w:szCs w:val="20"/>
          <w:color w:val="auto"/>
        </w:rPr>
      </w:pPr>
      <w:r>
        <w:rPr>
          <w:rFonts w:ascii="Arial" w:cs="Arial" w:eastAsia="Arial" w:hAnsi="Arial"/>
          <w:sz w:val="25"/>
          <w:szCs w:val="25"/>
          <w:b w:val="1"/>
          <w:bCs w:val="1"/>
          <w:color w:val="auto"/>
        </w:rPr>
        <w:t>ITEM 10. DIRECTORS, EXECUTIVE OFFICERS, AND CORPORATE GOVERNANCE ITEM 11. EXECUTIVE COMPENSATION</w:t>
      </w:r>
    </w:p>
    <w:p>
      <w:pPr>
        <w:spacing w:after="0" w:line="2" w:lineRule="exact"/>
        <w:rPr>
          <w:sz w:val="20"/>
          <w:szCs w:val="20"/>
          <w:color w:val="auto"/>
        </w:rPr>
      </w:pPr>
    </w:p>
    <w:p>
      <w:pPr>
        <w:ind w:right="360"/>
        <w:spacing w:after="0" w:line="309"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110" w:lineRule="exact"/>
        <w:rPr>
          <w:sz w:val="20"/>
          <w:szCs w:val="20"/>
          <w:color w:val="auto"/>
        </w:rPr>
      </w:pPr>
    </w:p>
    <w:p>
      <w:pPr>
        <w:ind w:right="960"/>
        <w:spacing w:after="0" w:line="309" w:lineRule="auto"/>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205740</wp:posOffset>
            </wp:positionV>
            <wp:extent cx="659765"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50" w:lineRule="exact"/>
        <w:rPr>
          <w:sz w:val="20"/>
          <w:szCs w:val="20"/>
          <w:color w:val="auto"/>
        </w:rPr>
      </w:pPr>
    </w:p>
    <w:p>
      <w:pPr>
        <w:ind w:left="600" w:hanging="35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 See our consolidated financial statements under Item 8.</w:t>
      </w:r>
    </w:p>
    <w:p>
      <w:pPr>
        <w:spacing w:after="0" w:line="23" w:lineRule="exact"/>
        <w:rPr>
          <w:sz w:val="20"/>
          <w:szCs w:val="20"/>
          <w:color w:val="auto"/>
        </w:rPr>
      </w:pPr>
    </w:p>
    <w:p>
      <w:pPr>
        <w:ind w:left="600" w:hanging="35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w:t>
      </w:r>
    </w:p>
    <w:p>
      <w:pPr>
        <w:ind w:left="600"/>
        <w:spacing w:after="0"/>
        <w:rPr>
          <w:rFonts w:ascii="Arial" w:cs="Arial" w:eastAsia="Arial" w:hAnsi="Arial"/>
          <w:sz w:val="18"/>
          <w:szCs w:val="18"/>
          <w:color w:val="auto"/>
        </w:rPr>
      </w:pPr>
      <w:r>
        <w:rPr>
          <w:rFonts w:ascii="Arial" w:cs="Arial" w:eastAsia="Arial" w:hAnsi="Arial"/>
          <w:sz w:val="18"/>
          <w:szCs w:val="18"/>
          <w:color w:val="auto"/>
        </w:rPr>
        <w:t>See “Schedule II – Valuation and Qualifying Accounts” within Item 15 below.</w:t>
      </w:r>
    </w:p>
    <w:p>
      <w:pPr>
        <w:spacing w:after="0" w:line="126" w:lineRule="exact"/>
        <w:rPr>
          <w:sz w:val="20"/>
          <w:szCs w:val="20"/>
          <w:color w:val="auto"/>
        </w:rPr>
      </w:pPr>
    </w:p>
    <w:p>
      <w:pPr>
        <w:ind w:left="600" w:right="440"/>
        <w:spacing w:after="0"/>
        <w:rPr>
          <w:sz w:val="20"/>
          <w:szCs w:val="20"/>
          <w:color w:val="auto"/>
        </w:rPr>
      </w:pPr>
      <w:r>
        <w:rPr>
          <w:rFonts w:ascii="Arial" w:cs="Arial" w:eastAsia="Arial" w:hAnsi="Arial"/>
          <w:sz w:val="18"/>
          <w:szCs w:val="18"/>
          <w:color w:val="auto"/>
        </w:rPr>
        <w:t>Certain Financial Statement Schedules have been omitted since they are either not required, not applicable, or the information is otherwise included.</w:t>
      </w:r>
    </w:p>
    <w:p>
      <w:pPr>
        <w:ind w:left="600" w:hanging="35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 See “Index to Exhibits” within Item 15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97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SCHEDULE 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8"/>
              </w:rPr>
              <w:t>Charged</w:t>
            </w:r>
          </w:p>
        </w:tc>
        <w:tc>
          <w:tcPr>
            <w:tcW w:w="16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Currency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Translation</w:t>
            </w:r>
          </w:p>
        </w:tc>
        <w:tc>
          <w:tcPr>
            <w:tcW w:w="18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rPr>
              <w:t>(Credited) to</w:t>
            </w:r>
          </w:p>
        </w:tc>
        <w:tc>
          <w:tcPr>
            <w:tcW w:w="160" w:type="dxa"/>
            <w:vAlign w:val="bottom"/>
          </w:tcPr>
          <w:p>
            <w:pPr>
              <w:spacing w:after="0"/>
              <w:rPr>
                <w:sz w:val="16"/>
                <w:szCs w:val="16"/>
                <w:color w:val="auto"/>
              </w:rPr>
            </w:pPr>
          </w:p>
        </w:tc>
        <w:tc>
          <w:tcPr>
            <w:tcW w:w="124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and Charges</w:t>
            </w: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Beginning of</w:t>
            </w:r>
          </w:p>
        </w:tc>
        <w:tc>
          <w:tcPr>
            <w:tcW w:w="16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Income Tax</w:t>
            </w: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to Other</w:t>
            </w:r>
          </w:p>
        </w:tc>
        <w:tc>
          <w:tcPr>
            <w:tcW w:w="18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End of</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Year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Provision</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Accounts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Year</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August 29, 2024</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890"/>
              <w:spacing w:after="0"/>
              <w:rPr>
                <w:sz w:val="20"/>
                <w:szCs w:val="20"/>
                <w:color w:val="auto"/>
              </w:rPr>
            </w:pPr>
            <w:r>
              <w:rPr>
                <w:rFonts w:ascii="Arial" w:cs="Arial" w:eastAsia="Arial" w:hAnsi="Arial"/>
                <w:sz w:val="18"/>
                <w:szCs w:val="18"/>
                <w:color w:val="auto"/>
                <w:w w:val="99"/>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44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Year ended August 31, 2023</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jc w:val="center"/>
              <w:ind w:left="890"/>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September 1, 2022</w:t>
            </w: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p>
        </w:tc>
        <w:tc>
          <w:tcPr>
            <w:tcW w:w="1240" w:type="dxa"/>
            <w:vAlign w:val="bottom"/>
          </w:tcPr>
          <w:p>
            <w:pPr>
              <w:jc w:val="center"/>
              <w:ind w:left="89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482600</wp:posOffset>
            </wp:positionV>
            <wp:extent cx="659765"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to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0" w:type="dxa"/>
            <w:vAlign w:val="bottom"/>
            <w:gridSpan w:val="25"/>
            <w:vMerge w:val="restart"/>
          </w:tcPr>
          <w:p>
            <w:pPr>
              <w:ind w:left="1240"/>
              <w:spacing w:after="0"/>
              <w:rPr>
                <w:sz w:val="20"/>
                <w:szCs w:val="20"/>
                <w:color w:val="auto"/>
              </w:rPr>
            </w:pPr>
            <w:r>
              <w:rPr>
                <w:rFonts w:ascii="Arial" w:cs="Arial" w:eastAsia="Arial" w:hAnsi="Arial"/>
                <w:sz w:val="18"/>
                <w:szCs w:val="18"/>
                <w:b w:val="1"/>
                <w:bCs w:val="1"/>
                <w:color w:val="auto"/>
              </w:rPr>
              <w:t>Description of Exhibit</w:t>
            </w:r>
          </w:p>
        </w:tc>
        <w:tc>
          <w:tcPr>
            <w:tcW w:w="1760" w:type="dxa"/>
            <w:vAlign w:val="bottom"/>
          </w:tcPr>
          <w:p>
            <w:pPr>
              <w:ind w:left="26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5"/>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25"/>
            <w:vMerge w:val="continue"/>
          </w:tcPr>
          <w:p>
            <w:pPr>
              <w:spacing w:after="0"/>
              <w:rPr>
                <w:sz w:val="20"/>
                <w:szCs w:val="20"/>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Herewith   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auto"/>
            </w:tcBorders>
            <w:gridSpan w:val="8"/>
            <w:shd w:val="clear" w:color="auto" w:fill="D1D2D4"/>
          </w:tcPr>
          <w:p>
            <w:pPr>
              <w:spacing w:after="0" w:line="182" w:lineRule="exact"/>
              <w:rPr>
                <w:rFonts w:ascii="Arial" w:cs="Arial" w:eastAsia="Arial" w:hAnsi="Arial"/>
                <w:sz w:val="18"/>
                <w:szCs w:val="18"/>
                <w:color w:val="auto"/>
                <w:w w:val="99"/>
              </w:rPr>
            </w:pPr>
            <w:hyperlink r:id="rId188">
              <w:r>
                <w:rPr>
                  <w:rFonts w:ascii="Arial" w:cs="Arial" w:eastAsia="Arial" w:hAnsi="Arial"/>
                  <w:sz w:val="18"/>
                  <w:szCs w:val="18"/>
                  <w:color w:val="auto"/>
                  <w:w w:val="99"/>
                </w:rPr>
                <w:t>Restated Certificate of Incorporation of the Registrant</w:t>
              </w:r>
            </w:hyperlink>
          </w:p>
        </w:tc>
        <w:tc>
          <w:tcPr>
            <w:tcW w:w="1340" w:type="dxa"/>
            <w:vAlign w:val="bottom"/>
            <w:tcBorders>
              <w:bottom w:val="single" w:sz="8" w:color="D1D2D4"/>
            </w:tcBorders>
            <w:gridSpan w:val="19"/>
            <w:shd w:val="clear" w:color="auto" w:fill="D1D2D4"/>
          </w:tcPr>
          <w:p>
            <w:pPr>
              <w:spacing w:after="0"/>
              <w:rPr>
                <w:sz w:val="17"/>
                <w:szCs w:val="17"/>
                <w:color w:val="auto"/>
              </w:rPr>
            </w:pPr>
          </w:p>
        </w:tc>
        <w:tc>
          <w:tcPr>
            <w:tcW w:w="1760" w:type="dxa"/>
            <w:vAlign w:val="bottom"/>
            <w:tcBorders>
              <w:bottom w:val="single" w:sz="8" w:color="D1D2D4"/>
            </w:tcBorders>
            <w:shd w:val="clear" w:color="auto" w:fill="D1D2D4"/>
          </w:tcPr>
          <w:p>
            <w:pPr>
              <w:ind w:left="1000"/>
              <w:spacing w:after="0" w:line="18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3.2</w:t>
            </w:r>
          </w:p>
        </w:tc>
        <w:tc>
          <w:tcPr>
            <w:tcW w:w="5600" w:type="dxa"/>
            <w:vAlign w:val="bottom"/>
            <w:gridSpan w:val="27"/>
          </w:tcPr>
          <w:p>
            <w:pPr>
              <w:spacing w:after="0" w:line="202" w:lineRule="exact"/>
              <w:rPr>
                <w:rFonts w:ascii="Arial" w:cs="Arial" w:eastAsia="Arial" w:hAnsi="Arial"/>
                <w:sz w:val="18"/>
                <w:szCs w:val="18"/>
                <w:color w:val="auto"/>
              </w:rPr>
            </w:pPr>
            <w:hyperlink r:id="rId189">
              <w:r>
                <w:rPr>
                  <w:rFonts w:ascii="Arial" w:cs="Arial" w:eastAsia="Arial" w:hAnsi="Arial"/>
                  <w:sz w:val="18"/>
                  <w:szCs w:val="18"/>
                  <w:color w:val="auto"/>
                </w:rPr>
                <w:t>Amended and Restated Bylaws of Registrant as of July 18, 2024</w:t>
              </w:r>
            </w:hyperlink>
          </w:p>
        </w:tc>
        <w:tc>
          <w:tcPr>
            <w:tcW w:w="1760" w:type="dxa"/>
            <w:vAlign w:val="bottom"/>
          </w:tcPr>
          <w:p>
            <w:pPr>
              <w:ind w:left="1000"/>
              <w:spacing w:after="0" w:line="202"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7"/>
                <w:szCs w:val="17"/>
                <w:color w:val="auto"/>
              </w:rPr>
            </w:pPr>
          </w:p>
        </w:tc>
        <w:tc>
          <w:tcPr>
            <w:tcW w:w="1080" w:type="dxa"/>
            <w:vAlign w:val="bottom"/>
          </w:tcPr>
          <w:p>
            <w:pPr>
              <w:ind w:left="80"/>
              <w:spacing w:after="0" w:line="202" w:lineRule="exact"/>
              <w:rPr>
                <w:sz w:val="20"/>
                <w:szCs w:val="20"/>
                <w:color w:val="auto"/>
              </w:rPr>
            </w:pPr>
            <w:r>
              <w:rPr>
                <w:rFonts w:ascii="Arial" w:cs="Arial" w:eastAsia="Arial" w:hAnsi="Arial"/>
                <w:sz w:val="18"/>
                <w:szCs w:val="18"/>
                <w:color w:val="auto"/>
              </w:rPr>
              <w:t>3.1</w:t>
            </w:r>
          </w:p>
        </w:tc>
        <w:tc>
          <w:tcPr>
            <w:tcW w:w="960" w:type="dxa"/>
            <w:vAlign w:val="bottom"/>
          </w:tcPr>
          <w:p>
            <w:pPr>
              <w:ind w:left="60"/>
              <w:spacing w:after="0" w:line="202" w:lineRule="exact"/>
              <w:rPr>
                <w:sz w:val="20"/>
                <w:szCs w:val="20"/>
                <w:color w:val="auto"/>
              </w:rPr>
            </w:pPr>
            <w:r>
              <w:rPr>
                <w:rFonts w:ascii="Arial" w:cs="Arial" w:eastAsia="Arial" w:hAnsi="Arial"/>
                <w:sz w:val="18"/>
                <w:szCs w:val="18"/>
                <w:color w:val="auto"/>
              </w:rPr>
              <w:t>7/19/24</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160" w:type="dxa"/>
            <w:vAlign w:val="bottom"/>
            <w:tcBorders>
              <w:bottom w:val="single" w:sz="8" w:color="auto"/>
            </w:tcBorders>
            <w:gridSpan w:val="14"/>
            <w:shd w:val="clear" w:color="auto" w:fill="D1D2D4"/>
          </w:tcPr>
          <w:p>
            <w:pPr>
              <w:spacing w:after="0" w:line="189" w:lineRule="exact"/>
              <w:rPr>
                <w:rFonts w:ascii="Arial" w:cs="Arial" w:eastAsia="Arial" w:hAnsi="Arial"/>
                <w:sz w:val="18"/>
                <w:szCs w:val="18"/>
                <w:color w:val="auto"/>
              </w:rPr>
            </w:pPr>
            <w:hyperlink r:id="rId190">
              <w:r>
                <w:rPr>
                  <w:rFonts w:ascii="Arial" w:cs="Arial" w:eastAsia="Arial" w:hAnsi="Arial"/>
                  <w:sz w:val="18"/>
                  <w:szCs w:val="18"/>
                  <w:color w:val="auto"/>
                </w:rPr>
                <w:t>Indenture, dated as of February 6, 2019, by and between Micron</w:t>
              </w:r>
            </w:hyperlink>
          </w:p>
        </w:tc>
        <w:tc>
          <w:tcPr>
            <w:tcW w:w="440" w:type="dxa"/>
            <w:vAlign w:val="bottom"/>
            <w:tcBorders>
              <w:bottom w:val="single" w:sz="8" w:color="D1D2D4"/>
            </w:tcBorders>
            <w:gridSpan w:val="13"/>
            <w:shd w:val="clear" w:color="auto" w:fill="D1D2D4"/>
          </w:tcPr>
          <w:p>
            <w:pPr>
              <w:spacing w:after="0"/>
              <w:rPr>
                <w:sz w:val="16"/>
                <w:szCs w:val="16"/>
                <w:color w:val="auto"/>
              </w:rPr>
            </w:pPr>
          </w:p>
        </w:tc>
        <w:tc>
          <w:tcPr>
            <w:tcW w:w="176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6"/>
                <w:szCs w:val="16"/>
                <w:color w:val="auto"/>
              </w:rPr>
            </w:pP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shd w:val="clear" w:color="auto" w:fill="D1D2D4"/>
          </w:tcPr>
          <w:p>
            <w:pPr>
              <w:spacing w:after="0"/>
              <w:rPr>
                <w:sz w:val="14"/>
                <w:szCs w:val="14"/>
                <w:color w:val="auto"/>
              </w:rPr>
            </w:pPr>
          </w:p>
        </w:tc>
        <w:tc>
          <w:tcPr>
            <w:tcW w:w="5600" w:type="dxa"/>
            <w:vAlign w:val="bottom"/>
            <w:gridSpan w:val="27"/>
            <w:shd w:val="clear" w:color="auto" w:fill="D1D2D4"/>
          </w:tcPr>
          <w:p>
            <w:pPr>
              <w:spacing w:after="0" w:line="169" w:lineRule="exact"/>
              <w:rPr>
                <w:rFonts w:ascii="Arial" w:cs="Arial" w:eastAsia="Arial" w:hAnsi="Arial"/>
                <w:sz w:val="18"/>
                <w:szCs w:val="18"/>
                <w:color w:val="auto"/>
              </w:rPr>
            </w:pPr>
            <w:hyperlink r:id="rId190">
              <w:r>
                <w:rPr>
                  <w:rFonts w:ascii="Arial" w:cs="Arial" w:eastAsia="Arial" w:hAnsi="Arial"/>
                  <w:sz w:val="18"/>
                  <w:szCs w:val="18"/>
                  <w:color w:val="auto"/>
                </w:rPr>
                <w:t>Technology, Inc. and U.S. Bank Trust Company, National Association</w:t>
              </w:r>
            </w:hyperlink>
          </w:p>
        </w:tc>
        <w:tc>
          <w:tcPr>
            <w:tcW w:w="1760" w:type="dxa"/>
            <w:vAlign w:val="bottom"/>
            <w:shd w:val="clear" w:color="auto" w:fill="D1D2D4"/>
          </w:tcPr>
          <w:p>
            <w:pPr>
              <w:spacing w:after="0"/>
              <w:rPr>
                <w:sz w:val="14"/>
                <w:szCs w:val="14"/>
                <w:color w:val="auto"/>
              </w:rPr>
            </w:pPr>
          </w:p>
        </w:tc>
        <w:tc>
          <w:tcPr>
            <w:tcW w:w="86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500" w:type="dxa"/>
            <w:vAlign w:val="bottom"/>
            <w:tcBorders>
              <w:top w:val="single" w:sz="8" w:color="auto"/>
            </w:tcBorders>
            <w:gridSpan w:val="26"/>
            <w:shd w:val="clear" w:color="auto" w:fill="D1D2D4"/>
          </w:tcPr>
          <w:p>
            <w:pPr>
              <w:spacing w:after="0" w:line="156" w:lineRule="exact"/>
              <w:rPr>
                <w:rFonts w:ascii="Arial" w:cs="Arial" w:eastAsia="Arial" w:hAnsi="Arial"/>
                <w:sz w:val="18"/>
                <w:szCs w:val="18"/>
                <w:color w:val="auto"/>
              </w:rPr>
            </w:pPr>
            <w:hyperlink r:id="rId190">
              <w:r>
                <w:rPr>
                  <w:rFonts w:ascii="Arial" w:cs="Arial" w:eastAsia="Arial" w:hAnsi="Arial"/>
                  <w:sz w:val="18"/>
                  <w:szCs w:val="18"/>
                  <w:color w:val="auto"/>
                </w:rPr>
                <w:t>(as successor in interest to U.S. Bank National Association), as</w:t>
              </w:r>
            </w:hyperlink>
          </w:p>
        </w:tc>
        <w:tc>
          <w:tcPr>
            <w:tcW w:w="10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040" w:type="dxa"/>
            <w:vAlign w:val="bottom"/>
            <w:tcBorders>
              <w:top w:val="single" w:sz="8" w:color="auto"/>
            </w:tcBorders>
            <w:gridSpan w:val="12"/>
            <w:shd w:val="clear" w:color="auto" w:fill="D1D2D4"/>
          </w:tcPr>
          <w:p>
            <w:pPr>
              <w:spacing w:after="0" w:line="156" w:lineRule="exact"/>
              <w:rPr>
                <w:rFonts w:ascii="Arial" w:cs="Arial" w:eastAsia="Arial" w:hAnsi="Arial"/>
                <w:sz w:val="18"/>
                <w:szCs w:val="18"/>
                <w:color w:val="auto"/>
              </w:rPr>
            </w:pPr>
            <w:hyperlink r:id="rId190">
              <w:r>
                <w:rPr>
                  <w:rFonts w:ascii="Arial" w:cs="Arial" w:eastAsia="Arial" w:hAnsi="Arial"/>
                  <w:sz w:val="18"/>
                  <w:szCs w:val="18"/>
                  <w:color w:val="auto"/>
                </w:rPr>
                <w:t>Trustee</w:t>
              </w:r>
            </w:hyperlink>
          </w:p>
        </w:tc>
        <w:tc>
          <w:tcPr>
            <w:tcW w:w="10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0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20" w:type="dxa"/>
            <w:vAlign w:val="bottom"/>
            <w:tcBorders>
              <w:top w:val="single" w:sz="8" w:color="D1D2D4"/>
            </w:tcBorders>
            <w:gridSpan w:val="2"/>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600" w:type="dxa"/>
            <w:vAlign w:val="bottom"/>
            <w:gridSpan w:val="27"/>
          </w:tcPr>
          <w:p>
            <w:pPr>
              <w:spacing w:after="0" w:line="189" w:lineRule="exact"/>
              <w:rPr>
                <w:rFonts w:ascii="Arial" w:cs="Arial" w:eastAsia="Arial" w:hAnsi="Arial"/>
                <w:sz w:val="18"/>
                <w:szCs w:val="18"/>
                <w:color w:val="auto"/>
              </w:rPr>
            </w:pPr>
            <w:hyperlink r:id="rId191">
              <w:r>
                <w:rPr>
                  <w:rFonts w:ascii="Arial" w:cs="Arial" w:eastAsia="Arial" w:hAnsi="Arial"/>
                  <w:sz w:val="18"/>
                  <w:szCs w:val="18"/>
                  <w:color w:val="auto"/>
                </w:rPr>
                <w:t>First Supplemental Indenture, dated as of February 6, 2019, by and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60" w:type="dxa"/>
            <w:vAlign w:val="bottom"/>
            <w:tcBorders>
              <w:top w:val="single" w:sz="8" w:color="auto"/>
            </w:tcBorders>
            <w:gridSpan w:val="19"/>
          </w:tcPr>
          <w:p>
            <w:pPr>
              <w:spacing w:after="0" w:line="169" w:lineRule="exact"/>
              <w:rPr>
                <w:rFonts w:ascii="Arial" w:cs="Arial" w:eastAsia="Arial" w:hAnsi="Arial"/>
                <w:sz w:val="18"/>
                <w:szCs w:val="18"/>
                <w:color w:val="auto"/>
              </w:rPr>
            </w:pPr>
            <w:hyperlink r:id="rId191">
              <w:r>
                <w:rPr>
                  <w:rFonts w:ascii="Arial" w:cs="Arial" w:eastAsia="Arial" w:hAnsi="Arial"/>
                  <w:sz w:val="18"/>
                  <w:szCs w:val="18"/>
                  <w:color w:val="auto"/>
                </w:rPr>
                <w:t>between Micron Technology, Inc. and U.S. Bank National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540" w:type="dxa"/>
            <w:vAlign w:val="bottom"/>
            <w:tcBorders>
              <w:top w:val="single" w:sz="8" w:color="auto"/>
            </w:tcBorders>
            <w:gridSpan w:val="9"/>
          </w:tcPr>
          <w:p>
            <w:pPr>
              <w:spacing w:after="0" w:line="156" w:lineRule="exact"/>
              <w:rPr>
                <w:rFonts w:ascii="Arial" w:cs="Arial" w:eastAsia="Arial" w:hAnsi="Arial"/>
                <w:sz w:val="18"/>
                <w:szCs w:val="18"/>
                <w:color w:val="auto"/>
              </w:rPr>
            </w:pPr>
            <w:hyperlink r:id="rId191">
              <w:r>
                <w:rPr>
                  <w:rFonts w:ascii="Arial" w:cs="Arial" w:eastAsia="Arial" w:hAnsi="Arial"/>
                  <w:sz w:val="18"/>
                  <w:szCs w:val="18"/>
                  <w:color w:val="auto"/>
                </w:rPr>
                <w:t>Association, as Trustee</w:t>
              </w:r>
            </w:hyperlink>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1">
              <w:r>
                <w:rPr>
                  <w:rFonts w:ascii="Arial" w:cs="Arial" w:eastAsia="Arial" w:hAnsi="Arial"/>
                  <w:sz w:val="18"/>
                  <w:szCs w:val="18"/>
                  <w:color w:val="auto"/>
                </w:rPr>
                <w:t>Form of Note for Micron Technology, Inc.’s 4.975%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91">
              <w:r>
                <w:rPr>
                  <w:rFonts w:ascii="Arial" w:cs="Arial" w:eastAsia="Arial" w:hAnsi="Arial"/>
                  <w:sz w:val="18"/>
                  <w:szCs w:val="18"/>
                  <w:color w:val="auto"/>
                </w:rPr>
                <w:t>2026 (included in Exhibit 4.2)</w:t>
              </w:r>
            </w:hyperlink>
          </w:p>
        </w:tc>
        <w:tc>
          <w:tcPr>
            <w:tcW w:w="2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5600" w:type="dxa"/>
            <w:vAlign w:val="bottom"/>
            <w:gridSpan w:val="27"/>
          </w:tcPr>
          <w:p>
            <w:pPr>
              <w:spacing w:after="0" w:line="189" w:lineRule="exact"/>
              <w:rPr>
                <w:rFonts w:ascii="Arial" w:cs="Arial" w:eastAsia="Arial" w:hAnsi="Arial"/>
                <w:sz w:val="18"/>
                <w:szCs w:val="18"/>
                <w:color w:val="auto"/>
              </w:rPr>
            </w:pPr>
            <w:hyperlink r:id="rId191">
              <w:r>
                <w:rPr>
                  <w:rFonts w:ascii="Arial" w:cs="Arial" w:eastAsia="Arial" w:hAnsi="Arial"/>
                  <w:sz w:val="18"/>
                  <w:szCs w:val="18"/>
                  <w:color w:val="auto"/>
                </w:rPr>
                <w:t>Form of Note for Micron Technology, Inc.’s 5.327%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1">
              <w:r>
                <w:rPr>
                  <w:rFonts w:ascii="Arial" w:cs="Arial" w:eastAsia="Arial" w:hAnsi="Arial"/>
                  <w:sz w:val="18"/>
                  <w:szCs w:val="18"/>
                  <w:color w:val="auto"/>
                </w:rPr>
                <w:t>2029 (included in Exhibit 4.2)</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4.5</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2">
              <w:r>
                <w:rPr>
                  <w:rFonts w:ascii="Arial" w:cs="Arial" w:eastAsia="Arial" w:hAnsi="Arial"/>
                  <w:sz w:val="18"/>
                  <w:szCs w:val="18"/>
                  <w:color w:val="auto"/>
                </w:rPr>
                <w:t>Second Supplemental Indenture, dated as of July 12, 2019, by and</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20" w:type="dxa"/>
            <w:vAlign w:val="bottom"/>
            <w:tcBorders>
              <w:top w:val="single" w:sz="8" w:color="auto"/>
            </w:tcBorders>
            <w:gridSpan w:val="18"/>
            <w:shd w:val="clear" w:color="auto" w:fill="D1D2D4"/>
          </w:tcPr>
          <w:p>
            <w:pPr>
              <w:spacing w:after="0" w:line="169" w:lineRule="exact"/>
              <w:rPr>
                <w:rFonts w:ascii="Arial" w:cs="Arial" w:eastAsia="Arial" w:hAnsi="Arial"/>
                <w:sz w:val="18"/>
                <w:szCs w:val="18"/>
                <w:color w:val="auto"/>
              </w:rPr>
            </w:pPr>
            <w:hyperlink r:id="rId192">
              <w:r>
                <w:rPr>
                  <w:rFonts w:ascii="Arial" w:cs="Arial" w:eastAsia="Arial" w:hAnsi="Arial"/>
                  <w:sz w:val="18"/>
                  <w:szCs w:val="18"/>
                  <w:color w:val="auto"/>
                </w:rPr>
                <w:t>between Micron Technology, Inc. and U.S. Bank National</w:t>
              </w:r>
            </w:hyperlink>
          </w:p>
        </w:tc>
        <w:tc>
          <w:tcPr>
            <w:tcW w:w="60" w:type="dxa"/>
            <w:vAlign w:val="bottom"/>
            <w:tcBorders>
              <w:top w:val="single" w:sz="8" w:color="D1D2D4"/>
            </w:tcBorders>
            <w:gridSpan w:val="2"/>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40" w:type="dxa"/>
            <w:vAlign w:val="bottom"/>
            <w:tcBorders>
              <w:top w:val="single" w:sz="8" w:color="D1D2D4"/>
            </w:tcBorders>
            <w:gridSpan w:val="2"/>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4540" w:type="dxa"/>
            <w:vAlign w:val="bottom"/>
            <w:tcBorders>
              <w:top w:val="single" w:sz="8" w:color="auto"/>
            </w:tcBorders>
            <w:gridSpan w:val="9"/>
            <w:shd w:val="clear" w:color="auto" w:fill="D1D2D4"/>
          </w:tcPr>
          <w:p>
            <w:pPr>
              <w:spacing w:after="0" w:line="156" w:lineRule="exact"/>
              <w:rPr>
                <w:rFonts w:ascii="Arial" w:cs="Arial" w:eastAsia="Arial" w:hAnsi="Arial"/>
                <w:sz w:val="18"/>
                <w:szCs w:val="18"/>
                <w:color w:val="auto"/>
              </w:rPr>
            </w:pPr>
            <w:hyperlink r:id="rId192">
              <w:r>
                <w:rPr>
                  <w:rFonts w:ascii="Arial" w:cs="Arial" w:eastAsia="Arial" w:hAnsi="Arial"/>
                  <w:sz w:val="18"/>
                  <w:szCs w:val="18"/>
                  <w:color w:val="auto"/>
                </w:rPr>
                <w:t>Association, as Trustee</w:t>
              </w:r>
            </w:hyperlink>
          </w:p>
        </w:tc>
        <w:tc>
          <w:tcPr>
            <w:tcW w:w="40" w:type="dxa"/>
            <w:vAlign w:val="bottom"/>
            <w:tcBorders>
              <w:top w:val="single" w:sz="8" w:color="D1D2D4"/>
            </w:tcBorders>
            <w:shd w:val="clear" w:color="auto" w:fill="D1D2D4"/>
          </w:tcPr>
          <w:p>
            <w:pPr>
              <w:spacing w:after="0"/>
              <w:rPr>
                <w:sz w:val="13"/>
                <w:szCs w:val="13"/>
                <w:color w:val="auto"/>
              </w:rPr>
            </w:pPr>
          </w:p>
        </w:tc>
        <w:tc>
          <w:tcPr>
            <w:tcW w:w="300" w:type="dxa"/>
            <w:vAlign w:val="bottom"/>
            <w:tcBorders>
              <w:top w:val="single" w:sz="8" w:color="D1D2D4"/>
            </w:tcBorders>
            <w:shd w:val="clear" w:color="auto" w:fill="D1D2D4"/>
          </w:tcPr>
          <w:p>
            <w:pPr>
              <w:spacing w:after="0"/>
              <w:rPr>
                <w:sz w:val="13"/>
                <w:szCs w:val="13"/>
                <w:color w:val="auto"/>
              </w:rPr>
            </w:pPr>
          </w:p>
        </w:tc>
        <w:tc>
          <w:tcPr>
            <w:tcW w:w="26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0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gridSpan w:val="3"/>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20" w:type="dxa"/>
            <w:vAlign w:val="bottom"/>
            <w:tcBorders>
              <w:top w:val="single" w:sz="8" w:color="D1D2D4"/>
            </w:tcBorders>
            <w:gridSpan w:val="2"/>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4.6</w:t>
            </w:r>
          </w:p>
        </w:tc>
        <w:tc>
          <w:tcPr>
            <w:tcW w:w="5600" w:type="dxa"/>
            <w:vAlign w:val="bottom"/>
            <w:gridSpan w:val="27"/>
          </w:tcPr>
          <w:p>
            <w:pPr>
              <w:spacing w:after="0" w:line="189" w:lineRule="exact"/>
              <w:rPr>
                <w:rFonts w:ascii="Arial" w:cs="Arial" w:eastAsia="Arial" w:hAnsi="Arial"/>
                <w:sz w:val="18"/>
                <w:szCs w:val="18"/>
                <w:color w:val="auto"/>
              </w:rPr>
            </w:pPr>
            <w:hyperlink r:id="rId192">
              <w:r>
                <w:rPr>
                  <w:rFonts w:ascii="Arial" w:cs="Arial" w:eastAsia="Arial" w:hAnsi="Arial"/>
                  <w:sz w:val="18"/>
                  <w:szCs w:val="18"/>
                  <w:color w:val="auto"/>
                </w:rPr>
                <w:t>Form of Note for Micron Technology, Inc.’s 4.185%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2">
              <w:r>
                <w:rPr>
                  <w:rFonts w:ascii="Arial" w:cs="Arial" w:eastAsia="Arial" w:hAnsi="Arial"/>
                  <w:sz w:val="18"/>
                  <w:szCs w:val="18"/>
                  <w:color w:val="auto"/>
                </w:rPr>
                <w:t>2027 (included in Exhibit 4.5)</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4.7</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2">
              <w:r>
                <w:rPr>
                  <w:rFonts w:ascii="Arial" w:cs="Arial" w:eastAsia="Arial" w:hAnsi="Arial"/>
                  <w:sz w:val="18"/>
                  <w:szCs w:val="18"/>
                  <w:color w:val="auto"/>
                </w:rPr>
                <w:t>Form of Note for Micron Technology, Inc.’s 4.663%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92">
              <w:r>
                <w:rPr>
                  <w:rFonts w:ascii="Arial" w:cs="Arial" w:eastAsia="Arial" w:hAnsi="Arial"/>
                  <w:sz w:val="18"/>
                  <w:szCs w:val="18"/>
                  <w:color w:val="auto"/>
                </w:rPr>
                <w:t>2030 (included in Exhibit 4.5)</w:t>
              </w:r>
            </w:hyperlink>
          </w:p>
        </w:tc>
        <w:tc>
          <w:tcPr>
            <w:tcW w:w="2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4.8</w:t>
            </w:r>
          </w:p>
        </w:tc>
        <w:tc>
          <w:tcPr>
            <w:tcW w:w="5600" w:type="dxa"/>
            <w:vAlign w:val="bottom"/>
            <w:gridSpan w:val="27"/>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Fourth Supplemental Indenture, dated as of November 1, 2021, by</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00" w:type="dxa"/>
            <w:vAlign w:val="bottom"/>
            <w:tcBorders>
              <w:top w:val="single" w:sz="8" w:color="auto"/>
            </w:tcBorders>
            <w:gridSpan w:val="17"/>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and between Micron Technology, Inc. and U.S. Bank National</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880" w:type="dxa"/>
            <w:vAlign w:val="bottom"/>
            <w:tcBorders>
              <w:top w:val="single" w:sz="8" w:color="auto"/>
            </w:tcBorders>
            <w:gridSpan w:val="11"/>
          </w:tcPr>
          <w:p>
            <w:pPr>
              <w:spacing w:after="0" w:line="156" w:lineRule="exact"/>
              <w:rPr>
                <w:rFonts w:ascii="Arial" w:cs="Arial" w:eastAsia="Arial" w:hAnsi="Arial"/>
                <w:sz w:val="18"/>
                <w:szCs w:val="18"/>
                <w:color w:val="auto"/>
              </w:rPr>
            </w:pPr>
            <w:hyperlink r:id="rId193">
              <w:r>
                <w:rPr>
                  <w:rFonts w:ascii="Arial" w:cs="Arial" w:eastAsia="Arial" w:hAnsi="Arial"/>
                  <w:sz w:val="18"/>
                  <w:szCs w:val="18"/>
                  <w:color w:val="auto"/>
                </w:rPr>
                <w:t>Association, as Trustee</w:t>
              </w:r>
            </w:hyperlink>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4.9</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Form of Note for Micron Technology, Inc.’s 2.703%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2032 (included in Exhibit 4.8)</w:t>
              </w:r>
            </w:hyperlink>
          </w:p>
        </w:tc>
        <w:tc>
          <w:tcPr>
            <w:tcW w:w="2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4.10</w:t>
            </w:r>
          </w:p>
        </w:tc>
        <w:tc>
          <w:tcPr>
            <w:tcW w:w="5600" w:type="dxa"/>
            <w:vAlign w:val="bottom"/>
            <w:gridSpan w:val="27"/>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Form of Note for Micron Technology, Inc.’s 3.366%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2041 (included in Exhibit 4.8)</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4.11</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Form of Note for Micron Technology, Inc.’s 3.477%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2051 (included in Exhibit 4.8)</w:t>
              </w:r>
            </w:hyperlink>
          </w:p>
        </w:tc>
        <w:tc>
          <w:tcPr>
            <w:tcW w:w="2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4.12</w:t>
            </w:r>
          </w:p>
        </w:tc>
        <w:tc>
          <w:tcPr>
            <w:tcW w:w="5600" w:type="dxa"/>
            <w:vAlign w:val="bottom"/>
            <w:gridSpan w:val="27"/>
          </w:tcPr>
          <w:p>
            <w:pPr>
              <w:spacing w:after="0" w:line="189" w:lineRule="exact"/>
              <w:rPr>
                <w:rFonts w:ascii="Arial" w:cs="Arial" w:eastAsia="Arial" w:hAnsi="Arial"/>
                <w:sz w:val="18"/>
                <w:szCs w:val="18"/>
                <w:color w:val="auto"/>
              </w:rPr>
            </w:pPr>
            <w:hyperlink r:id="rId194">
              <w:r>
                <w:rPr>
                  <w:rFonts w:ascii="Arial" w:cs="Arial" w:eastAsia="Arial" w:hAnsi="Arial"/>
                  <w:sz w:val="18"/>
                  <w:szCs w:val="18"/>
                  <w:color w:val="auto"/>
                </w:rPr>
                <w:t>Description of Registrant’s Securities</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99"/>
              </w:rPr>
              <w:t>9/1/22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4.12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4.13</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5">
              <w:r>
                <w:rPr>
                  <w:rFonts w:ascii="Arial" w:cs="Arial" w:eastAsia="Arial" w:hAnsi="Arial"/>
                  <w:sz w:val="18"/>
                  <w:szCs w:val="18"/>
                  <w:color w:val="auto"/>
                </w:rPr>
                <w:t>Fifth Supplemental Indenture, dated as of October 31, 2022, by and</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10/31/22</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00" w:type="dxa"/>
            <w:vAlign w:val="bottom"/>
            <w:tcBorders>
              <w:top w:val="single" w:sz="8" w:color="auto"/>
            </w:tcBorders>
            <w:gridSpan w:val="21"/>
            <w:shd w:val="clear" w:color="auto" w:fill="D1D2D4"/>
          </w:tcPr>
          <w:p>
            <w:pPr>
              <w:spacing w:after="0" w:line="169" w:lineRule="exact"/>
              <w:rPr>
                <w:rFonts w:ascii="Arial" w:cs="Arial" w:eastAsia="Arial" w:hAnsi="Arial"/>
                <w:sz w:val="18"/>
                <w:szCs w:val="18"/>
                <w:color w:val="auto"/>
              </w:rPr>
            </w:pPr>
            <w:hyperlink r:id="rId195">
              <w:r>
                <w:rPr>
                  <w:rFonts w:ascii="Arial" w:cs="Arial" w:eastAsia="Arial" w:hAnsi="Arial"/>
                  <w:sz w:val="18"/>
                  <w:szCs w:val="18"/>
                  <w:color w:val="auto"/>
                </w:rPr>
                <w:t>between Micron Technology, Inc. and U.S. Bank Trust Company,</w:t>
              </w:r>
            </w:hyperlink>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40" w:type="dxa"/>
            <w:vAlign w:val="bottom"/>
            <w:tcBorders>
              <w:top w:val="single" w:sz="8" w:color="D1D2D4"/>
            </w:tcBorders>
            <w:gridSpan w:val="2"/>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95">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7"/>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80" w:type="dxa"/>
            <w:vAlign w:val="bottom"/>
            <w:tcBorders>
              <w:top w:val="single" w:sz="8" w:color="D1D2D4"/>
              <w:bottom w:val="single" w:sz="8" w:color="D1D2D4"/>
            </w:tcBorders>
            <w:gridSpan w:val="4"/>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2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76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4.14</w:t>
            </w:r>
          </w:p>
        </w:tc>
        <w:tc>
          <w:tcPr>
            <w:tcW w:w="5600" w:type="dxa"/>
            <w:vAlign w:val="bottom"/>
            <w:gridSpan w:val="27"/>
          </w:tcPr>
          <w:p>
            <w:pPr>
              <w:spacing w:after="0" w:line="189" w:lineRule="exact"/>
              <w:rPr>
                <w:rFonts w:ascii="Arial" w:cs="Arial" w:eastAsia="Arial" w:hAnsi="Arial"/>
                <w:sz w:val="18"/>
                <w:szCs w:val="18"/>
                <w:color w:val="auto"/>
              </w:rPr>
            </w:pPr>
            <w:hyperlink r:id="rId195">
              <w:r>
                <w:rPr>
                  <w:rFonts w:ascii="Arial" w:cs="Arial" w:eastAsia="Arial" w:hAnsi="Arial"/>
                  <w:sz w:val="18"/>
                  <w:szCs w:val="18"/>
                  <w:color w:val="auto"/>
                </w:rPr>
                <w:t>Form of Note for Micron Technology, Inc.’s 6.750%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10/31/22</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5">
              <w:r>
                <w:rPr>
                  <w:rFonts w:ascii="Arial" w:cs="Arial" w:eastAsia="Arial" w:hAnsi="Arial"/>
                  <w:sz w:val="18"/>
                  <w:szCs w:val="18"/>
                  <w:color w:val="auto"/>
                </w:rPr>
                <w:t>2029 (included in Exhibit 4.13)</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4.15</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6">
              <w:r>
                <w:rPr>
                  <w:rFonts w:ascii="Arial" w:cs="Arial" w:eastAsia="Arial" w:hAnsi="Arial"/>
                  <w:sz w:val="18"/>
                  <w:szCs w:val="18"/>
                  <w:color w:val="auto"/>
                </w:rPr>
                <w:t>Sixth Supplemental Indenture, dated as of February 9, 2023, by and</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40" w:type="dxa"/>
            <w:vAlign w:val="bottom"/>
            <w:tcBorders>
              <w:top w:val="single" w:sz="8" w:color="auto"/>
            </w:tcBorders>
            <w:gridSpan w:val="23"/>
            <w:shd w:val="clear" w:color="auto" w:fill="D1D2D4"/>
          </w:tcPr>
          <w:p>
            <w:pPr>
              <w:spacing w:after="0" w:line="169" w:lineRule="exact"/>
              <w:rPr>
                <w:rFonts w:ascii="Arial" w:cs="Arial" w:eastAsia="Arial" w:hAnsi="Arial"/>
                <w:sz w:val="18"/>
                <w:szCs w:val="18"/>
                <w:color w:val="auto"/>
              </w:rPr>
            </w:pPr>
            <w:hyperlink r:id="rId196">
              <w:r>
                <w:rPr>
                  <w:rFonts w:ascii="Arial" w:cs="Arial" w:eastAsia="Arial" w:hAnsi="Arial"/>
                  <w:sz w:val="18"/>
                  <w:szCs w:val="18"/>
                  <w:color w:val="auto"/>
                </w:rPr>
                <w:t>between Micron Technology, Inc. and U.S. Bank Trust Company,</w:t>
              </w:r>
            </w:hyperlink>
          </w:p>
        </w:tc>
        <w:tc>
          <w:tcPr>
            <w:tcW w:w="40" w:type="dxa"/>
            <w:vAlign w:val="bottom"/>
            <w:tcBorders>
              <w:top w:val="single" w:sz="8" w:color="D1D2D4"/>
            </w:tcBorders>
            <w:gridSpan w:val="2"/>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96">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7"/>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80" w:type="dxa"/>
            <w:vAlign w:val="bottom"/>
            <w:tcBorders>
              <w:top w:val="single" w:sz="8" w:color="D1D2D4"/>
              <w:bottom w:val="single" w:sz="8" w:color="D1D2D4"/>
            </w:tcBorders>
            <w:gridSpan w:val="4"/>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6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2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76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4.16</w:t>
            </w:r>
          </w:p>
        </w:tc>
        <w:tc>
          <w:tcPr>
            <w:tcW w:w="5600" w:type="dxa"/>
            <w:vAlign w:val="bottom"/>
            <w:gridSpan w:val="27"/>
          </w:tcPr>
          <w:p>
            <w:pPr>
              <w:spacing w:after="0" w:line="189" w:lineRule="exact"/>
              <w:rPr>
                <w:rFonts w:ascii="Arial" w:cs="Arial" w:eastAsia="Arial" w:hAnsi="Arial"/>
                <w:sz w:val="18"/>
                <w:szCs w:val="18"/>
                <w:color w:val="auto"/>
              </w:rPr>
            </w:pPr>
            <w:hyperlink r:id="rId196">
              <w:r>
                <w:rPr>
                  <w:rFonts w:ascii="Arial" w:cs="Arial" w:eastAsia="Arial" w:hAnsi="Arial"/>
                  <w:sz w:val="18"/>
                  <w:szCs w:val="18"/>
                  <w:color w:val="auto"/>
                </w:rPr>
                <w:t>Form of Note for Micron Technology, Inc.’s 5.875%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6">
              <w:r>
                <w:rPr>
                  <w:rFonts w:ascii="Arial" w:cs="Arial" w:eastAsia="Arial" w:hAnsi="Arial"/>
                  <w:sz w:val="18"/>
                  <w:szCs w:val="18"/>
                  <w:color w:val="auto"/>
                </w:rPr>
                <w:t>2033 (included in Exhibit 4.15)</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4.17</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7">
              <w:r>
                <w:rPr>
                  <w:rFonts w:ascii="Arial" w:cs="Arial" w:eastAsia="Arial" w:hAnsi="Arial"/>
                  <w:sz w:val="18"/>
                  <w:szCs w:val="18"/>
                  <w:color w:val="auto"/>
                </w:rPr>
                <w:t>Seventh Supplemental Indenture, dated as of April 11, 2023, by and</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20" w:type="dxa"/>
            <w:vAlign w:val="bottom"/>
            <w:tcBorders>
              <w:top w:val="single" w:sz="8" w:color="auto"/>
            </w:tcBorders>
            <w:gridSpan w:val="22"/>
            <w:shd w:val="clear" w:color="auto" w:fill="D1D2D4"/>
          </w:tcPr>
          <w:p>
            <w:pPr>
              <w:spacing w:after="0" w:line="169" w:lineRule="exact"/>
              <w:rPr>
                <w:rFonts w:ascii="Arial" w:cs="Arial" w:eastAsia="Arial" w:hAnsi="Arial"/>
                <w:sz w:val="18"/>
                <w:szCs w:val="18"/>
                <w:color w:val="auto"/>
              </w:rPr>
            </w:pPr>
            <w:hyperlink r:id="rId197">
              <w:r>
                <w:rPr>
                  <w:rFonts w:ascii="Arial" w:cs="Arial" w:eastAsia="Arial" w:hAnsi="Arial"/>
                  <w:sz w:val="18"/>
                  <w:szCs w:val="18"/>
                  <w:color w:val="auto"/>
                </w:rPr>
                <w:t>between Micron Technology, Inc. and U.S. Bank Trust Company,</w:t>
              </w:r>
            </w:hyperlink>
          </w:p>
        </w:tc>
        <w:tc>
          <w:tcPr>
            <w:tcW w:w="60" w:type="dxa"/>
            <w:vAlign w:val="bottom"/>
            <w:tcBorders>
              <w:top w:val="single" w:sz="8" w:color="D1D2D4"/>
            </w:tcBorders>
            <w:gridSpan w:val="3"/>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97">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7"/>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80" w:type="dxa"/>
            <w:vAlign w:val="bottom"/>
            <w:tcBorders>
              <w:top w:val="single" w:sz="8" w:color="D1D2D4"/>
              <w:bottom w:val="single" w:sz="8" w:color="D1D2D4"/>
            </w:tcBorders>
            <w:gridSpan w:val="4"/>
            <w:shd w:val="clear" w:color="auto" w:fill="D1D2D4"/>
          </w:tcPr>
          <w:p>
            <w:pPr>
              <w:spacing w:after="0"/>
              <w:rPr>
                <w:sz w:val="15"/>
                <w:szCs w:val="15"/>
                <w:color w:val="auto"/>
              </w:rPr>
            </w:pPr>
          </w:p>
        </w:tc>
        <w:tc>
          <w:tcPr>
            <w:tcW w:w="100" w:type="dxa"/>
            <w:vAlign w:val="bottom"/>
            <w:tcBorders>
              <w:top w:val="single" w:sz="8" w:color="D1D2D4"/>
              <w:bottom w:val="single" w:sz="8" w:color="D1D2D4"/>
            </w:tcBorders>
            <w:gridSpan w:val="5"/>
            <w:shd w:val="clear" w:color="auto" w:fill="D1D2D4"/>
          </w:tcPr>
          <w:p>
            <w:pPr>
              <w:spacing w:after="0"/>
              <w:rPr>
                <w:sz w:val="15"/>
                <w:szCs w:val="15"/>
                <w:color w:val="auto"/>
              </w:rPr>
            </w:pPr>
          </w:p>
        </w:tc>
        <w:tc>
          <w:tcPr>
            <w:tcW w:w="12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76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4.18</w:t>
            </w:r>
          </w:p>
        </w:tc>
        <w:tc>
          <w:tcPr>
            <w:tcW w:w="5600" w:type="dxa"/>
            <w:vAlign w:val="bottom"/>
            <w:gridSpan w:val="27"/>
          </w:tcPr>
          <w:p>
            <w:pPr>
              <w:spacing w:after="0" w:line="189" w:lineRule="exact"/>
              <w:rPr>
                <w:rFonts w:ascii="Arial" w:cs="Arial" w:eastAsia="Arial" w:hAnsi="Arial"/>
                <w:sz w:val="18"/>
                <w:szCs w:val="18"/>
                <w:color w:val="auto"/>
              </w:rPr>
            </w:pPr>
            <w:hyperlink r:id="rId197">
              <w:r>
                <w:rPr>
                  <w:rFonts w:ascii="Arial" w:cs="Arial" w:eastAsia="Arial" w:hAnsi="Arial"/>
                  <w:sz w:val="18"/>
                  <w:szCs w:val="18"/>
                  <w:color w:val="auto"/>
                </w:rPr>
                <w:t>Form of Note for Micron Technology, Inc.’s 5.375%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7">
              <w:r>
                <w:rPr>
                  <w:rFonts w:ascii="Arial" w:cs="Arial" w:eastAsia="Arial" w:hAnsi="Arial"/>
                  <w:sz w:val="18"/>
                  <w:szCs w:val="18"/>
                  <w:color w:val="auto"/>
                </w:rPr>
                <w:t>2028 (included in Exhibit 4.17)</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4.19</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7">
              <w:r>
                <w:rPr>
                  <w:rFonts w:ascii="Arial" w:cs="Arial" w:eastAsia="Arial" w:hAnsi="Arial"/>
                  <w:sz w:val="18"/>
                  <w:szCs w:val="18"/>
                  <w:color w:val="auto"/>
                </w:rPr>
                <w:t>Form of Note for Micron Technology, Inc.’s 5.875%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97">
              <w:r>
                <w:rPr>
                  <w:rFonts w:ascii="Arial" w:cs="Arial" w:eastAsia="Arial" w:hAnsi="Arial"/>
                  <w:sz w:val="18"/>
                  <w:szCs w:val="18"/>
                  <w:color w:val="auto"/>
                </w:rPr>
                <w:t>2033 (included in Exhibit 4.17)</w:t>
              </w:r>
            </w:hyperlink>
          </w:p>
        </w:tc>
        <w:tc>
          <w:tcPr>
            <w:tcW w:w="2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gridSpan w:val="2"/>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32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4.20</w:t>
            </w:r>
          </w:p>
        </w:tc>
        <w:tc>
          <w:tcPr>
            <w:tcW w:w="5200" w:type="dxa"/>
            <w:vAlign w:val="bottom"/>
            <w:tcBorders>
              <w:bottom w:val="single" w:sz="8" w:color="auto"/>
            </w:tcBorders>
            <w:gridSpan w:val="16"/>
          </w:tcPr>
          <w:p>
            <w:pPr>
              <w:spacing w:after="0" w:line="189" w:lineRule="exact"/>
              <w:rPr>
                <w:rFonts w:ascii="Arial" w:cs="Arial" w:eastAsia="Arial" w:hAnsi="Arial"/>
                <w:sz w:val="18"/>
                <w:szCs w:val="18"/>
                <w:color w:val="auto"/>
                <w:w w:val="99"/>
              </w:rPr>
            </w:pPr>
            <w:hyperlink r:id="rId198">
              <w:r>
                <w:rPr>
                  <w:rFonts w:ascii="Arial" w:cs="Arial" w:eastAsia="Arial" w:hAnsi="Arial"/>
                  <w:sz w:val="18"/>
                  <w:szCs w:val="18"/>
                  <w:color w:val="auto"/>
                  <w:w w:val="99"/>
                </w:rPr>
                <w:t>Eighth Supplemental Indenture, dated as of January 12, 2024, by</w:t>
              </w:r>
            </w:hyperlink>
          </w:p>
        </w:tc>
        <w:tc>
          <w:tcPr>
            <w:tcW w:w="400" w:type="dxa"/>
            <w:vAlign w:val="bottom"/>
            <w:gridSpan w:val="11"/>
          </w:tcPr>
          <w:p>
            <w:pPr>
              <w:spacing w:after="0"/>
              <w:rPr>
                <w:sz w:val="16"/>
                <w:szCs w:val="16"/>
                <w:color w:val="auto"/>
              </w:rPr>
            </w:pPr>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600" w:type="dxa"/>
            <w:vAlign w:val="bottom"/>
            <w:gridSpan w:val="27"/>
          </w:tcPr>
          <w:p>
            <w:pPr>
              <w:spacing w:after="0" w:line="169" w:lineRule="exact"/>
              <w:rPr>
                <w:rFonts w:ascii="Arial" w:cs="Arial" w:eastAsia="Arial" w:hAnsi="Arial"/>
                <w:sz w:val="18"/>
                <w:szCs w:val="18"/>
                <w:color w:val="auto"/>
              </w:rPr>
            </w:pPr>
            <w:hyperlink r:id="rId198">
              <w:r>
                <w:rPr>
                  <w:rFonts w:ascii="Arial" w:cs="Arial" w:eastAsia="Arial" w:hAnsi="Arial"/>
                  <w:sz w:val="18"/>
                  <w:szCs w:val="18"/>
                  <w:color w:val="auto"/>
                </w:rPr>
                <w:t>and between Micron Technology, Inc. and U.S. Bank Trust Company,</w:t>
              </w:r>
            </w:hyperlink>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80" w:type="dxa"/>
            <w:vAlign w:val="bottom"/>
            <w:tcBorders>
              <w:top w:val="single" w:sz="8" w:color="auto"/>
            </w:tcBorders>
            <w:gridSpan w:val="25"/>
          </w:tcPr>
          <w:p>
            <w:pPr>
              <w:spacing w:after="0" w:line="156" w:lineRule="exact"/>
              <w:rPr>
                <w:rFonts w:ascii="Arial" w:cs="Arial" w:eastAsia="Arial" w:hAnsi="Arial"/>
                <w:sz w:val="18"/>
                <w:szCs w:val="18"/>
                <w:color w:val="auto"/>
              </w:rPr>
            </w:pPr>
            <w:hyperlink r:id="rId198">
              <w:r>
                <w:rPr>
                  <w:rFonts w:ascii="Arial" w:cs="Arial" w:eastAsia="Arial" w:hAnsi="Arial"/>
                  <w:sz w:val="18"/>
                  <w:szCs w:val="18"/>
                  <w:color w:val="auto"/>
                </w:rPr>
                <w:t>National Association, as Trustee</w:t>
              </w:r>
            </w:hyperlink>
          </w:p>
        </w:tc>
        <w:tc>
          <w:tcPr>
            <w:tcW w:w="120" w:type="dxa"/>
            <w:vAlign w:val="bottom"/>
            <w:gridSpan w:val="2"/>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4.21</w:t>
            </w:r>
          </w:p>
        </w:tc>
        <w:tc>
          <w:tcPr>
            <w:tcW w:w="5600" w:type="dxa"/>
            <w:vAlign w:val="bottom"/>
            <w:gridSpan w:val="27"/>
            <w:shd w:val="clear" w:color="auto" w:fill="D1D2D4"/>
          </w:tcPr>
          <w:p>
            <w:pPr>
              <w:spacing w:after="0" w:line="189" w:lineRule="exact"/>
              <w:rPr>
                <w:rFonts w:ascii="Arial" w:cs="Arial" w:eastAsia="Arial" w:hAnsi="Arial"/>
                <w:sz w:val="18"/>
                <w:szCs w:val="18"/>
                <w:color w:val="auto"/>
              </w:rPr>
            </w:pPr>
            <w:hyperlink r:id="rId198">
              <w:r>
                <w:rPr>
                  <w:rFonts w:ascii="Arial" w:cs="Arial" w:eastAsia="Arial" w:hAnsi="Arial"/>
                  <w:sz w:val="18"/>
                  <w:szCs w:val="18"/>
                  <w:color w:val="auto"/>
                </w:rPr>
                <w:t>Form of Note for Micron Technology, Inc.’s 5.30%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80" w:type="dxa"/>
            <w:vAlign w:val="bottom"/>
            <w:tcBorders>
              <w:top w:val="single" w:sz="8" w:color="auto"/>
            </w:tcBorders>
            <w:gridSpan w:val="20"/>
            <w:shd w:val="clear" w:color="auto" w:fill="D1D2D4"/>
          </w:tcPr>
          <w:p>
            <w:pPr>
              <w:spacing w:after="0" w:line="169" w:lineRule="exact"/>
              <w:rPr>
                <w:rFonts w:ascii="Arial" w:cs="Arial" w:eastAsia="Arial" w:hAnsi="Arial"/>
                <w:sz w:val="18"/>
                <w:szCs w:val="18"/>
                <w:color w:val="auto"/>
              </w:rPr>
            </w:pPr>
            <w:hyperlink r:id="rId198">
              <w:r>
                <w:rPr>
                  <w:rFonts w:ascii="Arial" w:cs="Arial" w:eastAsia="Arial" w:hAnsi="Arial"/>
                  <w:sz w:val="18"/>
                  <w:szCs w:val="18"/>
                  <w:color w:val="auto"/>
                </w:rPr>
                <w:t>2031 (incorporated by reference from Exhibit 4.20 hereto)</w:t>
              </w:r>
            </w:hyperlink>
          </w:p>
        </w:tc>
        <w:tc>
          <w:tcPr>
            <w:tcW w:w="220" w:type="dxa"/>
            <w:vAlign w:val="bottom"/>
            <w:tcBorders>
              <w:top w:val="single" w:sz="8" w:color="D1D2D4"/>
            </w:tcBorders>
            <w:gridSpan w:val="7"/>
            <w:shd w:val="clear" w:color="auto" w:fill="D1D2D4"/>
          </w:tcPr>
          <w:p>
            <w:pPr>
              <w:spacing w:after="0"/>
              <w:rPr>
                <w:sz w:val="14"/>
                <w:szCs w:val="14"/>
                <w:color w:val="auto"/>
              </w:rPr>
            </w:pPr>
          </w:p>
        </w:tc>
        <w:tc>
          <w:tcPr>
            <w:tcW w:w="176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40" w:type="dxa"/>
            <w:vAlign w:val="bottom"/>
            <w:tcBorders>
              <w:top w:val="single" w:sz="8" w:color="auto"/>
            </w:tcBorders>
            <w:shd w:val="clear" w:color="auto" w:fill="D1D2D4"/>
          </w:tcPr>
          <w:p>
            <w:pPr>
              <w:spacing w:after="0" w:line="20" w:lineRule="exact"/>
              <w:rPr>
                <w:sz w:val="1"/>
                <w:szCs w:val="1"/>
                <w:color w:val="auto"/>
              </w:rPr>
            </w:pPr>
          </w:p>
        </w:tc>
        <w:tc>
          <w:tcPr>
            <w:tcW w:w="126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132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5600" w:type="dxa"/>
            <w:vAlign w:val="bottom"/>
            <w:gridSpan w:val="27"/>
          </w:tcPr>
          <w:p>
            <w:pPr>
              <w:spacing w:after="0" w:line="189" w:lineRule="exact"/>
              <w:rPr>
                <w:rFonts w:ascii="Arial" w:cs="Arial" w:eastAsia="Arial" w:hAnsi="Arial"/>
                <w:sz w:val="18"/>
                <w:szCs w:val="18"/>
                <w:color w:val="auto"/>
              </w:rPr>
            </w:pPr>
            <w:hyperlink r:id="rId199">
              <w:r>
                <w:rPr>
                  <w:rFonts w:ascii="Arial" w:cs="Arial" w:eastAsia="Arial" w:hAnsi="Arial"/>
                  <w:sz w:val="18"/>
                  <w:szCs w:val="18"/>
                  <w:color w:val="auto"/>
                </w:rPr>
                <w:t>Micron Technology, Inc. Executive Officer Performance Incentive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DEF 14A</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B</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160" w:type="dxa"/>
            <w:vAlign w:val="bottom"/>
            <w:tcBorders>
              <w:top w:val="single" w:sz="8" w:color="auto"/>
            </w:tcBorders>
            <w:gridSpan w:val="14"/>
          </w:tcPr>
          <w:p>
            <w:pPr>
              <w:spacing w:after="0" w:line="169" w:lineRule="exact"/>
              <w:rPr>
                <w:rFonts w:ascii="Arial" w:cs="Arial" w:eastAsia="Arial" w:hAnsi="Arial"/>
                <w:sz w:val="18"/>
                <w:szCs w:val="18"/>
                <w:color w:val="auto"/>
              </w:rPr>
            </w:pPr>
            <w:hyperlink r:id="rId199">
              <w:r>
                <w:rPr>
                  <w:rFonts w:ascii="Arial" w:cs="Arial" w:eastAsia="Arial" w:hAnsi="Arial"/>
                  <w:sz w:val="18"/>
                  <w:szCs w:val="18"/>
                  <w:color w:val="auto"/>
                </w:rPr>
                <w:t>Plan</w:t>
              </w:r>
            </w:hyperlink>
          </w:p>
        </w:tc>
        <w:tc>
          <w:tcPr>
            <w:tcW w:w="440" w:type="dxa"/>
            <w:vAlign w:val="bottom"/>
            <w:gridSpan w:val="13"/>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99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940" w:type="dxa"/>
            <w:vAlign w:val="bottom"/>
            <w:gridSpan w:val="32"/>
            <w:vMerge w:val="restart"/>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1740" w:type="dxa"/>
            <w:vAlign w:val="bottom"/>
          </w:tcPr>
          <w:p>
            <w:pPr>
              <w:ind w:left="24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5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32"/>
            <w:vMerge w:val="continue"/>
          </w:tcPr>
          <w:p>
            <w:pPr>
              <w:spacing w:after="0"/>
              <w:rPr>
                <w:sz w:val="21"/>
                <w:szCs w:val="21"/>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Herewith   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10.2*</w:t>
            </w:r>
          </w:p>
        </w:tc>
        <w:tc>
          <w:tcPr>
            <w:tcW w:w="4080" w:type="dxa"/>
            <w:vAlign w:val="bottom"/>
            <w:tcBorders>
              <w:bottom w:val="single" w:sz="8" w:color="auto"/>
            </w:tcBorders>
            <w:gridSpan w:val="15"/>
            <w:shd w:val="clear" w:color="auto" w:fill="D1D2D4"/>
          </w:tcPr>
          <w:p>
            <w:pPr>
              <w:spacing w:after="0" w:line="182" w:lineRule="exact"/>
              <w:rPr>
                <w:rFonts w:ascii="Arial" w:cs="Arial" w:eastAsia="Arial" w:hAnsi="Arial"/>
                <w:sz w:val="18"/>
                <w:szCs w:val="18"/>
                <w:color w:val="auto"/>
                <w:w w:val="99"/>
              </w:rPr>
            </w:pPr>
            <w:hyperlink r:id="rId201">
              <w:r>
                <w:rPr>
                  <w:rFonts w:ascii="Arial" w:cs="Arial" w:eastAsia="Arial" w:hAnsi="Arial"/>
                  <w:sz w:val="18"/>
                  <w:szCs w:val="18"/>
                  <w:color w:val="auto"/>
                  <w:w w:val="99"/>
                </w:rPr>
                <w:t>Amended and Restated 2004 Equity Incentive Plan</w:t>
              </w:r>
            </w:hyperlink>
          </w:p>
        </w:tc>
        <w:tc>
          <w:tcPr>
            <w:tcW w:w="1540" w:type="dxa"/>
            <w:vAlign w:val="bottom"/>
            <w:tcBorders>
              <w:bottom w:val="single" w:sz="8" w:color="D1D2D4"/>
            </w:tcBorders>
            <w:gridSpan w:val="22"/>
            <w:shd w:val="clear" w:color="auto" w:fill="D1D2D4"/>
          </w:tcPr>
          <w:p>
            <w:pPr>
              <w:spacing w:after="0"/>
              <w:rPr>
                <w:sz w:val="17"/>
                <w:szCs w:val="17"/>
                <w:color w:val="auto"/>
              </w:rPr>
            </w:pPr>
          </w:p>
        </w:tc>
        <w:tc>
          <w:tcPr>
            <w:tcW w:w="1740" w:type="dxa"/>
            <w:vAlign w:val="bottom"/>
            <w:tcBorders>
              <w:bottom w:val="single" w:sz="8" w:color="D1D2D4"/>
            </w:tcBorders>
            <w:shd w:val="clear" w:color="auto" w:fill="D1D2D4"/>
          </w:tcPr>
          <w:p>
            <w:pPr>
              <w:ind w:left="980"/>
              <w:spacing w:after="0" w:line="18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12/1/22</w:t>
            </w: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10.1</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10.3*</w:t>
            </w:r>
          </w:p>
        </w:tc>
        <w:tc>
          <w:tcPr>
            <w:tcW w:w="5620" w:type="dxa"/>
            <w:vAlign w:val="bottom"/>
            <w:gridSpan w:val="37"/>
          </w:tcPr>
          <w:p>
            <w:pPr>
              <w:spacing w:after="0" w:line="189" w:lineRule="exact"/>
              <w:rPr>
                <w:rFonts w:ascii="Arial" w:cs="Arial" w:eastAsia="Arial" w:hAnsi="Arial"/>
                <w:sz w:val="18"/>
                <w:szCs w:val="18"/>
                <w:color w:val="auto"/>
              </w:rPr>
            </w:pPr>
            <w:hyperlink r:id="rId202">
              <w:r>
                <w:rPr>
                  <w:rFonts w:ascii="Arial" w:cs="Arial" w:eastAsia="Arial" w:hAnsi="Arial"/>
                  <w:sz w:val="18"/>
                  <w:szCs w:val="18"/>
                  <w:color w:val="auto"/>
                </w:rPr>
                <w:t>2004 Equity Incentive Plan Forms of Agreement and Terms and</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12/1/22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000" w:type="dxa"/>
            <w:vAlign w:val="bottom"/>
            <w:tcBorders>
              <w:top w:val="single" w:sz="8" w:color="auto"/>
            </w:tcBorders>
            <w:gridSpan w:val="20"/>
          </w:tcPr>
          <w:p>
            <w:pPr>
              <w:spacing w:after="0" w:line="156" w:lineRule="exact"/>
              <w:rPr>
                <w:rFonts w:ascii="Arial" w:cs="Arial" w:eastAsia="Arial" w:hAnsi="Arial"/>
                <w:sz w:val="18"/>
                <w:szCs w:val="18"/>
                <w:color w:val="auto"/>
              </w:rPr>
            </w:pPr>
            <w:hyperlink r:id="rId202">
              <w:r>
                <w:rPr>
                  <w:rFonts w:ascii="Arial" w:cs="Arial" w:eastAsia="Arial" w:hAnsi="Arial"/>
                  <w:sz w:val="18"/>
                  <w:szCs w:val="18"/>
                  <w:color w:val="auto"/>
                </w:rPr>
                <w:t>Conditions</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10.4*</w:t>
            </w:r>
          </w:p>
        </w:tc>
        <w:tc>
          <w:tcPr>
            <w:tcW w:w="4080" w:type="dxa"/>
            <w:vAlign w:val="bottom"/>
            <w:tcBorders>
              <w:bottom w:val="single" w:sz="8" w:color="auto"/>
            </w:tcBorders>
            <w:gridSpan w:val="15"/>
            <w:shd w:val="clear" w:color="auto" w:fill="D1D2D4"/>
          </w:tcPr>
          <w:p>
            <w:pPr>
              <w:spacing w:after="0" w:line="189" w:lineRule="exact"/>
              <w:rPr>
                <w:rFonts w:ascii="Arial" w:cs="Arial" w:eastAsia="Arial" w:hAnsi="Arial"/>
                <w:sz w:val="18"/>
                <w:szCs w:val="18"/>
                <w:color w:val="auto"/>
                <w:w w:val="99"/>
              </w:rPr>
            </w:pPr>
            <w:hyperlink r:id="rId203">
              <w:r>
                <w:rPr>
                  <w:rFonts w:ascii="Arial" w:cs="Arial" w:eastAsia="Arial" w:hAnsi="Arial"/>
                  <w:sz w:val="18"/>
                  <w:szCs w:val="18"/>
                  <w:color w:val="auto"/>
                  <w:w w:val="99"/>
                </w:rPr>
                <w:t>Amended and Restated 2007 Equity Incentive Plan</w:t>
              </w:r>
            </w:hyperlink>
          </w:p>
        </w:tc>
        <w:tc>
          <w:tcPr>
            <w:tcW w:w="1540" w:type="dxa"/>
            <w:vAlign w:val="bottom"/>
            <w:tcBorders>
              <w:bottom w:val="single" w:sz="8" w:color="D1D2D4"/>
            </w:tcBorders>
            <w:gridSpan w:val="22"/>
            <w:shd w:val="clear" w:color="auto" w:fill="D1D2D4"/>
          </w:tcPr>
          <w:p>
            <w:pPr>
              <w:spacing w:after="0"/>
              <w:rPr>
                <w:sz w:val="18"/>
                <w:szCs w:val="18"/>
                <w:color w:val="auto"/>
              </w:rPr>
            </w:pPr>
          </w:p>
        </w:tc>
        <w:tc>
          <w:tcPr>
            <w:tcW w:w="1740" w:type="dxa"/>
            <w:vAlign w:val="bottom"/>
            <w:tcBorders>
              <w:bottom w:val="single" w:sz="8" w:color="D1D2D4"/>
            </w:tcBorders>
            <w:shd w:val="clear" w:color="auto" w:fill="D1D2D4"/>
          </w:tcPr>
          <w:p>
            <w:pPr>
              <w:ind w:left="980"/>
              <w:spacing w:after="0" w:line="189" w:lineRule="exact"/>
              <w:rPr>
                <w:sz w:val="20"/>
                <w:szCs w:val="20"/>
                <w:color w:val="auto"/>
              </w:rPr>
            </w:pPr>
            <w:r>
              <w:rPr>
                <w:rFonts w:ascii="Arial" w:cs="Arial" w:eastAsia="Arial" w:hAnsi="Arial"/>
                <w:sz w:val="18"/>
                <w:szCs w:val="18"/>
                <w:color w:val="auto"/>
              </w:rPr>
              <w:t>DEF 14A</w:t>
            </w:r>
          </w:p>
        </w:tc>
        <w:tc>
          <w:tcPr>
            <w:tcW w:w="86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A</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10.5*</w:t>
            </w:r>
          </w:p>
        </w:tc>
        <w:tc>
          <w:tcPr>
            <w:tcW w:w="5620" w:type="dxa"/>
            <w:vAlign w:val="bottom"/>
            <w:gridSpan w:val="37"/>
          </w:tcPr>
          <w:p>
            <w:pPr>
              <w:spacing w:after="0" w:line="189" w:lineRule="exact"/>
              <w:rPr>
                <w:rFonts w:ascii="Arial" w:cs="Arial" w:eastAsia="Arial" w:hAnsi="Arial"/>
                <w:sz w:val="18"/>
                <w:szCs w:val="18"/>
                <w:color w:val="auto"/>
              </w:rPr>
            </w:pPr>
            <w:hyperlink r:id="rId204">
              <w:r>
                <w:rPr>
                  <w:rFonts w:ascii="Arial" w:cs="Arial" w:eastAsia="Arial" w:hAnsi="Arial"/>
                  <w:sz w:val="18"/>
                  <w:szCs w:val="18"/>
                  <w:color w:val="auto"/>
                </w:rPr>
                <w:t>2007 Equity Incentive Plan Forms of Agreement and Terms and</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12/1/22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000" w:type="dxa"/>
            <w:vAlign w:val="bottom"/>
            <w:tcBorders>
              <w:top w:val="single" w:sz="8" w:color="auto"/>
            </w:tcBorders>
            <w:gridSpan w:val="20"/>
          </w:tcPr>
          <w:p>
            <w:pPr>
              <w:spacing w:after="0" w:line="156" w:lineRule="exact"/>
              <w:rPr>
                <w:rFonts w:ascii="Arial" w:cs="Arial" w:eastAsia="Arial" w:hAnsi="Arial"/>
                <w:sz w:val="18"/>
                <w:szCs w:val="18"/>
                <w:color w:val="auto"/>
              </w:rPr>
            </w:pPr>
            <w:hyperlink r:id="rId204">
              <w:r>
                <w:rPr>
                  <w:rFonts w:ascii="Arial" w:cs="Arial" w:eastAsia="Arial" w:hAnsi="Arial"/>
                  <w:sz w:val="18"/>
                  <w:szCs w:val="18"/>
                  <w:color w:val="auto"/>
                </w:rPr>
                <w:t>Conditions</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10.6*</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05">
              <w:r>
                <w:rPr>
                  <w:rFonts w:ascii="Arial" w:cs="Arial" w:eastAsia="Arial" w:hAnsi="Arial"/>
                  <w:sz w:val="18"/>
                  <w:szCs w:val="18"/>
                  <w:color w:val="auto"/>
                </w:rPr>
                <w:t>Nonstatutory Stock Option Plan, as Amended</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10-K</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10.10</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56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4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left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10.7*</w:t>
            </w:r>
          </w:p>
        </w:tc>
        <w:tc>
          <w:tcPr>
            <w:tcW w:w="5620" w:type="dxa"/>
            <w:vAlign w:val="bottom"/>
            <w:gridSpan w:val="37"/>
          </w:tcPr>
          <w:p>
            <w:pPr>
              <w:spacing w:after="0" w:line="189" w:lineRule="exact"/>
              <w:rPr>
                <w:rFonts w:ascii="Arial" w:cs="Arial" w:eastAsia="Arial" w:hAnsi="Arial"/>
                <w:sz w:val="18"/>
                <w:szCs w:val="18"/>
                <w:color w:val="auto"/>
              </w:rPr>
            </w:pPr>
            <w:hyperlink r:id="rId206">
              <w:r>
                <w:rPr>
                  <w:rFonts w:ascii="Arial" w:cs="Arial" w:eastAsia="Arial" w:hAnsi="Arial"/>
                  <w:sz w:val="18"/>
                  <w:szCs w:val="18"/>
                  <w:color w:val="auto"/>
                </w:rPr>
                <w:t>Nonstatutory Stock Option Plan Form of Agreement and Terms and</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360" w:type="dxa"/>
            <w:vAlign w:val="bottom"/>
            <w:tcBorders>
              <w:top w:val="single" w:sz="8" w:color="auto"/>
            </w:tcBorders>
            <w:gridSpan w:val="26"/>
          </w:tcPr>
          <w:p>
            <w:pPr>
              <w:spacing w:after="0" w:line="156" w:lineRule="exact"/>
              <w:rPr>
                <w:rFonts w:ascii="Arial" w:cs="Arial" w:eastAsia="Arial" w:hAnsi="Arial"/>
                <w:sz w:val="18"/>
                <w:szCs w:val="18"/>
                <w:color w:val="auto"/>
              </w:rPr>
            </w:pPr>
            <w:hyperlink r:id="rId206">
              <w:r>
                <w:rPr>
                  <w:rFonts w:ascii="Arial" w:cs="Arial" w:eastAsia="Arial" w:hAnsi="Arial"/>
                  <w:sz w:val="18"/>
                  <w:szCs w:val="18"/>
                  <w:color w:val="auto"/>
                </w:rPr>
                <w:t>Conditions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10.8*</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07">
              <w:r>
                <w:rPr>
                  <w:rFonts w:ascii="Arial" w:cs="Arial" w:eastAsia="Arial" w:hAnsi="Arial"/>
                  <w:sz w:val="18"/>
                  <w:szCs w:val="18"/>
                  <w:color w:val="auto"/>
                </w:rPr>
                <w:t>Form of Indemnification Agreement between the Registrant and its</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2/27/14</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1680" w:type="dxa"/>
            <w:vAlign w:val="bottom"/>
            <w:tcBorders>
              <w:top w:val="single" w:sz="8" w:color="auto"/>
              <w:bottom w:val="single" w:sz="8" w:color="auto"/>
            </w:tcBorders>
            <w:gridSpan w:val="5"/>
            <w:shd w:val="clear" w:color="auto" w:fill="D1D2D4"/>
          </w:tcPr>
          <w:p>
            <w:pPr>
              <w:spacing w:after="0" w:line="156" w:lineRule="exact"/>
              <w:rPr>
                <w:rFonts w:ascii="Arial" w:cs="Arial" w:eastAsia="Arial" w:hAnsi="Arial"/>
                <w:sz w:val="18"/>
                <w:szCs w:val="18"/>
                <w:color w:val="auto"/>
                <w:w w:val="99"/>
              </w:rPr>
            </w:pPr>
            <w:hyperlink r:id="rId207">
              <w:r>
                <w:rPr>
                  <w:rFonts w:ascii="Arial" w:cs="Arial" w:eastAsia="Arial" w:hAnsi="Arial"/>
                  <w:sz w:val="18"/>
                  <w:szCs w:val="18"/>
                  <w:color w:val="auto"/>
                  <w:w w:val="99"/>
                </w:rPr>
                <w:t>officers and directors</w:t>
              </w:r>
            </w:hyperlink>
          </w:p>
        </w:tc>
        <w:tc>
          <w:tcPr>
            <w:tcW w:w="3620" w:type="dxa"/>
            <w:vAlign w:val="bottom"/>
            <w:tcBorders>
              <w:top w:val="single" w:sz="8" w:color="auto"/>
              <w:bottom w:val="single" w:sz="8" w:color="D1D2D4"/>
            </w:tcBorders>
            <w:gridSpan w:val="19"/>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60" w:type="dxa"/>
            <w:vAlign w:val="bottom"/>
            <w:tcBorders>
              <w:top w:val="single" w:sz="8" w:color="D1D2D4"/>
              <w:bottom w:val="single" w:sz="8" w:color="D1D2D4"/>
            </w:tcBorders>
            <w:gridSpan w:val="2"/>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60" w:type="dxa"/>
            <w:vAlign w:val="bottom"/>
            <w:tcBorders>
              <w:top w:val="single" w:sz="8" w:color="D1D2D4"/>
              <w:bottom w:val="single" w:sz="8" w:color="D1D2D4"/>
            </w:tcBorders>
            <w:shd w:val="clear" w:color="auto" w:fill="D1D2D4"/>
          </w:tcPr>
          <w:p>
            <w:pPr>
              <w:spacing w:after="0"/>
              <w:rPr>
                <w:sz w:val="16"/>
                <w:szCs w:val="16"/>
                <w:color w:val="auto"/>
              </w:rPr>
            </w:pPr>
          </w:p>
        </w:tc>
        <w:tc>
          <w:tcPr>
            <w:tcW w:w="174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10.9*</w:t>
            </w:r>
          </w:p>
        </w:tc>
        <w:tc>
          <w:tcPr>
            <w:tcW w:w="5620" w:type="dxa"/>
            <w:vAlign w:val="bottom"/>
            <w:gridSpan w:val="37"/>
          </w:tcPr>
          <w:p>
            <w:pPr>
              <w:spacing w:after="0" w:line="189" w:lineRule="exact"/>
              <w:rPr>
                <w:rFonts w:ascii="Arial" w:cs="Arial" w:eastAsia="Arial" w:hAnsi="Arial"/>
                <w:sz w:val="18"/>
                <w:szCs w:val="18"/>
                <w:color w:val="auto"/>
              </w:rPr>
            </w:pPr>
            <w:hyperlink r:id="rId208">
              <w:r>
                <w:rPr>
                  <w:rFonts w:ascii="Arial" w:cs="Arial" w:eastAsia="Arial" w:hAnsi="Arial"/>
                  <w:sz w:val="18"/>
                  <w:szCs w:val="18"/>
                  <w:color w:val="auto"/>
                </w:rPr>
                <w:t>Form of Severance Agreement</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99.2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10.10*</w:t>
            </w:r>
          </w:p>
        </w:tc>
        <w:tc>
          <w:tcPr>
            <w:tcW w:w="3420" w:type="dxa"/>
            <w:vAlign w:val="bottom"/>
            <w:tcBorders>
              <w:bottom w:val="single" w:sz="8" w:color="auto"/>
            </w:tcBorders>
            <w:gridSpan w:val="11"/>
            <w:shd w:val="clear" w:color="auto" w:fill="D1D2D4"/>
          </w:tcPr>
          <w:p>
            <w:pPr>
              <w:spacing w:after="0" w:line="189" w:lineRule="exact"/>
              <w:rPr>
                <w:rFonts w:ascii="Arial" w:cs="Arial" w:eastAsia="Arial" w:hAnsi="Arial"/>
                <w:sz w:val="18"/>
                <w:szCs w:val="18"/>
                <w:color w:val="auto"/>
                <w:w w:val="99"/>
              </w:rPr>
            </w:pPr>
            <w:hyperlink r:id="rId209">
              <w:r>
                <w:rPr>
                  <w:rFonts w:ascii="Arial" w:cs="Arial" w:eastAsia="Arial" w:hAnsi="Arial"/>
                  <w:sz w:val="18"/>
                  <w:szCs w:val="18"/>
                  <w:color w:val="auto"/>
                  <w:w w:val="99"/>
                </w:rPr>
                <w:t>Deferred Compensation Plan, as amended</w:t>
              </w:r>
            </w:hyperlink>
          </w:p>
        </w:tc>
        <w:tc>
          <w:tcPr>
            <w:tcW w:w="2200" w:type="dxa"/>
            <w:vAlign w:val="bottom"/>
            <w:tcBorders>
              <w:bottom w:val="single" w:sz="8" w:color="D1D2D4"/>
            </w:tcBorders>
            <w:gridSpan w:val="26"/>
            <w:shd w:val="clear" w:color="auto" w:fill="D1D2D4"/>
          </w:tcPr>
          <w:p>
            <w:pPr>
              <w:spacing w:after="0"/>
              <w:rPr>
                <w:sz w:val="19"/>
                <w:szCs w:val="19"/>
                <w:color w:val="auto"/>
              </w:rPr>
            </w:pPr>
          </w:p>
        </w:tc>
        <w:tc>
          <w:tcPr>
            <w:tcW w:w="1740" w:type="dxa"/>
            <w:vAlign w:val="bottom"/>
            <w:tcBorders>
              <w:bottom w:val="single" w:sz="8" w:color="D1D2D4"/>
            </w:tcBorders>
            <w:shd w:val="clear" w:color="auto" w:fill="D1D2D4"/>
          </w:tcPr>
          <w:p>
            <w:pPr>
              <w:ind w:left="980"/>
              <w:spacing w:after="0" w:line="189" w:lineRule="exact"/>
              <w:rPr>
                <w:sz w:val="20"/>
                <w:szCs w:val="20"/>
                <w:color w:val="auto"/>
              </w:rPr>
            </w:pPr>
            <w:r>
              <w:rPr>
                <w:rFonts w:ascii="Arial" w:cs="Arial" w:eastAsia="Arial" w:hAnsi="Arial"/>
                <w:sz w:val="18"/>
                <w:szCs w:val="18"/>
                <w:color w:val="auto"/>
              </w:rPr>
              <w:t>10-K</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8/31/23</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10.10</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10.11*</w:t>
            </w:r>
          </w:p>
        </w:tc>
        <w:tc>
          <w:tcPr>
            <w:tcW w:w="5620" w:type="dxa"/>
            <w:vAlign w:val="bottom"/>
            <w:gridSpan w:val="37"/>
          </w:tcPr>
          <w:p>
            <w:pPr>
              <w:spacing w:after="0" w:line="189" w:lineRule="exact"/>
              <w:rPr>
                <w:rFonts w:ascii="Arial" w:cs="Arial" w:eastAsia="Arial" w:hAnsi="Arial"/>
                <w:sz w:val="18"/>
                <w:szCs w:val="18"/>
                <w:color w:val="auto"/>
              </w:rPr>
            </w:pPr>
            <w:hyperlink r:id="rId210">
              <w:r>
                <w:rPr>
                  <w:rFonts w:ascii="Arial" w:cs="Arial" w:eastAsia="Arial" w:hAnsi="Arial"/>
                  <w:sz w:val="18"/>
                  <w:szCs w:val="18"/>
                  <w:color w:val="auto"/>
                </w:rPr>
                <w:t>Amended and Restated Executive Agreement by and between</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980" w:type="dxa"/>
            <w:vAlign w:val="bottom"/>
            <w:tcBorders>
              <w:top w:val="single" w:sz="8" w:color="auto"/>
            </w:tcBorders>
            <w:gridSpan w:val="19"/>
          </w:tcPr>
          <w:p>
            <w:pPr>
              <w:spacing w:after="0" w:line="156" w:lineRule="exact"/>
              <w:rPr>
                <w:rFonts w:ascii="Arial" w:cs="Arial" w:eastAsia="Arial" w:hAnsi="Arial"/>
                <w:sz w:val="18"/>
                <w:szCs w:val="18"/>
                <w:color w:val="auto"/>
              </w:rPr>
            </w:pPr>
            <w:hyperlink r:id="rId210">
              <w:r>
                <w:rPr>
                  <w:rFonts w:ascii="Arial" w:cs="Arial" w:eastAsia="Arial" w:hAnsi="Arial"/>
                  <w:sz w:val="18"/>
                  <w:szCs w:val="18"/>
                  <w:color w:val="auto"/>
                </w:rPr>
                <w:t>Micron Technology, Inc. and Sanjay Mehrotra</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10.12*</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11">
              <w:r>
                <w:rPr>
                  <w:rFonts w:ascii="Arial" w:cs="Arial" w:eastAsia="Arial" w:hAnsi="Arial"/>
                  <w:sz w:val="18"/>
                  <w:szCs w:val="18"/>
                  <w:color w:val="auto"/>
                </w:rPr>
                <w:t>Severance Benefits for Sumit Sadana</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11/30/17</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10.70</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56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4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left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10.13*</w:t>
            </w:r>
          </w:p>
        </w:tc>
        <w:tc>
          <w:tcPr>
            <w:tcW w:w="5620" w:type="dxa"/>
            <w:vAlign w:val="bottom"/>
            <w:gridSpan w:val="37"/>
          </w:tcPr>
          <w:p>
            <w:pPr>
              <w:spacing w:after="0" w:line="189" w:lineRule="exact"/>
              <w:rPr>
                <w:rFonts w:ascii="Arial" w:cs="Arial" w:eastAsia="Arial" w:hAnsi="Arial"/>
                <w:sz w:val="18"/>
                <w:szCs w:val="18"/>
                <w:color w:val="auto"/>
              </w:rPr>
            </w:pPr>
            <w:hyperlink r:id="rId212">
              <w:r>
                <w:rPr>
                  <w:rFonts w:ascii="Arial" w:cs="Arial" w:eastAsia="Arial" w:hAnsi="Arial"/>
                  <w:sz w:val="18"/>
                  <w:szCs w:val="18"/>
                  <w:color w:val="auto"/>
                </w:rPr>
                <w:t>Form of Amendment to Executive/Severance Agreement</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99.1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10.14*</w:t>
            </w:r>
          </w:p>
        </w:tc>
        <w:tc>
          <w:tcPr>
            <w:tcW w:w="3020" w:type="dxa"/>
            <w:vAlign w:val="bottom"/>
            <w:tcBorders>
              <w:bottom w:val="single" w:sz="8" w:color="auto"/>
            </w:tcBorders>
            <w:gridSpan w:val="10"/>
            <w:shd w:val="clear" w:color="auto" w:fill="D1D2D4"/>
          </w:tcPr>
          <w:p>
            <w:pPr>
              <w:spacing w:after="0" w:line="189" w:lineRule="exact"/>
              <w:rPr>
                <w:rFonts w:ascii="Arial" w:cs="Arial" w:eastAsia="Arial" w:hAnsi="Arial"/>
                <w:sz w:val="18"/>
                <w:szCs w:val="18"/>
                <w:color w:val="auto"/>
                <w:w w:val="99"/>
              </w:rPr>
            </w:pPr>
            <w:hyperlink r:id="rId213">
              <w:r>
                <w:rPr>
                  <w:rFonts w:ascii="Arial" w:cs="Arial" w:eastAsia="Arial" w:hAnsi="Arial"/>
                  <w:sz w:val="18"/>
                  <w:szCs w:val="18"/>
                  <w:color w:val="auto"/>
                  <w:w w:val="99"/>
                </w:rPr>
                <w:t>Severance Benefits for Manish Bhatia</w:t>
              </w:r>
            </w:hyperlink>
          </w:p>
        </w:tc>
        <w:tc>
          <w:tcPr>
            <w:tcW w:w="2600" w:type="dxa"/>
            <w:vAlign w:val="bottom"/>
            <w:tcBorders>
              <w:bottom w:val="single" w:sz="8" w:color="D1D2D4"/>
            </w:tcBorders>
            <w:gridSpan w:val="27"/>
            <w:shd w:val="clear" w:color="auto" w:fill="D1D2D4"/>
          </w:tcPr>
          <w:p>
            <w:pPr>
              <w:spacing w:after="0"/>
              <w:rPr>
                <w:sz w:val="18"/>
                <w:szCs w:val="18"/>
                <w:color w:val="auto"/>
              </w:rPr>
            </w:pPr>
          </w:p>
        </w:tc>
        <w:tc>
          <w:tcPr>
            <w:tcW w:w="1740" w:type="dxa"/>
            <w:vAlign w:val="bottom"/>
            <w:tcBorders>
              <w:bottom w:val="single" w:sz="8" w:color="D1D2D4"/>
            </w:tcBorders>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11/30/17</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10.74</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10.15*</w:t>
            </w:r>
          </w:p>
        </w:tc>
        <w:tc>
          <w:tcPr>
            <w:tcW w:w="5620" w:type="dxa"/>
            <w:vAlign w:val="bottom"/>
            <w:gridSpan w:val="37"/>
          </w:tcPr>
          <w:p>
            <w:pPr>
              <w:spacing w:after="0" w:line="189" w:lineRule="exact"/>
              <w:rPr>
                <w:rFonts w:ascii="Arial" w:cs="Arial" w:eastAsia="Arial" w:hAnsi="Arial"/>
                <w:sz w:val="18"/>
                <w:szCs w:val="18"/>
                <w:color w:val="auto"/>
              </w:rPr>
            </w:pPr>
            <w:hyperlink r:id="rId214">
              <w:r>
                <w:rPr>
                  <w:rFonts w:ascii="Arial" w:cs="Arial" w:eastAsia="Arial" w:hAnsi="Arial"/>
                  <w:sz w:val="18"/>
                  <w:szCs w:val="18"/>
                  <w:color w:val="auto"/>
                </w:rPr>
                <w:t>Micron Technology, Inc. Employee Stock Purchase Plan, as amended</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6/2/22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560" w:type="dxa"/>
            <w:vAlign w:val="bottom"/>
            <w:tcBorders>
              <w:top w:val="single" w:sz="8" w:color="auto"/>
            </w:tcBorders>
            <w:gridSpan w:val="36"/>
          </w:tcPr>
          <w:p>
            <w:pPr>
              <w:spacing w:after="0" w:line="156" w:lineRule="exact"/>
              <w:rPr>
                <w:rFonts w:ascii="Arial" w:cs="Arial" w:eastAsia="Arial" w:hAnsi="Arial"/>
                <w:sz w:val="18"/>
                <w:szCs w:val="18"/>
                <w:color w:val="auto"/>
              </w:rPr>
            </w:pPr>
            <w:hyperlink r:id="rId214">
              <w:r>
                <w:rPr>
                  <w:rFonts w:ascii="Arial" w:cs="Arial" w:eastAsia="Arial" w:hAnsi="Arial"/>
                  <w:sz w:val="18"/>
                  <w:szCs w:val="18"/>
                  <w:color w:val="auto"/>
                </w:rPr>
                <w:t>and restated</w:t>
              </w:r>
            </w:hyperlink>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10.16*</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15">
              <w:r>
                <w:rPr>
                  <w:rFonts w:ascii="Arial" w:cs="Arial" w:eastAsia="Arial" w:hAnsi="Arial"/>
                  <w:sz w:val="18"/>
                  <w:szCs w:val="18"/>
                  <w:color w:val="auto"/>
                </w:rPr>
                <w:t>Severance Benefits for Mark Murphy</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6/2/22</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56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4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left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10.17</w:t>
            </w:r>
          </w:p>
        </w:tc>
        <w:tc>
          <w:tcPr>
            <w:tcW w:w="5620" w:type="dxa"/>
            <w:vAlign w:val="bottom"/>
            <w:gridSpan w:val="37"/>
          </w:tcPr>
          <w:p>
            <w:pPr>
              <w:spacing w:after="0" w:line="189" w:lineRule="exact"/>
              <w:rPr>
                <w:rFonts w:ascii="Arial" w:cs="Arial" w:eastAsia="Arial" w:hAnsi="Arial"/>
                <w:sz w:val="18"/>
                <w:szCs w:val="18"/>
                <w:color w:val="auto"/>
              </w:rPr>
            </w:pPr>
            <w:hyperlink r:id="rId216">
              <w:r>
                <w:rPr>
                  <w:rFonts w:ascii="Arial" w:cs="Arial" w:eastAsia="Arial" w:hAnsi="Arial"/>
                  <w:sz w:val="18"/>
                  <w:szCs w:val="18"/>
                  <w:color w:val="auto"/>
                </w:rPr>
                <w:t>Credit Agreement, dated as of May 14, 2021, by and among Micron</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6/3/21</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10.22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580" w:type="dxa"/>
            <w:vAlign w:val="bottom"/>
            <w:tcBorders>
              <w:top w:val="single" w:sz="8" w:color="auto"/>
              <w:bottom w:val="single" w:sz="8" w:color="auto"/>
            </w:tcBorders>
            <w:gridSpan w:val="17"/>
          </w:tcPr>
          <w:p>
            <w:pPr>
              <w:spacing w:after="0" w:line="156" w:lineRule="exact"/>
              <w:rPr>
                <w:rFonts w:ascii="Arial" w:cs="Arial" w:eastAsia="Arial" w:hAnsi="Arial"/>
                <w:sz w:val="18"/>
                <w:szCs w:val="18"/>
                <w:color w:val="auto"/>
                <w:w w:val="98"/>
              </w:rPr>
            </w:pPr>
            <w:hyperlink r:id="rId216">
              <w:r>
                <w:rPr>
                  <w:rFonts w:ascii="Arial" w:cs="Arial" w:eastAsia="Arial" w:hAnsi="Arial"/>
                  <w:sz w:val="18"/>
                  <w:szCs w:val="18"/>
                  <w:color w:val="auto"/>
                  <w:w w:val="98"/>
                </w:rPr>
                <w:t>Technology, Inc., as borrower, HSBC Bank USA, National</w:t>
              </w:r>
            </w:hyperlink>
          </w:p>
        </w:tc>
        <w:tc>
          <w:tcPr>
            <w:tcW w:w="800" w:type="dxa"/>
            <w:vAlign w:val="bottom"/>
            <w:tcBorders>
              <w:top w:val="single" w:sz="8" w:color="auto"/>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620" w:type="dxa"/>
            <w:vAlign w:val="bottom"/>
            <w:gridSpan w:val="37"/>
          </w:tcPr>
          <w:p>
            <w:pPr>
              <w:spacing w:after="0" w:line="169" w:lineRule="exact"/>
              <w:rPr>
                <w:rFonts w:ascii="Arial" w:cs="Arial" w:eastAsia="Arial" w:hAnsi="Arial"/>
                <w:sz w:val="18"/>
                <w:szCs w:val="18"/>
                <w:color w:val="auto"/>
              </w:rPr>
            </w:pPr>
            <w:hyperlink r:id="rId216">
              <w:r>
                <w:rPr>
                  <w:rFonts w:ascii="Arial" w:cs="Arial" w:eastAsia="Arial" w:hAnsi="Arial"/>
                  <w:sz w:val="18"/>
                  <w:szCs w:val="18"/>
                  <w:color w:val="auto"/>
                </w:rPr>
                <w:t>Association, as administrative agent, the other agents party thereto,</w:t>
              </w:r>
            </w:hyperlink>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00" w:type="dxa"/>
            <w:vAlign w:val="bottom"/>
            <w:tcBorders>
              <w:top w:val="single" w:sz="8" w:color="auto"/>
            </w:tcBorders>
            <w:gridSpan w:val="28"/>
          </w:tcPr>
          <w:p>
            <w:pPr>
              <w:spacing w:after="0" w:line="156" w:lineRule="exact"/>
              <w:rPr>
                <w:rFonts w:ascii="Arial" w:cs="Arial" w:eastAsia="Arial" w:hAnsi="Arial"/>
                <w:sz w:val="18"/>
                <w:szCs w:val="18"/>
                <w:color w:val="auto"/>
              </w:rPr>
            </w:pPr>
            <w:hyperlink r:id="rId216">
              <w:r>
                <w:rPr>
                  <w:rFonts w:ascii="Arial" w:cs="Arial" w:eastAsia="Arial" w:hAnsi="Arial"/>
                  <w:sz w:val="18"/>
                  <w:szCs w:val="18"/>
                  <w:color w:val="auto"/>
                </w:rPr>
                <w:t>and each financial institution party from time to time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10.18</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17">
              <w:r>
                <w:rPr>
                  <w:rFonts w:ascii="Arial" w:cs="Arial" w:eastAsia="Arial" w:hAnsi="Arial"/>
                  <w:sz w:val="18"/>
                  <w:szCs w:val="18"/>
                  <w:color w:val="auto"/>
                </w:rPr>
                <w:t>Term Loan Credit Agreement, dated as of May 14, 2021, by and</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6/3/21</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10.23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5080" w:type="dxa"/>
            <w:vAlign w:val="bottom"/>
            <w:tcBorders>
              <w:top w:val="single" w:sz="8" w:color="auto"/>
              <w:bottom w:val="single" w:sz="8" w:color="auto"/>
            </w:tcBorders>
            <w:gridSpan w:val="21"/>
            <w:shd w:val="clear" w:color="auto" w:fill="D1D2D4"/>
          </w:tcPr>
          <w:p>
            <w:pPr>
              <w:spacing w:after="0" w:line="156" w:lineRule="exact"/>
              <w:rPr>
                <w:rFonts w:ascii="Arial" w:cs="Arial" w:eastAsia="Arial" w:hAnsi="Arial"/>
                <w:sz w:val="18"/>
                <w:szCs w:val="18"/>
                <w:color w:val="auto"/>
                <w:w w:val="98"/>
              </w:rPr>
            </w:pPr>
            <w:hyperlink r:id="rId217">
              <w:r>
                <w:rPr>
                  <w:rFonts w:ascii="Arial" w:cs="Arial" w:eastAsia="Arial" w:hAnsi="Arial"/>
                  <w:sz w:val="18"/>
                  <w:szCs w:val="18"/>
                  <w:color w:val="auto"/>
                  <w:w w:val="98"/>
                </w:rPr>
                <w:t>among Micron Technology, Inc., as borrower, Wells Fargo Bank,</w:t>
              </w:r>
            </w:hyperlink>
          </w:p>
        </w:tc>
        <w:tc>
          <w:tcPr>
            <w:tcW w:w="20" w:type="dxa"/>
            <w:vAlign w:val="bottom"/>
            <w:tcBorders>
              <w:top w:val="single" w:sz="8" w:color="D1D2D4"/>
              <w:bottom w:val="single" w:sz="8" w:color="auto"/>
            </w:tcBorders>
            <w:shd w:val="clear" w:color="auto" w:fill="D1D2D4"/>
          </w:tcPr>
          <w:p>
            <w:pPr>
              <w:spacing w:after="0"/>
              <w:rPr>
                <w:sz w:val="13"/>
                <w:szCs w:val="13"/>
                <w:color w:val="auto"/>
              </w:rPr>
            </w:pPr>
          </w:p>
        </w:tc>
        <w:tc>
          <w:tcPr>
            <w:tcW w:w="520" w:type="dxa"/>
            <w:vAlign w:val="bottom"/>
            <w:tcBorders>
              <w:top w:val="single" w:sz="8" w:color="D1D2D4"/>
              <w:bottom w:val="single" w:sz="8" w:color="D1D2D4"/>
            </w:tcBorders>
            <w:gridSpan w:val="15"/>
            <w:vMerge w:val="restart"/>
            <w:shd w:val="clear" w:color="auto" w:fill="D1D2D4"/>
          </w:tcPr>
          <w:p>
            <w:pPr>
              <w:spacing w:after="0"/>
              <w:rPr>
                <w:rFonts w:ascii="Arial" w:cs="Arial" w:eastAsia="Arial" w:hAnsi="Arial"/>
                <w:sz w:val="18"/>
                <w:szCs w:val="18"/>
                <w:color w:val="auto"/>
              </w:rPr>
            </w:pPr>
            <w:hyperlink r:id="rId217">
              <w:r>
                <w:rPr>
                  <w:rFonts w:ascii="Arial" w:cs="Arial" w:eastAsia="Arial" w:hAnsi="Arial"/>
                  <w:sz w:val="18"/>
                  <w:szCs w:val="18"/>
                  <w:color w:val="auto"/>
                </w:rPr>
                <w:t>party</w:t>
              </w:r>
            </w:hyperlink>
          </w:p>
        </w:tc>
        <w:tc>
          <w:tcPr>
            <w:tcW w:w="1740" w:type="dxa"/>
            <w:vAlign w:val="bottom"/>
            <w:tcBorders>
              <w:top w:val="single" w:sz="8" w:color="D1D2D4"/>
              <w:bottom w:val="single" w:sz="8" w:color="D1D2D4"/>
            </w:tcBorders>
            <w:shd w:val="clear" w:color="auto" w:fill="D1D2D4"/>
          </w:tcPr>
          <w:p>
            <w:pPr>
              <w:spacing w:after="0"/>
              <w:rPr>
                <w:sz w:val="13"/>
                <w:szCs w:val="13"/>
                <w:color w:val="auto"/>
              </w:rPr>
            </w:pPr>
          </w:p>
        </w:tc>
        <w:tc>
          <w:tcPr>
            <w:tcW w:w="86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shd w:val="clear" w:color="auto" w:fill="D1D2D4"/>
          </w:tcPr>
          <w:p>
            <w:pPr>
              <w:spacing w:after="0"/>
              <w:rPr>
                <w:sz w:val="14"/>
                <w:szCs w:val="14"/>
                <w:color w:val="auto"/>
              </w:rPr>
            </w:pPr>
          </w:p>
        </w:tc>
        <w:tc>
          <w:tcPr>
            <w:tcW w:w="5100" w:type="dxa"/>
            <w:vAlign w:val="bottom"/>
            <w:gridSpan w:val="22"/>
            <w:shd w:val="clear" w:color="auto" w:fill="D1D2D4"/>
          </w:tcPr>
          <w:p>
            <w:pPr>
              <w:spacing w:after="0" w:line="169" w:lineRule="exact"/>
              <w:rPr>
                <w:rFonts w:ascii="Arial" w:cs="Arial" w:eastAsia="Arial" w:hAnsi="Arial"/>
                <w:sz w:val="18"/>
                <w:szCs w:val="18"/>
                <w:color w:val="auto"/>
              </w:rPr>
            </w:pPr>
            <w:hyperlink r:id="rId217">
              <w:r>
                <w:rPr>
                  <w:rFonts w:ascii="Arial" w:cs="Arial" w:eastAsia="Arial" w:hAnsi="Arial"/>
                  <w:sz w:val="18"/>
                  <w:szCs w:val="18"/>
                  <w:color w:val="auto"/>
                </w:rPr>
                <w:t>National Association, as administrative agent, the other agents</w:t>
              </w:r>
            </w:hyperlink>
          </w:p>
        </w:tc>
        <w:tc>
          <w:tcPr>
            <w:tcW w:w="520" w:type="dxa"/>
            <w:vAlign w:val="bottom"/>
            <w:gridSpan w:val="15"/>
            <w:vMerge w:val="continue"/>
            <w:shd w:val="clear" w:color="auto" w:fill="D1D2D4"/>
          </w:tcPr>
          <w:p>
            <w:pPr>
              <w:spacing w:after="0"/>
              <w:rPr>
                <w:sz w:val="14"/>
                <w:szCs w:val="14"/>
                <w:color w:val="auto"/>
              </w:rPr>
            </w:pPr>
          </w:p>
        </w:tc>
        <w:tc>
          <w:tcPr>
            <w:tcW w:w="1740" w:type="dxa"/>
            <w:vAlign w:val="bottom"/>
            <w:shd w:val="clear" w:color="auto" w:fill="D1D2D4"/>
          </w:tcPr>
          <w:p>
            <w:pPr>
              <w:spacing w:after="0"/>
              <w:rPr>
                <w:sz w:val="14"/>
                <w:szCs w:val="14"/>
                <w:color w:val="auto"/>
              </w:rPr>
            </w:pPr>
          </w:p>
        </w:tc>
        <w:tc>
          <w:tcPr>
            <w:tcW w:w="86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5380" w:type="dxa"/>
            <w:vAlign w:val="bottom"/>
            <w:tcBorders>
              <w:top w:val="single" w:sz="8" w:color="auto"/>
              <w:bottom w:val="single" w:sz="8" w:color="auto"/>
            </w:tcBorders>
            <w:gridSpan w:val="27"/>
            <w:shd w:val="clear" w:color="auto" w:fill="D1D2D4"/>
          </w:tcPr>
          <w:p>
            <w:pPr>
              <w:spacing w:after="0" w:line="156" w:lineRule="exact"/>
              <w:rPr>
                <w:rFonts w:ascii="Arial" w:cs="Arial" w:eastAsia="Arial" w:hAnsi="Arial"/>
                <w:sz w:val="18"/>
                <w:szCs w:val="18"/>
                <w:color w:val="auto"/>
                <w:w w:val="99"/>
              </w:rPr>
            </w:pPr>
            <w:hyperlink r:id="rId217">
              <w:r>
                <w:rPr>
                  <w:rFonts w:ascii="Arial" w:cs="Arial" w:eastAsia="Arial" w:hAnsi="Arial"/>
                  <w:sz w:val="18"/>
                  <w:szCs w:val="18"/>
                  <w:color w:val="auto"/>
                  <w:w w:val="99"/>
                </w:rPr>
                <w:t>thereto, and each financial institution party from time to time thereto</w:t>
              </w:r>
            </w:hyperlink>
          </w:p>
        </w:tc>
        <w:tc>
          <w:tcPr>
            <w:tcW w:w="60" w:type="dxa"/>
            <w:vAlign w:val="bottom"/>
            <w:tcBorders>
              <w:top w:val="single" w:sz="8" w:color="auto"/>
              <w:bottom w:val="single" w:sz="8" w:color="D1D2D4"/>
            </w:tcBorders>
            <w:gridSpan w:val="3"/>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8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74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10.19</w:t>
            </w:r>
          </w:p>
        </w:tc>
        <w:tc>
          <w:tcPr>
            <w:tcW w:w="5620" w:type="dxa"/>
            <w:vAlign w:val="bottom"/>
            <w:gridSpan w:val="37"/>
          </w:tcPr>
          <w:p>
            <w:pPr>
              <w:spacing w:after="0" w:line="189" w:lineRule="exact"/>
              <w:rPr>
                <w:rFonts w:ascii="Arial" w:cs="Arial" w:eastAsia="Arial" w:hAnsi="Arial"/>
                <w:sz w:val="18"/>
                <w:szCs w:val="18"/>
                <w:color w:val="auto"/>
              </w:rPr>
            </w:pPr>
            <w:hyperlink r:id="rId218">
              <w:r>
                <w:rPr>
                  <w:rFonts w:ascii="Arial" w:cs="Arial" w:eastAsia="Arial" w:hAnsi="Arial"/>
                  <w:sz w:val="18"/>
                  <w:szCs w:val="18"/>
                  <w:color w:val="auto"/>
                </w:rPr>
                <w:t>Term Loan Credit Agreement, dated as of November 3, 2022, by and</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12/1/22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80" w:type="dxa"/>
            <w:vAlign w:val="bottom"/>
            <w:tcBorders>
              <w:top w:val="single" w:sz="8" w:color="auto"/>
            </w:tcBorders>
            <w:gridSpan w:val="32"/>
          </w:tcPr>
          <w:p>
            <w:pPr>
              <w:spacing w:after="0" w:line="156" w:lineRule="exact"/>
              <w:rPr>
                <w:rFonts w:ascii="Arial" w:cs="Arial" w:eastAsia="Arial" w:hAnsi="Arial"/>
                <w:sz w:val="18"/>
                <w:szCs w:val="18"/>
                <w:color w:val="auto"/>
              </w:rPr>
            </w:pPr>
            <w:hyperlink r:id="rId218">
              <w:r>
                <w:rPr>
                  <w:rFonts w:ascii="Arial" w:cs="Arial" w:eastAsia="Arial" w:hAnsi="Arial"/>
                  <w:sz w:val="18"/>
                  <w:szCs w:val="18"/>
                  <w:color w:val="auto"/>
                </w:rPr>
                <w:t>among Micron Technology, Inc., as borrower, Wells Fargo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100" w:type="dxa"/>
            <w:vAlign w:val="bottom"/>
            <w:tcBorders>
              <w:top w:val="single" w:sz="8" w:color="auto"/>
            </w:tcBorders>
            <w:gridSpan w:val="22"/>
          </w:tcPr>
          <w:p>
            <w:pPr>
              <w:spacing w:after="0" w:line="169" w:lineRule="exact"/>
              <w:rPr>
                <w:rFonts w:ascii="Arial" w:cs="Arial" w:eastAsia="Arial" w:hAnsi="Arial"/>
                <w:sz w:val="18"/>
                <w:szCs w:val="18"/>
                <w:color w:val="auto"/>
              </w:rPr>
            </w:pPr>
            <w:hyperlink r:id="rId218">
              <w:r>
                <w:rPr>
                  <w:rFonts w:ascii="Arial" w:cs="Arial" w:eastAsia="Arial" w:hAnsi="Arial"/>
                  <w:sz w:val="18"/>
                  <w:szCs w:val="18"/>
                  <w:color w:val="auto"/>
                </w:rPr>
                <w:t>National Association, as administrative agent, the other agents</w:t>
              </w:r>
            </w:hyperlink>
          </w:p>
        </w:tc>
        <w:tc>
          <w:tcPr>
            <w:tcW w:w="520" w:type="dxa"/>
            <w:vAlign w:val="bottom"/>
            <w:gridSpan w:val="15"/>
          </w:tcPr>
          <w:p>
            <w:pPr>
              <w:spacing w:after="0" w:line="169" w:lineRule="exact"/>
              <w:rPr>
                <w:rFonts w:ascii="Arial" w:cs="Arial" w:eastAsia="Arial" w:hAnsi="Arial"/>
                <w:sz w:val="18"/>
                <w:szCs w:val="18"/>
                <w:color w:val="auto"/>
              </w:rPr>
            </w:pPr>
            <w:hyperlink r:id="rId218">
              <w:r>
                <w:rPr>
                  <w:rFonts w:ascii="Arial" w:cs="Arial" w:eastAsia="Arial" w:hAnsi="Arial"/>
                  <w:sz w:val="18"/>
                  <w:szCs w:val="18"/>
                  <w:color w:val="auto"/>
                </w:rPr>
                <w:t>party</w:t>
              </w:r>
            </w:hyperlink>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40" w:type="dxa"/>
            <w:vAlign w:val="bottom"/>
            <w:tcBorders>
              <w:top w:val="single" w:sz="8" w:color="auto"/>
            </w:tcBorders>
            <w:gridSpan w:val="30"/>
          </w:tcPr>
          <w:p>
            <w:pPr>
              <w:spacing w:after="0" w:line="156" w:lineRule="exact"/>
              <w:rPr>
                <w:rFonts w:ascii="Arial" w:cs="Arial" w:eastAsia="Arial" w:hAnsi="Arial"/>
                <w:sz w:val="18"/>
                <w:szCs w:val="18"/>
                <w:color w:val="auto"/>
              </w:rPr>
            </w:pPr>
            <w:hyperlink r:id="rId218">
              <w:r>
                <w:rPr>
                  <w:rFonts w:ascii="Arial" w:cs="Arial" w:eastAsia="Arial" w:hAnsi="Arial"/>
                  <w:sz w:val="18"/>
                  <w:szCs w:val="18"/>
                  <w:color w:val="auto"/>
                </w:rPr>
                <w:t>thereto, and each financial institution party from time to time 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10.20</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19">
              <w:r>
                <w:rPr>
                  <w:rFonts w:ascii="Arial" w:cs="Arial" w:eastAsia="Arial" w:hAnsi="Arial"/>
                  <w:sz w:val="18"/>
                  <w:szCs w:val="18"/>
                  <w:color w:val="auto"/>
                </w:rPr>
                <w:t>Incremental Amendment No. 1, dated as of January 5, 2023, to the</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3/2/23</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980" w:type="dxa"/>
            <w:vAlign w:val="bottom"/>
            <w:shd w:val="clear" w:color="auto" w:fill="D1D2D4"/>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780" w:type="dxa"/>
            <w:vAlign w:val="bottom"/>
            <w:gridSpan w:val="8"/>
            <w:shd w:val="clear" w:color="auto" w:fill="000000"/>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4"/>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80" w:type="dxa"/>
            <w:vAlign w:val="bottom"/>
            <w:gridSpan w:val="2"/>
            <w:shd w:val="clear" w:color="auto" w:fill="D1D2D4"/>
          </w:tcPr>
          <w:p>
            <w:pPr>
              <w:spacing w:after="0" w:line="20" w:lineRule="exact"/>
              <w:rPr>
                <w:sz w:val="1"/>
                <w:szCs w:val="1"/>
                <w:color w:val="auto"/>
              </w:rPr>
            </w:pPr>
          </w:p>
        </w:tc>
        <w:tc>
          <w:tcPr>
            <w:tcW w:w="1740" w:type="dxa"/>
            <w:vAlign w:val="bottom"/>
            <w:shd w:val="clear" w:color="auto" w:fill="D1D2D4"/>
          </w:tcPr>
          <w:p>
            <w:pPr>
              <w:spacing w:after="0" w:line="20" w:lineRule="exact"/>
              <w:rPr>
                <w:sz w:val="1"/>
                <w:szCs w:val="1"/>
                <w:color w:val="auto"/>
              </w:rPr>
            </w:pPr>
          </w:p>
        </w:tc>
        <w:tc>
          <w:tcPr>
            <w:tcW w:w="86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96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shd w:val="clear" w:color="auto" w:fill="D1D2D4"/>
          </w:tcPr>
          <w:p>
            <w:pPr>
              <w:spacing w:after="0"/>
              <w:rPr>
                <w:sz w:val="13"/>
                <w:szCs w:val="13"/>
                <w:color w:val="auto"/>
              </w:rPr>
            </w:pPr>
          </w:p>
        </w:tc>
        <w:tc>
          <w:tcPr>
            <w:tcW w:w="5620" w:type="dxa"/>
            <w:vAlign w:val="bottom"/>
            <w:gridSpan w:val="37"/>
            <w:shd w:val="clear" w:color="auto" w:fill="D1D2D4"/>
          </w:tcPr>
          <w:p>
            <w:pPr>
              <w:spacing w:after="0" w:line="156" w:lineRule="exact"/>
              <w:rPr>
                <w:rFonts w:ascii="Arial" w:cs="Arial" w:eastAsia="Arial" w:hAnsi="Arial"/>
                <w:sz w:val="18"/>
                <w:szCs w:val="18"/>
                <w:color w:val="auto"/>
              </w:rPr>
            </w:pPr>
            <w:hyperlink r:id="rId219">
              <w:r>
                <w:rPr>
                  <w:rFonts w:ascii="Arial" w:cs="Arial" w:eastAsia="Arial" w:hAnsi="Arial"/>
                  <w:sz w:val="18"/>
                  <w:szCs w:val="18"/>
                  <w:color w:val="auto"/>
                </w:rPr>
                <w:t>Term Loan Credit Agreement, dated as of November 3, 2022, by and</w:t>
              </w:r>
            </w:hyperlink>
          </w:p>
        </w:tc>
        <w:tc>
          <w:tcPr>
            <w:tcW w:w="174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bottom w:val="single" w:sz="8" w:color="D1D2D4"/>
            </w:tcBorders>
            <w:shd w:val="clear" w:color="auto" w:fill="D1D2D4"/>
          </w:tcPr>
          <w:p>
            <w:pPr>
              <w:spacing w:after="0"/>
              <w:rPr>
                <w:sz w:val="14"/>
                <w:szCs w:val="14"/>
                <w:color w:val="auto"/>
              </w:rPr>
            </w:pPr>
          </w:p>
        </w:tc>
        <w:tc>
          <w:tcPr>
            <w:tcW w:w="5100" w:type="dxa"/>
            <w:vAlign w:val="bottom"/>
            <w:tcBorders>
              <w:top w:val="single" w:sz="8" w:color="auto"/>
              <w:bottom w:val="single" w:sz="8" w:color="auto"/>
            </w:tcBorders>
            <w:gridSpan w:val="22"/>
            <w:shd w:val="clear" w:color="auto" w:fill="D1D2D4"/>
          </w:tcPr>
          <w:p>
            <w:pPr>
              <w:spacing w:after="0" w:line="169" w:lineRule="exact"/>
              <w:rPr>
                <w:rFonts w:ascii="Arial" w:cs="Arial" w:eastAsia="Arial" w:hAnsi="Arial"/>
                <w:sz w:val="18"/>
                <w:szCs w:val="18"/>
                <w:color w:val="auto"/>
                <w:w w:val="98"/>
              </w:rPr>
            </w:pPr>
            <w:hyperlink r:id="rId219">
              <w:r>
                <w:rPr>
                  <w:rFonts w:ascii="Arial" w:cs="Arial" w:eastAsia="Arial" w:hAnsi="Arial"/>
                  <w:sz w:val="18"/>
                  <w:szCs w:val="18"/>
                  <w:color w:val="auto"/>
                  <w:w w:val="98"/>
                </w:rPr>
                <w:t>among Micron Technology, Inc., as borrower, Wells Fargo Bank,</w:t>
              </w:r>
            </w:hyperlink>
          </w:p>
        </w:tc>
        <w:tc>
          <w:tcPr>
            <w:tcW w:w="380" w:type="dxa"/>
            <w:vAlign w:val="bottom"/>
            <w:tcBorders>
              <w:top w:val="single" w:sz="8" w:color="auto"/>
              <w:bottom w:val="single" w:sz="8" w:color="D1D2D4"/>
            </w:tcBorders>
            <w:gridSpan w:val="10"/>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80" w:type="dxa"/>
            <w:vAlign w:val="bottom"/>
            <w:tcBorders>
              <w:top w:val="single" w:sz="8" w:color="D1D2D4"/>
              <w:bottom w:val="single" w:sz="8" w:color="D1D2D4"/>
            </w:tcBorders>
            <w:gridSpan w:val="2"/>
            <w:shd w:val="clear" w:color="auto" w:fill="D1D2D4"/>
          </w:tcPr>
          <w:p>
            <w:pPr>
              <w:spacing w:after="0"/>
              <w:rPr>
                <w:sz w:val="14"/>
                <w:szCs w:val="14"/>
                <w:color w:val="auto"/>
              </w:rPr>
            </w:pPr>
          </w:p>
        </w:tc>
        <w:tc>
          <w:tcPr>
            <w:tcW w:w="1740" w:type="dxa"/>
            <w:vAlign w:val="bottom"/>
            <w:tcBorders>
              <w:top w:val="single" w:sz="8" w:color="D1D2D4"/>
              <w:bottom w:val="single" w:sz="8" w:color="D1D2D4"/>
            </w:tcBorders>
            <w:shd w:val="clear" w:color="auto" w:fill="D1D2D4"/>
          </w:tcPr>
          <w:p>
            <w:pPr>
              <w:spacing w:after="0"/>
              <w:rPr>
                <w:sz w:val="14"/>
                <w:szCs w:val="14"/>
                <w:color w:val="auto"/>
              </w:rPr>
            </w:pPr>
          </w:p>
        </w:tc>
        <w:tc>
          <w:tcPr>
            <w:tcW w:w="860" w:type="dxa"/>
            <w:vAlign w:val="bottom"/>
            <w:tcBorders>
              <w:top w:val="single" w:sz="8" w:color="D1D2D4"/>
              <w:bottom w:val="single" w:sz="8" w:color="D1D2D4"/>
            </w:tcBorders>
            <w:shd w:val="clear" w:color="auto" w:fill="D1D2D4"/>
          </w:tcPr>
          <w:p>
            <w:pPr>
              <w:spacing w:after="0"/>
              <w:rPr>
                <w:sz w:val="14"/>
                <w:szCs w:val="14"/>
                <w:color w:val="auto"/>
              </w:rPr>
            </w:pPr>
          </w:p>
        </w:tc>
        <w:tc>
          <w:tcPr>
            <w:tcW w:w="1080" w:type="dxa"/>
            <w:vAlign w:val="bottom"/>
            <w:tcBorders>
              <w:top w:val="single" w:sz="8" w:color="D1D2D4"/>
              <w:bottom w:val="single" w:sz="8" w:color="D1D2D4"/>
            </w:tcBorders>
            <w:shd w:val="clear" w:color="auto" w:fill="D1D2D4"/>
          </w:tcPr>
          <w:p>
            <w:pPr>
              <w:spacing w:after="0"/>
              <w:rPr>
                <w:sz w:val="14"/>
                <w:szCs w:val="14"/>
                <w:color w:val="auto"/>
              </w:rPr>
            </w:pPr>
          </w:p>
        </w:tc>
        <w:tc>
          <w:tcPr>
            <w:tcW w:w="960" w:type="dxa"/>
            <w:vAlign w:val="bottom"/>
            <w:tcBorders>
              <w:top w:val="single" w:sz="8" w:color="D1D2D4"/>
              <w:bottom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shd w:val="clear" w:color="auto" w:fill="D1D2D4"/>
          </w:tcPr>
          <w:p>
            <w:pPr>
              <w:spacing w:after="0"/>
              <w:rPr>
                <w:sz w:val="13"/>
                <w:szCs w:val="13"/>
                <w:color w:val="auto"/>
              </w:rPr>
            </w:pPr>
          </w:p>
        </w:tc>
        <w:tc>
          <w:tcPr>
            <w:tcW w:w="5620" w:type="dxa"/>
            <w:vAlign w:val="bottom"/>
            <w:gridSpan w:val="37"/>
            <w:shd w:val="clear" w:color="auto" w:fill="D1D2D4"/>
          </w:tcPr>
          <w:p>
            <w:pPr>
              <w:spacing w:after="0" w:line="156" w:lineRule="exact"/>
              <w:rPr>
                <w:rFonts w:ascii="Arial" w:cs="Arial" w:eastAsia="Arial" w:hAnsi="Arial"/>
                <w:sz w:val="18"/>
                <w:szCs w:val="18"/>
                <w:color w:val="auto"/>
              </w:rPr>
            </w:pPr>
            <w:hyperlink r:id="rId219">
              <w:r>
                <w:rPr>
                  <w:rFonts w:ascii="Arial" w:cs="Arial" w:eastAsia="Arial" w:hAnsi="Arial"/>
                  <w:sz w:val="18"/>
                  <w:szCs w:val="18"/>
                  <w:color w:val="auto"/>
                </w:rPr>
                <w:t>National Association, as administrative agent, and the lenders party</w:t>
              </w:r>
            </w:hyperlink>
          </w:p>
        </w:tc>
        <w:tc>
          <w:tcPr>
            <w:tcW w:w="174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tcBorders>
            <w:shd w:val="clear" w:color="auto" w:fill="D1D2D4"/>
          </w:tcPr>
          <w:p>
            <w:pPr>
              <w:spacing w:after="0"/>
              <w:rPr>
                <w:sz w:val="13"/>
                <w:szCs w:val="13"/>
                <w:color w:val="auto"/>
              </w:rPr>
            </w:pPr>
          </w:p>
        </w:tc>
        <w:tc>
          <w:tcPr>
            <w:tcW w:w="5380" w:type="dxa"/>
            <w:vAlign w:val="bottom"/>
            <w:tcBorders>
              <w:top w:val="single" w:sz="8" w:color="auto"/>
            </w:tcBorders>
            <w:gridSpan w:val="27"/>
            <w:shd w:val="clear" w:color="auto" w:fill="D1D2D4"/>
          </w:tcPr>
          <w:p>
            <w:pPr>
              <w:spacing w:after="0" w:line="156" w:lineRule="exact"/>
              <w:rPr>
                <w:rFonts w:ascii="Arial" w:cs="Arial" w:eastAsia="Arial" w:hAnsi="Arial"/>
                <w:sz w:val="18"/>
                <w:szCs w:val="18"/>
                <w:color w:val="auto"/>
              </w:rPr>
            </w:pPr>
            <w:hyperlink r:id="rId219">
              <w:r>
                <w:rPr>
                  <w:rFonts w:ascii="Arial" w:cs="Arial" w:eastAsia="Arial" w:hAnsi="Arial"/>
                  <w:sz w:val="18"/>
                  <w:szCs w:val="18"/>
                  <w:color w:val="auto"/>
                </w:rPr>
                <w:t>thereto</w:t>
              </w:r>
            </w:hyperlink>
          </w:p>
        </w:tc>
        <w:tc>
          <w:tcPr>
            <w:tcW w:w="40" w:type="dxa"/>
            <w:vAlign w:val="bottom"/>
            <w:tcBorders>
              <w:top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gridSpan w:val="2"/>
            <w:shd w:val="clear" w:color="auto" w:fill="D1D2D4"/>
          </w:tcPr>
          <w:p>
            <w:pPr>
              <w:spacing w:after="0"/>
              <w:rPr>
                <w:sz w:val="13"/>
                <w:szCs w:val="13"/>
                <w:color w:val="auto"/>
              </w:rPr>
            </w:pPr>
          </w:p>
        </w:tc>
        <w:tc>
          <w:tcPr>
            <w:tcW w:w="174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D1D2D4"/>
            </w:tcBorders>
            <w:shd w:val="clear" w:color="auto" w:fill="D1D2D4"/>
          </w:tcPr>
          <w:p>
            <w:pPr>
              <w:spacing w:after="0"/>
              <w:rPr>
                <w:sz w:val="2"/>
                <w:szCs w:val="2"/>
                <w:color w:val="auto"/>
              </w:rPr>
            </w:pPr>
          </w:p>
        </w:tc>
        <w:tc>
          <w:tcPr>
            <w:tcW w:w="560" w:type="dxa"/>
            <w:vAlign w:val="bottom"/>
            <w:tcBorders>
              <w:top w:val="single" w:sz="8" w:color="auto"/>
            </w:tcBorders>
            <w:shd w:val="clear" w:color="auto" w:fill="D1D2D4"/>
          </w:tcPr>
          <w:p>
            <w:pPr>
              <w:spacing w:after="0"/>
              <w:rPr>
                <w:sz w:val="2"/>
                <w:szCs w:val="2"/>
                <w:color w:val="auto"/>
              </w:rPr>
            </w:pPr>
          </w:p>
        </w:tc>
        <w:tc>
          <w:tcPr>
            <w:tcW w:w="300" w:type="dxa"/>
            <w:vAlign w:val="bottom"/>
            <w:tcBorders>
              <w:top w:val="single" w:sz="8" w:color="D1D2D4"/>
            </w:tcBorders>
            <w:shd w:val="clear" w:color="auto" w:fill="D1D2D4"/>
          </w:tcPr>
          <w:p>
            <w:pPr>
              <w:spacing w:after="0"/>
              <w:rPr>
                <w:sz w:val="2"/>
                <w:szCs w:val="2"/>
                <w:color w:val="auto"/>
              </w:rPr>
            </w:pPr>
          </w:p>
        </w:tc>
        <w:tc>
          <w:tcPr>
            <w:tcW w:w="1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660" w:type="dxa"/>
            <w:vAlign w:val="bottom"/>
            <w:tcBorders>
              <w:top w:val="single" w:sz="8" w:color="D1D2D4"/>
            </w:tcBorders>
            <w:shd w:val="clear" w:color="auto" w:fill="D1D2D4"/>
          </w:tcPr>
          <w:p>
            <w:pPr>
              <w:spacing w:after="0"/>
              <w:rPr>
                <w:sz w:val="2"/>
                <w:szCs w:val="2"/>
                <w:color w:val="auto"/>
              </w:rPr>
            </w:pPr>
          </w:p>
        </w:tc>
        <w:tc>
          <w:tcPr>
            <w:tcW w:w="280" w:type="dxa"/>
            <w:vAlign w:val="bottom"/>
            <w:tcBorders>
              <w:top w:val="single" w:sz="8" w:color="D1D2D4"/>
            </w:tcBorders>
            <w:shd w:val="clear" w:color="auto" w:fill="D1D2D4"/>
          </w:tcPr>
          <w:p>
            <w:pPr>
              <w:spacing w:after="0"/>
              <w:rPr>
                <w:sz w:val="2"/>
                <w:szCs w:val="2"/>
                <w:color w:val="auto"/>
              </w:rPr>
            </w:pPr>
          </w:p>
        </w:tc>
        <w:tc>
          <w:tcPr>
            <w:tcW w:w="500" w:type="dxa"/>
            <w:vAlign w:val="bottom"/>
            <w:tcBorders>
              <w:top w:val="single" w:sz="8" w:color="D1D2D4"/>
            </w:tcBorders>
            <w:shd w:val="clear" w:color="auto" w:fill="D1D2D4"/>
          </w:tcPr>
          <w:p>
            <w:pPr>
              <w:spacing w:after="0"/>
              <w:rPr>
                <w:sz w:val="2"/>
                <w:szCs w:val="2"/>
                <w:color w:val="auto"/>
              </w:rPr>
            </w:pPr>
          </w:p>
        </w:tc>
        <w:tc>
          <w:tcPr>
            <w:tcW w:w="46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400" w:type="dxa"/>
            <w:vAlign w:val="bottom"/>
            <w:tcBorders>
              <w:top w:val="single" w:sz="8" w:color="D1D2D4"/>
            </w:tcBorders>
            <w:shd w:val="clear" w:color="auto" w:fill="D1D2D4"/>
          </w:tcPr>
          <w:p>
            <w:pPr>
              <w:spacing w:after="0"/>
              <w:rPr>
                <w:sz w:val="2"/>
                <w:szCs w:val="2"/>
                <w:color w:val="auto"/>
              </w:rPr>
            </w:pPr>
          </w:p>
        </w:tc>
        <w:tc>
          <w:tcPr>
            <w:tcW w:w="18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120" w:type="dxa"/>
            <w:vAlign w:val="bottom"/>
            <w:tcBorders>
              <w:top w:val="single" w:sz="8" w:color="D1D2D4"/>
            </w:tcBorders>
            <w:shd w:val="clear" w:color="auto" w:fill="D1D2D4"/>
          </w:tcPr>
          <w:p>
            <w:pPr>
              <w:spacing w:after="0"/>
              <w:rPr>
                <w:sz w:val="2"/>
                <w:szCs w:val="2"/>
                <w:color w:val="auto"/>
              </w:rPr>
            </w:pPr>
          </w:p>
        </w:tc>
        <w:tc>
          <w:tcPr>
            <w:tcW w:w="340" w:type="dxa"/>
            <w:vAlign w:val="bottom"/>
            <w:tcBorders>
              <w:top w:val="single" w:sz="8" w:color="D1D2D4"/>
            </w:tcBorders>
            <w:shd w:val="clear" w:color="auto" w:fill="D1D2D4"/>
          </w:tcPr>
          <w:p>
            <w:pPr>
              <w:spacing w:after="0"/>
              <w:rPr>
                <w:sz w:val="2"/>
                <w:szCs w:val="2"/>
                <w:color w:val="auto"/>
              </w:rPr>
            </w:pPr>
          </w:p>
        </w:tc>
        <w:tc>
          <w:tcPr>
            <w:tcW w:w="440" w:type="dxa"/>
            <w:vAlign w:val="bottom"/>
            <w:tcBorders>
              <w:top w:val="single" w:sz="8" w:color="D1D2D4"/>
            </w:tcBorders>
            <w:shd w:val="clear" w:color="auto" w:fill="D1D2D4"/>
          </w:tcPr>
          <w:p>
            <w:pPr>
              <w:spacing w:after="0"/>
              <w:rPr>
                <w:sz w:val="2"/>
                <w:szCs w:val="2"/>
                <w:color w:val="auto"/>
              </w:rPr>
            </w:pPr>
          </w:p>
        </w:tc>
        <w:tc>
          <w:tcPr>
            <w:tcW w:w="60" w:type="dxa"/>
            <w:vAlign w:val="bottom"/>
            <w:tcBorders>
              <w:top w:val="single" w:sz="8" w:color="D1D2D4"/>
            </w:tcBorders>
            <w:shd w:val="clear" w:color="auto" w:fill="D1D2D4"/>
          </w:tcPr>
          <w:p>
            <w:pPr>
              <w:spacing w:after="0"/>
              <w:rPr>
                <w:sz w:val="2"/>
                <w:szCs w:val="2"/>
                <w:color w:val="auto"/>
              </w:rPr>
            </w:pPr>
          </w:p>
        </w:tc>
        <w:tc>
          <w:tcPr>
            <w:tcW w:w="140" w:type="dxa"/>
            <w:vAlign w:val="bottom"/>
            <w:tcBorders>
              <w:top w:val="single" w:sz="8" w:color="D1D2D4"/>
            </w:tcBorders>
            <w:shd w:val="clear" w:color="auto" w:fill="D1D2D4"/>
          </w:tcPr>
          <w:p>
            <w:pPr>
              <w:spacing w:after="0"/>
              <w:rPr>
                <w:sz w:val="2"/>
                <w:szCs w:val="2"/>
                <w:color w:val="auto"/>
              </w:rPr>
            </w:pPr>
          </w:p>
        </w:tc>
        <w:tc>
          <w:tcPr>
            <w:tcW w:w="26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left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tcBorders>
            <w:shd w:val="clear" w:color="auto" w:fill="D1D2D4"/>
          </w:tcPr>
          <w:p>
            <w:pPr>
              <w:spacing w:after="0"/>
              <w:rPr>
                <w:sz w:val="2"/>
                <w:szCs w:val="2"/>
                <w:color w:val="auto"/>
              </w:rPr>
            </w:pPr>
          </w:p>
        </w:tc>
        <w:tc>
          <w:tcPr>
            <w:tcW w:w="1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60" w:type="dxa"/>
            <w:vAlign w:val="bottom"/>
            <w:tcBorders>
              <w:top w:val="single" w:sz="8" w:color="D1D2D4"/>
            </w:tcBorders>
            <w:shd w:val="clear" w:color="auto" w:fill="D1D2D4"/>
          </w:tcPr>
          <w:p>
            <w:pPr>
              <w:spacing w:after="0"/>
              <w:rPr>
                <w:sz w:val="2"/>
                <w:szCs w:val="2"/>
                <w:color w:val="auto"/>
              </w:rPr>
            </w:pPr>
          </w:p>
        </w:tc>
        <w:tc>
          <w:tcPr>
            <w:tcW w:w="1740" w:type="dxa"/>
            <w:vAlign w:val="bottom"/>
            <w:tcBorders>
              <w:top w:val="single" w:sz="8" w:color="D1D2D4"/>
            </w:tcBorders>
            <w:shd w:val="clear" w:color="auto" w:fill="D1D2D4"/>
          </w:tcPr>
          <w:p>
            <w:pPr>
              <w:spacing w:after="0"/>
              <w:rPr>
                <w:sz w:val="2"/>
                <w:szCs w:val="2"/>
                <w:color w:val="auto"/>
              </w:rPr>
            </w:pPr>
          </w:p>
        </w:tc>
        <w:tc>
          <w:tcPr>
            <w:tcW w:w="860" w:type="dxa"/>
            <w:vAlign w:val="bottom"/>
            <w:tcBorders>
              <w:top w:val="single" w:sz="8" w:color="D1D2D4"/>
            </w:tcBorders>
            <w:shd w:val="clear" w:color="auto" w:fill="D1D2D4"/>
          </w:tcPr>
          <w:p>
            <w:pPr>
              <w:spacing w:after="0"/>
              <w:rPr>
                <w:sz w:val="2"/>
                <w:szCs w:val="2"/>
                <w:color w:val="auto"/>
              </w:rPr>
            </w:pPr>
          </w:p>
        </w:tc>
        <w:tc>
          <w:tcPr>
            <w:tcW w:w="1080" w:type="dxa"/>
            <w:vAlign w:val="bottom"/>
            <w:tcBorders>
              <w:top w:val="single" w:sz="8" w:color="D1D2D4"/>
            </w:tcBorders>
            <w:shd w:val="clear" w:color="auto" w:fill="D1D2D4"/>
          </w:tcPr>
          <w:p>
            <w:pPr>
              <w:spacing w:after="0"/>
              <w:rPr>
                <w:sz w:val="2"/>
                <w:szCs w:val="2"/>
                <w:color w:val="auto"/>
              </w:rPr>
            </w:pPr>
          </w:p>
        </w:tc>
        <w:tc>
          <w:tcPr>
            <w:tcW w:w="960" w:type="dxa"/>
            <w:vAlign w:val="bottom"/>
            <w:tcBorders>
              <w:top w:val="single" w:sz="8" w:color="D1D2D4"/>
            </w:tcBorders>
            <w:shd w:val="clear" w:color="auto" w:fill="D1D2D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10.21</w:t>
            </w:r>
          </w:p>
        </w:tc>
        <w:tc>
          <w:tcPr>
            <w:tcW w:w="5620" w:type="dxa"/>
            <w:vAlign w:val="bottom"/>
            <w:gridSpan w:val="37"/>
          </w:tcPr>
          <w:p>
            <w:pPr>
              <w:spacing w:after="0" w:line="189" w:lineRule="exact"/>
              <w:rPr>
                <w:rFonts w:ascii="Arial" w:cs="Arial" w:eastAsia="Arial" w:hAnsi="Arial"/>
                <w:sz w:val="18"/>
                <w:szCs w:val="18"/>
                <w:color w:val="auto"/>
              </w:rPr>
            </w:pPr>
            <w:hyperlink r:id="rId220">
              <w:r>
                <w:rPr>
                  <w:rFonts w:ascii="Arial" w:cs="Arial" w:eastAsia="Arial" w:hAnsi="Arial"/>
                  <w:sz w:val="18"/>
                  <w:szCs w:val="18"/>
                  <w:color w:val="auto"/>
                </w:rPr>
                <w:t>Amendment No. 1 to Term Loan Credit Agreement, dated as of</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3/2/23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780" w:type="dxa"/>
            <w:vAlign w:val="bottom"/>
            <w:gridSpan w:val="8"/>
            <w:shd w:val="clear" w:color="auto" w:fill="000000"/>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620" w:type="dxa"/>
            <w:vAlign w:val="bottom"/>
            <w:gridSpan w:val="37"/>
          </w:tcPr>
          <w:p>
            <w:pPr>
              <w:spacing w:after="0" w:line="156" w:lineRule="exact"/>
              <w:rPr>
                <w:rFonts w:ascii="Arial" w:cs="Arial" w:eastAsia="Arial" w:hAnsi="Arial"/>
                <w:sz w:val="18"/>
                <w:szCs w:val="18"/>
                <w:color w:val="auto"/>
              </w:rPr>
            </w:pPr>
            <w:hyperlink r:id="rId220">
              <w:r>
                <w:rPr>
                  <w:rFonts w:ascii="Arial" w:cs="Arial" w:eastAsia="Arial" w:hAnsi="Arial"/>
                  <w:sz w:val="18"/>
                  <w:szCs w:val="18"/>
                  <w:color w:val="auto"/>
                </w:rPr>
                <w:t>March 27, 2023, by and among Micron Technology, Inc., as borrower,</w:t>
              </w:r>
            </w:hyperlink>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540" w:type="dxa"/>
            <w:vAlign w:val="bottom"/>
            <w:tcBorders>
              <w:top w:val="single" w:sz="8" w:color="auto"/>
            </w:tcBorders>
            <w:gridSpan w:val="35"/>
          </w:tcPr>
          <w:p>
            <w:pPr>
              <w:spacing w:after="0" w:line="169" w:lineRule="exact"/>
              <w:rPr>
                <w:rFonts w:ascii="Arial" w:cs="Arial" w:eastAsia="Arial" w:hAnsi="Arial"/>
                <w:sz w:val="18"/>
                <w:szCs w:val="18"/>
                <w:color w:val="auto"/>
              </w:rPr>
            </w:pPr>
            <w:hyperlink r:id="rId220">
              <w:r>
                <w:rPr>
                  <w:rFonts w:ascii="Arial" w:cs="Arial" w:eastAsia="Arial" w:hAnsi="Arial"/>
                  <w:sz w:val="18"/>
                  <w:szCs w:val="18"/>
                  <w:color w:val="auto"/>
                </w:rPr>
                <w:t>Wells Fargo Bank, National Association, as administrative agent, and</w:t>
              </w:r>
            </w:hyperlink>
          </w:p>
        </w:tc>
        <w:tc>
          <w:tcPr>
            <w:tcW w:w="80" w:type="dxa"/>
            <w:vAlign w:val="bottom"/>
            <w:gridSpan w:val="2"/>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520" w:type="dxa"/>
            <w:vAlign w:val="bottom"/>
            <w:tcBorders>
              <w:top w:val="single" w:sz="8" w:color="auto"/>
            </w:tcBorders>
            <w:gridSpan w:val="34"/>
          </w:tcPr>
          <w:p>
            <w:pPr>
              <w:spacing w:after="0" w:line="156" w:lineRule="exact"/>
              <w:rPr>
                <w:rFonts w:ascii="Arial" w:cs="Arial" w:eastAsia="Arial" w:hAnsi="Arial"/>
                <w:sz w:val="18"/>
                <w:szCs w:val="18"/>
                <w:color w:val="auto"/>
              </w:rPr>
            </w:pPr>
            <w:hyperlink r:id="rId220">
              <w:r>
                <w:rPr>
                  <w:rFonts w:ascii="Arial" w:cs="Arial" w:eastAsia="Arial" w:hAnsi="Arial"/>
                  <w:sz w:val="18"/>
                  <w:szCs w:val="18"/>
                  <w:color w:val="auto"/>
                </w:rPr>
                <w:t>the lenders party thereto</w:t>
              </w:r>
            </w:hyperlink>
          </w:p>
        </w:tc>
        <w:tc>
          <w:tcPr>
            <w:tcW w:w="100" w:type="dxa"/>
            <w:vAlign w:val="bottom"/>
            <w:gridSpan w:val="3"/>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10.22</w:t>
            </w:r>
          </w:p>
        </w:tc>
        <w:tc>
          <w:tcPr>
            <w:tcW w:w="5620" w:type="dxa"/>
            <w:vAlign w:val="bottom"/>
            <w:gridSpan w:val="37"/>
            <w:shd w:val="clear" w:color="auto" w:fill="D1D2D4"/>
          </w:tcPr>
          <w:p>
            <w:pPr>
              <w:spacing w:after="0" w:line="189" w:lineRule="exact"/>
              <w:rPr>
                <w:rFonts w:ascii="Arial" w:cs="Arial" w:eastAsia="Arial" w:hAnsi="Arial"/>
                <w:sz w:val="18"/>
                <w:szCs w:val="18"/>
                <w:color w:val="auto"/>
              </w:rPr>
            </w:pPr>
            <w:hyperlink r:id="rId221">
              <w:r>
                <w:rPr>
                  <w:rFonts w:ascii="Arial" w:cs="Arial" w:eastAsia="Arial" w:hAnsi="Arial"/>
                  <w:sz w:val="18"/>
                  <w:szCs w:val="18"/>
                  <w:color w:val="auto"/>
                </w:rPr>
                <w:t>Amendment No. 2 to Term Loan Credit Agreement, dated as of</w:t>
              </w:r>
            </w:hyperlink>
          </w:p>
        </w:tc>
        <w:tc>
          <w:tcPr>
            <w:tcW w:w="1740" w:type="dxa"/>
            <w:vAlign w:val="bottom"/>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3/2/23</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980" w:type="dxa"/>
            <w:vAlign w:val="bottom"/>
            <w:shd w:val="clear" w:color="auto" w:fill="D1D2D4"/>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2720" w:type="dxa"/>
            <w:vAlign w:val="bottom"/>
            <w:gridSpan w:val="10"/>
            <w:shd w:val="clear" w:color="auto" w:fill="000000"/>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D1D2D4"/>
            </w:tcBorders>
            <w:gridSpan w:val="3"/>
            <w:shd w:val="clear" w:color="auto" w:fill="D1D2D4"/>
          </w:tcPr>
          <w:p>
            <w:pPr>
              <w:spacing w:after="0" w:line="20" w:lineRule="exact"/>
              <w:rPr>
                <w:sz w:val="1"/>
                <w:szCs w:val="1"/>
                <w:color w:val="auto"/>
              </w:rPr>
            </w:pPr>
          </w:p>
        </w:tc>
        <w:tc>
          <w:tcPr>
            <w:tcW w:w="240" w:type="dxa"/>
            <w:vAlign w:val="bottom"/>
            <w:gridSpan w:val="6"/>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120" w:type="dxa"/>
            <w:vAlign w:val="bottom"/>
            <w:gridSpan w:val="4"/>
            <w:shd w:val="clear" w:color="auto" w:fill="D1D2D4"/>
          </w:tcPr>
          <w:p>
            <w:pPr>
              <w:spacing w:after="0" w:line="20" w:lineRule="exact"/>
              <w:rPr>
                <w:sz w:val="1"/>
                <w:szCs w:val="1"/>
                <w:color w:val="auto"/>
              </w:rPr>
            </w:pPr>
          </w:p>
        </w:tc>
        <w:tc>
          <w:tcPr>
            <w:tcW w:w="1740" w:type="dxa"/>
            <w:vAlign w:val="bottom"/>
            <w:shd w:val="clear" w:color="auto" w:fill="D1D2D4"/>
          </w:tcPr>
          <w:p>
            <w:pPr>
              <w:spacing w:after="0" w:line="20" w:lineRule="exact"/>
              <w:rPr>
                <w:sz w:val="1"/>
                <w:szCs w:val="1"/>
                <w:color w:val="auto"/>
              </w:rPr>
            </w:pPr>
          </w:p>
        </w:tc>
        <w:tc>
          <w:tcPr>
            <w:tcW w:w="86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96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shd w:val="clear" w:color="auto" w:fill="D1D2D4"/>
          </w:tcPr>
          <w:p>
            <w:pPr>
              <w:spacing w:after="0"/>
              <w:rPr>
                <w:sz w:val="13"/>
                <w:szCs w:val="13"/>
                <w:color w:val="auto"/>
              </w:rPr>
            </w:pPr>
          </w:p>
        </w:tc>
        <w:tc>
          <w:tcPr>
            <w:tcW w:w="5620" w:type="dxa"/>
            <w:vAlign w:val="bottom"/>
            <w:gridSpan w:val="37"/>
            <w:shd w:val="clear" w:color="auto" w:fill="D1D2D4"/>
          </w:tcPr>
          <w:p>
            <w:pPr>
              <w:spacing w:after="0" w:line="156" w:lineRule="exact"/>
              <w:rPr>
                <w:rFonts w:ascii="Arial" w:cs="Arial" w:eastAsia="Arial" w:hAnsi="Arial"/>
                <w:sz w:val="18"/>
                <w:szCs w:val="18"/>
                <w:color w:val="auto"/>
              </w:rPr>
            </w:pPr>
            <w:hyperlink r:id="rId221">
              <w:r>
                <w:rPr>
                  <w:rFonts w:ascii="Arial" w:cs="Arial" w:eastAsia="Arial" w:hAnsi="Arial"/>
                  <w:sz w:val="18"/>
                  <w:szCs w:val="18"/>
                  <w:color w:val="auto"/>
                </w:rPr>
                <w:t>March 27, 2023, by and among Micron Technology, Inc., as borrower,</w:t>
              </w:r>
            </w:hyperlink>
          </w:p>
        </w:tc>
        <w:tc>
          <w:tcPr>
            <w:tcW w:w="174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540" w:type="dxa"/>
            <w:vAlign w:val="bottom"/>
            <w:tcBorders>
              <w:top w:val="single" w:sz="8" w:color="auto"/>
            </w:tcBorders>
            <w:gridSpan w:val="35"/>
            <w:shd w:val="clear" w:color="auto" w:fill="D1D2D4"/>
          </w:tcPr>
          <w:p>
            <w:pPr>
              <w:spacing w:after="0" w:line="169" w:lineRule="exact"/>
              <w:rPr>
                <w:rFonts w:ascii="Arial" w:cs="Arial" w:eastAsia="Arial" w:hAnsi="Arial"/>
                <w:sz w:val="18"/>
                <w:szCs w:val="18"/>
                <w:color w:val="auto"/>
              </w:rPr>
            </w:pPr>
            <w:hyperlink r:id="rId221">
              <w:r>
                <w:rPr>
                  <w:rFonts w:ascii="Arial" w:cs="Arial" w:eastAsia="Arial" w:hAnsi="Arial"/>
                  <w:sz w:val="18"/>
                  <w:szCs w:val="18"/>
                  <w:color w:val="auto"/>
                </w:rPr>
                <w:t>Wells Fargo Bank, National Association, as administrative agent, and</w:t>
              </w:r>
            </w:hyperlink>
          </w:p>
        </w:tc>
        <w:tc>
          <w:tcPr>
            <w:tcW w:w="80" w:type="dxa"/>
            <w:vAlign w:val="bottom"/>
            <w:tcBorders>
              <w:top w:val="single" w:sz="8" w:color="D1D2D4"/>
            </w:tcBorders>
            <w:gridSpan w:val="2"/>
            <w:shd w:val="clear" w:color="auto" w:fill="D1D2D4"/>
          </w:tcPr>
          <w:p>
            <w:pPr>
              <w:spacing w:after="0"/>
              <w:rPr>
                <w:sz w:val="14"/>
                <w:szCs w:val="14"/>
                <w:color w:val="auto"/>
              </w:rPr>
            </w:pPr>
          </w:p>
        </w:tc>
        <w:tc>
          <w:tcPr>
            <w:tcW w:w="174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196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221">
              <w:r>
                <w:rPr>
                  <w:rFonts w:ascii="Arial" w:cs="Arial" w:eastAsia="Arial" w:hAnsi="Arial"/>
                  <w:sz w:val="18"/>
                  <w:szCs w:val="18"/>
                  <w:color w:val="auto"/>
                  <w:w w:val="99"/>
                </w:rPr>
                <w:t>the lenders party thereto</w:t>
              </w:r>
            </w:hyperlink>
          </w:p>
        </w:tc>
        <w:tc>
          <w:tcPr>
            <w:tcW w:w="3560" w:type="dxa"/>
            <w:vAlign w:val="bottom"/>
            <w:tcBorders>
              <w:top w:val="single" w:sz="8" w:color="auto"/>
              <w:bottom w:val="single" w:sz="8" w:color="D1D2D4"/>
            </w:tcBorders>
            <w:gridSpan w:val="28"/>
            <w:shd w:val="clear" w:color="auto" w:fill="D1D2D4"/>
          </w:tcPr>
          <w:p>
            <w:pPr>
              <w:spacing w:after="0"/>
              <w:rPr>
                <w:sz w:val="15"/>
                <w:szCs w:val="15"/>
                <w:color w:val="auto"/>
              </w:rPr>
            </w:pPr>
          </w:p>
        </w:tc>
        <w:tc>
          <w:tcPr>
            <w:tcW w:w="10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74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10.23</w:t>
            </w:r>
          </w:p>
        </w:tc>
        <w:tc>
          <w:tcPr>
            <w:tcW w:w="5620" w:type="dxa"/>
            <w:vAlign w:val="bottom"/>
            <w:gridSpan w:val="37"/>
          </w:tcPr>
          <w:p>
            <w:pPr>
              <w:spacing w:after="0" w:line="189" w:lineRule="exact"/>
              <w:rPr>
                <w:rFonts w:ascii="Arial" w:cs="Arial" w:eastAsia="Arial" w:hAnsi="Arial"/>
                <w:sz w:val="18"/>
                <w:szCs w:val="18"/>
                <w:color w:val="auto"/>
              </w:rPr>
            </w:pPr>
            <w:hyperlink r:id="rId222">
              <w:r>
                <w:rPr>
                  <w:rFonts w:ascii="Arial" w:cs="Arial" w:eastAsia="Arial" w:hAnsi="Arial"/>
                  <w:sz w:val="18"/>
                  <w:szCs w:val="18"/>
                  <w:color w:val="auto"/>
                </w:rPr>
                <w:t>Amendment No. 1 to Credit Agreement, dated as of March 27, 2023,</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3/2/23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180" w:type="dxa"/>
            <w:vAlign w:val="bottom"/>
            <w:tcBorders>
              <w:top w:val="single" w:sz="8" w:color="auto"/>
              <w:bottom w:val="single" w:sz="8" w:color="auto"/>
            </w:tcBorders>
            <w:gridSpan w:val="23"/>
          </w:tcPr>
          <w:p>
            <w:pPr>
              <w:spacing w:after="0" w:line="156" w:lineRule="exact"/>
              <w:rPr>
                <w:rFonts w:ascii="Arial" w:cs="Arial" w:eastAsia="Arial" w:hAnsi="Arial"/>
                <w:sz w:val="18"/>
                <w:szCs w:val="18"/>
                <w:color w:val="auto"/>
                <w:w w:val="98"/>
              </w:rPr>
            </w:pPr>
            <w:hyperlink r:id="rId222">
              <w:r>
                <w:rPr>
                  <w:rFonts w:ascii="Arial" w:cs="Arial" w:eastAsia="Arial" w:hAnsi="Arial"/>
                  <w:sz w:val="18"/>
                  <w:szCs w:val="18"/>
                  <w:color w:val="auto"/>
                  <w:w w:val="98"/>
                </w:rPr>
                <w:t>by and among Micron Technology, Inc., as borrower, HSBC Bank</w:t>
              </w:r>
            </w:hyperlink>
          </w:p>
        </w:tc>
        <w:tc>
          <w:tcPr>
            <w:tcW w:w="280" w:type="dxa"/>
            <w:vAlign w:val="bottom"/>
            <w:tcBorders>
              <w:top w:val="single" w:sz="8" w:color="auto"/>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620" w:type="dxa"/>
            <w:vAlign w:val="bottom"/>
            <w:gridSpan w:val="37"/>
          </w:tcPr>
          <w:p>
            <w:pPr>
              <w:spacing w:after="0" w:line="169" w:lineRule="exact"/>
              <w:rPr>
                <w:rFonts w:ascii="Arial" w:cs="Arial" w:eastAsia="Arial" w:hAnsi="Arial"/>
                <w:sz w:val="18"/>
                <w:szCs w:val="18"/>
                <w:color w:val="auto"/>
              </w:rPr>
            </w:pPr>
            <w:hyperlink r:id="rId222">
              <w:r>
                <w:rPr>
                  <w:rFonts w:ascii="Arial" w:cs="Arial" w:eastAsia="Arial" w:hAnsi="Arial"/>
                  <w:sz w:val="18"/>
                  <w:szCs w:val="18"/>
                  <w:color w:val="auto"/>
                </w:rPr>
                <w:t>USA, National Association, as administrative agent, and the lenders</w:t>
              </w:r>
            </w:hyperlink>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20" w:type="dxa"/>
            <w:vAlign w:val="bottom"/>
            <w:tcBorders>
              <w:top w:val="single" w:sz="8" w:color="auto"/>
            </w:tcBorders>
            <w:gridSpan w:val="29"/>
          </w:tcPr>
          <w:p>
            <w:pPr>
              <w:spacing w:after="0" w:line="156" w:lineRule="exact"/>
              <w:rPr>
                <w:rFonts w:ascii="Arial" w:cs="Arial" w:eastAsia="Arial" w:hAnsi="Arial"/>
                <w:sz w:val="18"/>
                <w:szCs w:val="18"/>
                <w:color w:val="auto"/>
              </w:rPr>
            </w:pPr>
            <w:hyperlink r:id="rId222">
              <w:r>
                <w:rPr>
                  <w:rFonts w:ascii="Arial" w:cs="Arial" w:eastAsia="Arial" w:hAnsi="Arial"/>
                  <w:sz w:val="18"/>
                  <w:szCs w:val="18"/>
                  <w:color w:val="auto"/>
                </w:rPr>
                <w:t>party thereto</w:t>
              </w:r>
            </w:hyperlink>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10.24*</w:t>
            </w:r>
          </w:p>
        </w:tc>
        <w:tc>
          <w:tcPr>
            <w:tcW w:w="3740" w:type="dxa"/>
            <w:vAlign w:val="bottom"/>
            <w:tcBorders>
              <w:bottom w:val="single" w:sz="8" w:color="auto"/>
            </w:tcBorders>
            <w:gridSpan w:val="14"/>
            <w:shd w:val="clear" w:color="auto" w:fill="D1D2D4"/>
          </w:tcPr>
          <w:p>
            <w:pPr>
              <w:spacing w:after="0" w:line="189" w:lineRule="exact"/>
              <w:rPr>
                <w:rFonts w:ascii="Arial" w:cs="Arial" w:eastAsia="Arial" w:hAnsi="Arial"/>
                <w:sz w:val="18"/>
                <w:szCs w:val="18"/>
                <w:color w:val="auto"/>
                <w:w w:val="99"/>
              </w:rPr>
            </w:pPr>
            <w:hyperlink r:id="rId223">
              <w:r>
                <w:rPr>
                  <w:rFonts w:ascii="Arial" w:cs="Arial" w:eastAsia="Arial" w:hAnsi="Arial"/>
                  <w:sz w:val="18"/>
                  <w:szCs w:val="18"/>
                  <w:color w:val="auto"/>
                  <w:w w:val="99"/>
                </w:rPr>
                <w:t>Form of Consent for Named Executive Officers</w:t>
              </w:r>
            </w:hyperlink>
          </w:p>
        </w:tc>
        <w:tc>
          <w:tcPr>
            <w:tcW w:w="1880" w:type="dxa"/>
            <w:vAlign w:val="bottom"/>
            <w:tcBorders>
              <w:bottom w:val="single" w:sz="8" w:color="D1D2D4"/>
            </w:tcBorders>
            <w:gridSpan w:val="23"/>
            <w:shd w:val="clear" w:color="auto" w:fill="D1D2D4"/>
          </w:tcPr>
          <w:p>
            <w:pPr>
              <w:spacing w:after="0"/>
              <w:rPr>
                <w:sz w:val="18"/>
                <w:szCs w:val="18"/>
                <w:color w:val="auto"/>
              </w:rPr>
            </w:pPr>
          </w:p>
        </w:tc>
        <w:tc>
          <w:tcPr>
            <w:tcW w:w="1740" w:type="dxa"/>
            <w:vAlign w:val="bottom"/>
            <w:tcBorders>
              <w:bottom w:val="single" w:sz="8" w:color="D1D2D4"/>
            </w:tcBorders>
            <w:shd w:val="clear" w:color="auto" w:fill="D1D2D4"/>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3/2/23</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10.5</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10.25</w:t>
            </w:r>
          </w:p>
        </w:tc>
        <w:tc>
          <w:tcPr>
            <w:tcW w:w="5620" w:type="dxa"/>
            <w:vAlign w:val="bottom"/>
            <w:gridSpan w:val="37"/>
          </w:tcPr>
          <w:p>
            <w:pPr>
              <w:spacing w:after="0" w:line="189" w:lineRule="exact"/>
              <w:rPr>
                <w:rFonts w:ascii="Arial" w:cs="Arial" w:eastAsia="Arial" w:hAnsi="Arial"/>
                <w:sz w:val="18"/>
                <w:szCs w:val="18"/>
                <w:color w:val="auto"/>
              </w:rPr>
            </w:pPr>
            <w:hyperlink r:id="rId224">
              <w:r>
                <w:rPr>
                  <w:rFonts w:ascii="Arial" w:cs="Arial" w:eastAsia="Arial" w:hAnsi="Arial"/>
                  <w:sz w:val="18"/>
                  <w:szCs w:val="18"/>
                  <w:color w:val="auto"/>
                </w:rPr>
                <w:t>Amendment No. 2 to Credit Agreement, dated as of June 7, 2023, by</w:t>
              </w:r>
            </w:hyperlink>
          </w:p>
        </w:tc>
        <w:tc>
          <w:tcPr>
            <w:tcW w:w="1740" w:type="dxa"/>
            <w:vAlign w:val="bottom"/>
          </w:tcPr>
          <w:p>
            <w:pPr>
              <w:ind w:left="98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6/1/23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500" w:type="dxa"/>
            <w:vAlign w:val="bottom"/>
            <w:tcBorders>
              <w:top w:val="single" w:sz="8" w:color="auto"/>
            </w:tcBorders>
            <w:gridSpan w:val="33"/>
          </w:tcPr>
          <w:p>
            <w:pPr>
              <w:spacing w:after="0" w:line="156" w:lineRule="exact"/>
              <w:rPr>
                <w:rFonts w:ascii="Arial" w:cs="Arial" w:eastAsia="Arial" w:hAnsi="Arial"/>
                <w:sz w:val="18"/>
                <w:szCs w:val="18"/>
                <w:color w:val="auto"/>
              </w:rPr>
            </w:pPr>
            <w:hyperlink r:id="rId224">
              <w:r>
                <w:rPr>
                  <w:rFonts w:ascii="Arial" w:cs="Arial" w:eastAsia="Arial" w:hAnsi="Arial"/>
                  <w:sz w:val="18"/>
                  <w:szCs w:val="18"/>
                  <w:color w:val="auto"/>
                </w:rPr>
                <w:t>HSBC Bank USA, National Association, as administrative agent</w:t>
              </w:r>
            </w:hyperlink>
          </w:p>
        </w:tc>
        <w:tc>
          <w:tcPr>
            <w:tcW w:w="120" w:type="dxa"/>
            <w:vAlign w:val="bottom"/>
            <w:gridSpan w:val="4"/>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9880"/>
        <w:spacing w:after="0"/>
        <w:rPr>
          <w:sz w:val="20"/>
          <w:szCs w:val="20"/>
          <w:color w:val="auto"/>
        </w:rPr>
      </w:pPr>
      <w:r>
        <w:rPr>
          <w:sz w:val="1"/>
          <w:szCs w:val="1"/>
          <w:color w:val="auto"/>
        </w:rPr>
        <w:drawing>
          <wp:inline distT="0" distB="0" distL="0" distR="0">
            <wp:extent cx="660400" cy="1797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660400" cy="179705"/>
                    </a:xfrm>
                    <a:prstGeom prst="rect">
                      <a:avLst/>
                    </a:prstGeom>
                    <a:noFill/>
                    <a:ln>
                      <a:noFill/>
                    </a:ln>
                  </pic:spPr>
                </pic:pic>
              </a:graphicData>
            </a:graphic>
          </wp:inline>
        </w:drawing>
      </w:r>
      <w:r>
        <w:rPr>
          <w:rFonts w:ascii="Arial" w:cs="Arial" w:eastAsia="Arial" w:hAnsi="Arial"/>
          <w:sz w:val="14"/>
          <w:szCs w:val="14"/>
          <w:b w:val="1"/>
          <w:bCs w:val="1"/>
          <w:color w:val="auto"/>
        </w:rPr>
        <w:t xml:space="preserv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gridSpan w:val="15"/>
            <w:vMerge w:val="restart"/>
          </w:tcPr>
          <w:p>
            <w:pPr>
              <w:ind w:left="1180"/>
              <w:spacing w:after="0"/>
              <w:rPr>
                <w:sz w:val="20"/>
                <w:szCs w:val="20"/>
                <w:color w:val="auto"/>
              </w:rPr>
            </w:pPr>
            <w:r>
              <w:rPr>
                <w:rFonts w:ascii="Arial" w:cs="Arial" w:eastAsia="Arial" w:hAnsi="Arial"/>
                <w:sz w:val="18"/>
                <w:szCs w:val="18"/>
                <w:b w:val="1"/>
                <w:bCs w:val="1"/>
                <w:color w:val="auto"/>
              </w:rPr>
              <w:t>Description of Exhibit</w:t>
            </w:r>
          </w:p>
        </w:tc>
        <w:tc>
          <w:tcPr>
            <w:tcW w:w="1740" w:type="dxa"/>
            <w:vAlign w:val="bottom"/>
          </w:tcPr>
          <w:p>
            <w:pPr>
              <w:ind w:left="300"/>
              <w:spacing w:after="0"/>
              <w:rPr>
                <w:sz w:val="20"/>
                <w:szCs w:val="20"/>
                <w:color w:val="auto"/>
              </w:rPr>
            </w:pPr>
            <w:r>
              <w:rPr>
                <w:rFonts w:ascii="Arial" w:cs="Arial" w:eastAsia="Arial" w:hAnsi="Arial"/>
                <w:sz w:val="18"/>
                <w:szCs w:val="18"/>
                <w:b w:val="1"/>
                <w:bCs w:val="1"/>
                <w:color w:val="auto"/>
              </w:rPr>
              <w:t>Filed</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900" w:type="dxa"/>
            <w:vAlign w:val="bottom"/>
            <w:tcBorders>
              <w:bottom w:val="single" w:sz="8" w:color="auto"/>
            </w:tcBorders>
            <w:gridSpan w:val="15"/>
            <w:vMerge w:val="continue"/>
          </w:tcPr>
          <w:p>
            <w:pPr>
              <w:spacing w:after="0"/>
              <w:rPr>
                <w:sz w:val="21"/>
                <w:szCs w:val="21"/>
                <w:color w:val="auto"/>
              </w:rPr>
            </w:pPr>
          </w:p>
        </w:tc>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Herewith   Form</w:t>
            </w: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3"/>
        </w:trPr>
        <w:tc>
          <w:tcPr>
            <w:tcW w:w="980" w:type="dxa"/>
            <w:vAlign w:val="bottom"/>
            <w:shd w:val="clear" w:color="auto" w:fill="D1D2D4"/>
          </w:tcPr>
          <w:p>
            <w:pPr>
              <w:ind w:left="20"/>
              <w:spacing w:after="0" w:line="182" w:lineRule="exact"/>
              <w:rPr>
                <w:sz w:val="20"/>
                <w:szCs w:val="20"/>
                <w:color w:val="auto"/>
              </w:rPr>
            </w:pPr>
            <w:r>
              <w:rPr>
                <w:rFonts w:ascii="Arial" w:cs="Arial" w:eastAsia="Arial" w:hAnsi="Arial"/>
                <w:sz w:val="18"/>
                <w:szCs w:val="18"/>
                <w:color w:val="auto"/>
              </w:rPr>
              <w:t>10.26</w:t>
            </w:r>
          </w:p>
        </w:tc>
        <w:tc>
          <w:tcPr>
            <w:tcW w:w="5560" w:type="dxa"/>
            <w:vAlign w:val="bottom"/>
            <w:gridSpan w:val="17"/>
            <w:shd w:val="clear" w:color="auto" w:fill="D1D2D4"/>
          </w:tcPr>
          <w:p>
            <w:pPr>
              <w:spacing w:after="0" w:line="182" w:lineRule="exact"/>
              <w:rPr>
                <w:rFonts w:ascii="Arial" w:cs="Arial" w:eastAsia="Arial" w:hAnsi="Arial"/>
                <w:sz w:val="18"/>
                <w:szCs w:val="18"/>
                <w:color w:val="auto"/>
              </w:rPr>
            </w:pPr>
            <w:hyperlink r:id="rId227">
              <w:r>
                <w:rPr>
                  <w:rFonts w:ascii="Arial" w:cs="Arial" w:eastAsia="Arial" w:hAnsi="Arial"/>
                  <w:sz w:val="18"/>
                  <w:szCs w:val="18"/>
                  <w:color w:val="auto"/>
                </w:rPr>
                <w:t>Amendment No. 2 to Term Loan Credit Agreement, dated as of June</w:t>
              </w:r>
            </w:hyperlink>
          </w:p>
        </w:tc>
        <w:tc>
          <w:tcPr>
            <w:tcW w:w="1740" w:type="dxa"/>
            <w:vAlign w:val="bottom"/>
            <w:shd w:val="clear" w:color="auto" w:fill="D1D2D4"/>
          </w:tcPr>
          <w:p>
            <w:pPr>
              <w:ind w:left="1040"/>
              <w:spacing w:after="0" w:line="182"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2" w:lineRule="exact"/>
              <w:rPr>
                <w:sz w:val="20"/>
                <w:szCs w:val="20"/>
                <w:color w:val="auto"/>
              </w:rPr>
            </w:pPr>
            <w:r>
              <w:rPr>
                <w:rFonts w:ascii="Arial" w:cs="Arial" w:eastAsia="Arial" w:hAnsi="Arial"/>
                <w:sz w:val="18"/>
                <w:szCs w:val="18"/>
                <w:color w:val="auto"/>
              </w:rPr>
              <w:t>6/1/23</w:t>
            </w:r>
          </w:p>
        </w:tc>
        <w:tc>
          <w:tcPr>
            <w:tcW w:w="1080" w:type="dxa"/>
            <w:vAlign w:val="bottom"/>
            <w:shd w:val="clear" w:color="auto" w:fill="D1D2D4"/>
          </w:tcPr>
          <w:p>
            <w:pPr>
              <w:jc w:val="right"/>
              <w:ind w:right="550"/>
              <w:spacing w:after="0" w:line="182" w:lineRule="exact"/>
              <w:rPr>
                <w:sz w:val="20"/>
                <w:szCs w:val="20"/>
                <w:color w:val="auto"/>
              </w:rPr>
            </w:pPr>
            <w:r>
              <w:rPr>
                <w:rFonts w:ascii="Arial" w:cs="Arial" w:eastAsia="Arial" w:hAnsi="Arial"/>
                <w:sz w:val="18"/>
                <w:szCs w:val="18"/>
                <w:color w:val="auto"/>
              </w:rPr>
              <w:t>10.2</w:t>
            </w:r>
          </w:p>
        </w:tc>
        <w:tc>
          <w:tcPr>
            <w:tcW w:w="960" w:type="dxa"/>
            <w:vAlign w:val="bottom"/>
            <w:shd w:val="clear" w:color="auto" w:fill="D1D2D4"/>
          </w:tcPr>
          <w:p>
            <w:pPr>
              <w:ind w:left="60"/>
              <w:spacing w:after="0" w:line="182" w:lineRule="exact"/>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5440" w:type="dxa"/>
            <w:vAlign w:val="bottom"/>
            <w:tcBorders>
              <w:top w:val="single" w:sz="8" w:color="auto"/>
              <w:bottom w:val="single" w:sz="8" w:color="auto"/>
            </w:tcBorders>
            <w:gridSpan w:val="15"/>
            <w:shd w:val="clear" w:color="auto" w:fill="D1D2D4"/>
          </w:tcPr>
          <w:p>
            <w:pPr>
              <w:spacing w:after="0" w:line="156" w:lineRule="exact"/>
              <w:rPr>
                <w:rFonts w:ascii="Arial" w:cs="Arial" w:eastAsia="Arial" w:hAnsi="Arial"/>
                <w:sz w:val="18"/>
                <w:szCs w:val="18"/>
                <w:color w:val="auto"/>
                <w:w w:val="97"/>
              </w:rPr>
            </w:pPr>
            <w:hyperlink r:id="rId227">
              <w:r>
                <w:rPr>
                  <w:rFonts w:ascii="Arial" w:cs="Arial" w:eastAsia="Arial" w:hAnsi="Arial"/>
                  <w:sz w:val="18"/>
                  <w:szCs w:val="18"/>
                  <w:color w:val="auto"/>
                  <w:w w:val="97"/>
                </w:rPr>
                <w:t>7, 2023, by Wells Fargo Bank, National Association, as administrative</w:t>
              </w:r>
            </w:hyperlink>
          </w:p>
        </w:tc>
        <w:tc>
          <w:tcPr>
            <w:tcW w:w="100" w:type="dxa"/>
            <w:vAlign w:val="bottom"/>
            <w:tcBorders>
              <w:top w:val="single" w:sz="8" w:color="D1D2D4"/>
              <w:bottom w:val="single" w:sz="8" w:color="auto"/>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74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80" w:type="dxa"/>
            <w:vAlign w:val="bottom"/>
            <w:tcBorders>
              <w:bottom w:val="single" w:sz="8" w:color="D1D2D4"/>
            </w:tcBorders>
            <w:shd w:val="clear" w:color="auto" w:fill="D1D2D4"/>
          </w:tcPr>
          <w:p>
            <w:pPr>
              <w:spacing w:after="0"/>
              <w:rPr>
                <w:sz w:val="16"/>
                <w:szCs w:val="16"/>
                <w:color w:val="auto"/>
              </w:rPr>
            </w:pPr>
          </w:p>
        </w:tc>
        <w:tc>
          <w:tcPr>
            <w:tcW w:w="460" w:type="dxa"/>
            <w:vAlign w:val="bottom"/>
            <w:tcBorders>
              <w:bottom w:val="single" w:sz="8" w:color="auto"/>
            </w:tcBorders>
            <w:shd w:val="clear" w:color="auto" w:fill="D1D2D4"/>
          </w:tcPr>
          <w:p>
            <w:pPr>
              <w:spacing w:after="0" w:line="169" w:lineRule="exact"/>
              <w:rPr>
                <w:rFonts w:ascii="Arial" w:cs="Arial" w:eastAsia="Arial" w:hAnsi="Arial"/>
                <w:sz w:val="18"/>
                <w:szCs w:val="18"/>
                <w:color w:val="auto"/>
                <w:w w:val="97"/>
              </w:rPr>
            </w:pPr>
            <w:hyperlink r:id="rId227">
              <w:r>
                <w:rPr>
                  <w:rFonts w:ascii="Arial" w:cs="Arial" w:eastAsia="Arial" w:hAnsi="Arial"/>
                  <w:sz w:val="18"/>
                  <w:szCs w:val="18"/>
                  <w:color w:val="auto"/>
                  <w:w w:val="97"/>
                </w:rPr>
                <w:t>agent</w:t>
              </w:r>
            </w:hyperlink>
          </w:p>
        </w:tc>
        <w:tc>
          <w:tcPr>
            <w:tcW w:w="5080" w:type="dxa"/>
            <w:vAlign w:val="bottom"/>
            <w:tcBorders>
              <w:bottom w:val="single" w:sz="8" w:color="D1D2D4"/>
            </w:tcBorders>
            <w:gridSpan w:val="15"/>
            <w:shd w:val="clear" w:color="auto" w:fill="D1D2D4"/>
          </w:tcPr>
          <w:p>
            <w:pPr>
              <w:spacing w:after="0"/>
              <w:rPr>
                <w:sz w:val="16"/>
                <w:szCs w:val="16"/>
                <w:color w:val="auto"/>
              </w:rPr>
            </w:pPr>
          </w:p>
        </w:tc>
        <w:tc>
          <w:tcPr>
            <w:tcW w:w="20" w:type="dxa"/>
            <w:vAlign w:val="bottom"/>
            <w:tcBorders>
              <w:bottom w:val="single" w:sz="8" w:color="D1D2D4"/>
            </w:tcBorders>
            <w:shd w:val="clear" w:color="auto" w:fill="D1D2D4"/>
          </w:tcPr>
          <w:p>
            <w:pPr>
              <w:spacing w:after="0"/>
              <w:rPr>
                <w:sz w:val="16"/>
                <w:szCs w:val="16"/>
                <w:color w:val="auto"/>
              </w:rPr>
            </w:pPr>
          </w:p>
        </w:tc>
        <w:tc>
          <w:tcPr>
            <w:tcW w:w="1740" w:type="dxa"/>
            <w:vAlign w:val="bottom"/>
            <w:tcBorders>
              <w:bottom w:val="single" w:sz="8" w:color="D1D2D4"/>
            </w:tcBorders>
            <w:shd w:val="clear" w:color="auto" w:fill="D1D2D4"/>
          </w:tcPr>
          <w:p>
            <w:pPr>
              <w:spacing w:after="0"/>
              <w:rPr>
                <w:sz w:val="16"/>
                <w:szCs w:val="16"/>
                <w:color w:val="auto"/>
              </w:rPr>
            </w:pPr>
          </w:p>
        </w:tc>
        <w:tc>
          <w:tcPr>
            <w:tcW w:w="920" w:type="dxa"/>
            <w:vAlign w:val="bottom"/>
            <w:tcBorders>
              <w:bottom w:val="single" w:sz="8" w:color="D1D2D4"/>
            </w:tcBorders>
            <w:shd w:val="clear" w:color="auto" w:fill="D1D2D4"/>
          </w:tcPr>
          <w:p>
            <w:pPr>
              <w:spacing w:after="0"/>
              <w:rPr>
                <w:sz w:val="16"/>
                <w:szCs w:val="16"/>
                <w:color w:val="auto"/>
              </w:rPr>
            </w:pPr>
          </w:p>
        </w:tc>
        <w:tc>
          <w:tcPr>
            <w:tcW w:w="1080" w:type="dxa"/>
            <w:vAlign w:val="bottom"/>
            <w:tcBorders>
              <w:bottom w:val="single" w:sz="8" w:color="D1D2D4"/>
            </w:tcBorders>
            <w:shd w:val="clear" w:color="auto" w:fill="D1D2D4"/>
          </w:tcPr>
          <w:p>
            <w:pPr>
              <w:spacing w:after="0"/>
              <w:rPr>
                <w:sz w:val="16"/>
                <w:szCs w:val="16"/>
                <w:color w:val="auto"/>
              </w:rPr>
            </w:pPr>
          </w:p>
        </w:tc>
        <w:tc>
          <w:tcPr>
            <w:tcW w:w="960" w:type="dxa"/>
            <w:vAlign w:val="bottom"/>
            <w:tcBorders>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10.27*</w:t>
            </w:r>
          </w:p>
        </w:tc>
        <w:tc>
          <w:tcPr>
            <w:tcW w:w="5560" w:type="dxa"/>
            <w:vAlign w:val="bottom"/>
            <w:gridSpan w:val="17"/>
          </w:tcPr>
          <w:p>
            <w:pPr>
              <w:spacing w:after="0" w:line="189" w:lineRule="exact"/>
              <w:rPr>
                <w:rFonts w:ascii="Arial" w:cs="Arial" w:eastAsia="Arial" w:hAnsi="Arial"/>
                <w:sz w:val="18"/>
                <w:szCs w:val="18"/>
                <w:color w:val="auto"/>
              </w:rPr>
            </w:pPr>
            <w:hyperlink r:id="rId228">
              <w:r>
                <w:rPr>
                  <w:rFonts w:ascii="Arial" w:cs="Arial" w:eastAsia="Arial" w:hAnsi="Arial"/>
                  <w:sz w:val="18"/>
                  <w:szCs w:val="18"/>
                  <w:color w:val="auto"/>
                </w:rPr>
                <w:t>Executive Officer Cash Severance Policy</w:t>
              </w:r>
            </w:hyperlink>
          </w:p>
        </w:tc>
        <w:tc>
          <w:tcPr>
            <w:tcW w:w="1740" w:type="dxa"/>
            <w:vAlign w:val="bottom"/>
          </w:tcPr>
          <w:p>
            <w:pPr>
              <w:ind w:left="104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11/30/23</w:t>
            </w:r>
          </w:p>
        </w:tc>
        <w:tc>
          <w:tcPr>
            <w:tcW w:w="108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10.1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12/21/23</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10.28*</w:t>
            </w:r>
          </w:p>
        </w:tc>
        <w:tc>
          <w:tcPr>
            <w:tcW w:w="5060" w:type="dxa"/>
            <w:vAlign w:val="bottom"/>
            <w:tcBorders>
              <w:bottom w:val="single" w:sz="8" w:color="auto"/>
            </w:tcBorders>
            <w:gridSpan w:val="11"/>
            <w:shd w:val="clear" w:color="auto" w:fill="D1D2D4"/>
          </w:tcPr>
          <w:p>
            <w:pPr>
              <w:spacing w:after="0" w:line="189" w:lineRule="exact"/>
              <w:rPr>
                <w:rFonts w:ascii="Arial" w:cs="Arial" w:eastAsia="Arial" w:hAnsi="Arial"/>
                <w:sz w:val="18"/>
                <w:szCs w:val="18"/>
                <w:color w:val="auto"/>
                <w:w w:val="99"/>
              </w:rPr>
            </w:pPr>
            <w:hyperlink r:id="rId229">
              <w:r>
                <w:rPr>
                  <w:rFonts w:ascii="Arial" w:cs="Arial" w:eastAsia="Arial" w:hAnsi="Arial"/>
                  <w:sz w:val="18"/>
                  <w:szCs w:val="18"/>
                  <w:color w:val="auto"/>
                  <w:w w:val="99"/>
                </w:rPr>
                <w:t>Severance Policy Acknowledgement Letter for Sanjay Mehrotra</w:t>
              </w:r>
            </w:hyperlink>
          </w:p>
        </w:tc>
        <w:tc>
          <w:tcPr>
            <w:tcW w:w="500" w:type="dxa"/>
            <w:vAlign w:val="bottom"/>
            <w:tcBorders>
              <w:bottom w:val="single" w:sz="8" w:color="D1D2D4"/>
            </w:tcBorders>
            <w:gridSpan w:val="6"/>
            <w:shd w:val="clear" w:color="auto" w:fill="D1D2D4"/>
          </w:tcPr>
          <w:p>
            <w:pPr>
              <w:spacing w:after="0"/>
              <w:rPr>
                <w:sz w:val="18"/>
                <w:szCs w:val="18"/>
                <w:color w:val="auto"/>
              </w:rPr>
            </w:pPr>
          </w:p>
        </w:tc>
        <w:tc>
          <w:tcPr>
            <w:tcW w:w="1740" w:type="dxa"/>
            <w:vAlign w:val="bottom"/>
            <w:tcBorders>
              <w:bottom w:val="single" w:sz="8" w:color="D1D2D4"/>
            </w:tcBorders>
            <w:shd w:val="clear" w:color="auto" w:fill="D1D2D4"/>
          </w:tcPr>
          <w:p>
            <w:pPr>
              <w:ind w:left="1040"/>
              <w:spacing w:after="0" w:line="189"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11/30/23</w:t>
            </w:r>
          </w:p>
        </w:tc>
        <w:tc>
          <w:tcPr>
            <w:tcW w:w="1080" w:type="dxa"/>
            <w:vAlign w:val="bottom"/>
            <w:tcBorders>
              <w:bottom w:val="single" w:sz="8" w:color="D1D2D4"/>
            </w:tcBorders>
            <w:shd w:val="clear" w:color="auto" w:fill="D1D2D4"/>
          </w:tcPr>
          <w:p>
            <w:pPr>
              <w:jc w:val="right"/>
              <w:ind w:right="550"/>
              <w:spacing w:after="0" w:line="189" w:lineRule="exact"/>
              <w:rPr>
                <w:sz w:val="20"/>
                <w:szCs w:val="20"/>
                <w:color w:val="auto"/>
              </w:rPr>
            </w:pPr>
            <w:r>
              <w:rPr>
                <w:rFonts w:ascii="Arial" w:cs="Arial" w:eastAsia="Arial" w:hAnsi="Arial"/>
                <w:sz w:val="18"/>
                <w:szCs w:val="18"/>
                <w:color w:val="auto"/>
              </w:rPr>
              <w:t>10.2</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12/21/23</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10.29*</w:t>
            </w:r>
          </w:p>
        </w:tc>
        <w:tc>
          <w:tcPr>
            <w:tcW w:w="5560" w:type="dxa"/>
            <w:vAlign w:val="bottom"/>
            <w:gridSpan w:val="17"/>
          </w:tcPr>
          <w:p>
            <w:pPr>
              <w:spacing w:after="0" w:line="189" w:lineRule="exact"/>
              <w:rPr>
                <w:rFonts w:ascii="Arial" w:cs="Arial" w:eastAsia="Arial" w:hAnsi="Arial"/>
                <w:sz w:val="18"/>
                <w:szCs w:val="18"/>
                <w:color w:val="auto"/>
              </w:rPr>
            </w:pPr>
            <w:hyperlink r:id="rId230">
              <w:r>
                <w:rPr>
                  <w:rFonts w:ascii="Arial" w:cs="Arial" w:eastAsia="Arial" w:hAnsi="Arial"/>
                  <w:sz w:val="18"/>
                  <w:szCs w:val="18"/>
                  <w:color w:val="auto"/>
                </w:rPr>
                <w:t xml:space="preserve">Amended and Restated Severance Agreement </w:t>
              </w:r>
            </w:hyperlink>
            <w:r>
              <w:rPr>
                <w:rFonts w:ascii="Arial" w:cs="Arial" w:eastAsia="Arial" w:hAnsi="Arial"/>
                <w:sz w:val="18"/>
                <w:szCs w:val="18"/>
                <w:color w:val="auto"/>
              </w:rPr>
              <w:t xml:space="preserve">by </w:t>
            </w:r>
            <w:hyperlink r:id="rId230">
              <w:r>
                <w:rPr>
                  <w:rFonts w:ascii="Arial" w:cs="Arial" w:eastAsia="Arial" w:hAnsi="Arial"/>
                  <w:sz w:val="18"/>
                  <w:szCs w:val="18"/>
                  <w:color w:val="auto"/>
                </w:rPr>
                <w:t>and between</w:t>
              </w:r>
            </w:hyperlink>
          </w:p>
        </w:tc>
        <w:tc>
          <w:tcPr>
            <w:tcW w:w="1740" w:type="dxa"/>
            <w:vAlign w:val="bottom"/>
          </w:tcPr>
          <w:p>
            <w:pPr>
              <w:ind w:left="104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11/30/23</w:t>
            </w:r>
          </w:p>
        </w:tc>
        <w:tc>
          <w:tcPr>
            <w:tcW w:w="108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12/21/23</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060" w:type="dxa"/>
            <w:vAlign w:val="bottom"/>
            <w:tcBorders>
              <w:top w:val="single" w:sz="8" w:color="auto"/>
            </w:tcBorders>
            <w:gridSpan w:val="11"/>
          </w:tcPr>
          <w:p>
            <w:pPr>
              <w:spacing w:after="0" w:line="156" w:lineRule="exact"/>
              <w:rPr>
                <w:rFonts w:ascii="Arial" w:cs="Arial" w:eastAsia="Arial" w:hAnsi="Arial"/>
                <w:sz w:val="18"/>
                <w:szCs w:val="18"/>
                <w:color w:val="auto"/>
              </w:rPr>
            </w:pPr>
            <w:hyperlink r:id="rId230">
              <w:r>
                <w:rPr>
                  <w:rFonts w:ascii="Arial" w:cs="Arial" w:eastAsia="Arial" w:hAnsi="Arial"/>
                  <w:sz w:val="18"/>
                  <w:szCs w:val="18"/>
                  <w:color w:val="auto"/>
                </w:rPr>
                <w:t>Micron Technology, Inc. and Scott J. DeBoer</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10.30*</w:t>
            </w:r>
          </w:p>
        </w:tc>
        <w:tc>
          <w:tcPr>
            <w:tcW w:w="5560" w:type="dxa"/>
            <w:vAlign w:val="bottom"/>
            <w:gridSpan w:val="17"/>
            <w:shd w:val="clear" w:color="auto" w:fill="D1D2D4"/>
          </w:tcPr>
          <w:p>
            <w:pPr>
              <w:spacing w:after="0" w:line="189" w:lineRule="exact"/>
              <w:rPr>
                <w:rFonts w:ascii="Arial" w:cs="Arial" w:eastAsia="Arial" w:hAnsi="Arial"/>
                <w:sz w:val="18"/>
                <w:szCs w:val="18"/>
                <w:color w:val="auto"/>
              </w:rPr>
            </w:pPr>
            <w:hyperlink r:id="rId231">
              <w:r>
                <w:rPr>
                  <w:rFonts w:ascii="Arial" w:cs="Arial" w:eastAsia="Arial" w:hAnsi="Arial"/>
                  <w:sz w:val="18"/>
                  <w:szCs w:val="18"/>
                  <w:color w:val="auto"/>
                </w:rPr>
                <w:t>Amended and Restated 2008 Director Compensation Plan</w:t>
              </w:r>
            </w:hyperlink>
          </w:p>
        </w:tc>
        <w:tc>
          <w:tcPr>
            <w:tcW w:w="174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11/30/23</w:t>
            </w:r>
          </w:p>
        </w:tc>
        <w:tc>
          <w:tcPr>
            <w:tcW w:w="1080" w:type="dxa"/>
            <w:vAlign w:val="bottom"/>
            <w:shd w:val="clear" w:color="auto" w:fill="D1D2D4"/>
          </w:tcPr>
          <w:p>
            <w:pPr>
              <w:jc w:val="right"/>
              <w:ind w:right="550"/>
              <w:spacing w:after="0" w:line="189" w:lineRule="exact"/>
              <w:rPr>
                <w:sz w:val="20"/>
                <w:szCs w:val="20"/>
                <w:color w:val="auto"/>
              </w:rPr>
            </w:pPr>
            <w:r>
              <w:rPr>
                <w:rFonts w:ascii="Arial" w:cs="Arial" w:eastAsia="Arial" w:hAnsi="Arial"/>
                <w:sz w:val="18"/>
                <w:szCs w:val="18"/>
                <w:color w:val="auto"/>
              </w:rPr>
              <w:t>10.4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12/21/23</w:t>
            </w: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19.1</w:t>
            </w:r>
          </w:p>
        </w:tc>
        <w:tc>
          <w:tcPr>
            <w:tcW w:w="4640" w:type="dxa"/>
            <w:vAlign w:val="bottom"/>
            <w:tcBorders>
              <w:top w:val="single" w:sz="8" w:color="auto"/>
            </w:tcBorders>
            <w:gridSpan w:val="9"/>
          </w:tcPr>
          <w:p>
            <w:pPr>
              <w:spacing w:after="0" w:line="189" w:lineRule="exact"/>
              <w:rPr>
                <w:sz w:val="20"/>
                <w:szCs w:val="20"/>
                <w:color w:val="auto"/>
              </w:rPr>
            </w:pPr>
            <w:r>
              <w:rPr>
                <w:rFonts w:ascii="Arial" w:cs="Arial" w:eastAsia="Arial" w:hAnsi="Arial"/>
                <w:sz w:val="18"/>
                <w:szCs w:val="18"/>
                <w:color w:val="auto"/>
              </w:rPr>
              <w:t>Insider Trading Policy of the Registrant</w:t>
            </w:r>
          </w:p>
        </w:tc>
        <w:tc>
          <w:tcPr>
            <w:tcW w:w="920" w:type="dxa"/>
            <w:vAlign w:val="bottom"/>
            <w:tcBorders>
              <w:top w:val="single" w:sz="8" w:color="D1D2D4"/>
            </w:tcBorders>
            <w:gridSpan w:val="8"/>
          </w:tcPr>
          <w:p>
            <w:pPr>
              <w:spacing w:after="0"/>
              <w:rPr>
                <w:sz w:val="16"/>
                <w:szCs w:val="16"/>
                <w:color w:val="auto"/>
              </w:rPr>
            </w:pPr>
          </w:p>
        </w:tc>
        <w:tc>
          <w:tcPr>
            <w:tcW w:w="174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21.1</w:t>
            </w:r>
          </w:p>
        </w:tc>
        <w:tc>
          <w:tcPr>
            <w:tcW w:w="2360" w:type="dxa"/>
            <w:vAlign w:val="bottom"/>
            <w:tcBorders>
              <w:bottom w:val="single" w:sz="8" w:color="auto"/>
            </w:tcBorders>
            <w:gridSpan w:val="3"/>
            <w:shd w:val="clear" w:color="auto" w:fill="D1D2D4"/>
          </w:tcPr>
          <w:p>
            <w:pPr>
              <w:spacing w:after="0" w:line="189" w:lineRule="exact"/>
              <w:rPr>
                <w:sz w:val="20"/>
                <w:szCs w:val="20"/>
                <w:color w:val="auto"/>
              </w:rPr>
            </w:pPr>
            <w:r>
              <w:rPr>
                <w:rFonts w:ascii="Arial" w:cs="Arial" w:eastAsia="Arial" w:hAnsi="Arial"/>
                <w:sz w:val="18"/>
                <w:szCs w:val="18"/>
                <w:color w:val="auto"/>
                <w:w w:val="99"/>
              </w:rPr>
              <w:t>Subsidiaries of the Registrant</w:t>
            </w:r>
          </w:p>
        </w:tc>
        <w:tc>
          <w:tcPr>
            <w:tcW w:w="3200" w:type="dxa"/>
            <w:vAlign w:val="bottom"/>
            <w:tcBorders>
              <w:bottom w:val="single" w:sz="8" w:color="D1D2D4"/>
            </w:tcBorders>
            <w:gridSpan w:val="14"/>
            <w:shd w:val="clear" w:color="auto" w:fill="D1D2D4"/>
          </w:tcPr>
          <w:p>
            <w:pPr>
              <w:spacing w:after="0"/>
              <w:rPr>
                <w:sz w:val="18"/>
                <w:szCs w:val="18"/>
                <w:color w:val="auto"/>
              </w:rPr>
            </w:pPr>
          </w:p>
        </w:tc>
        <w:tc>
          <w:tcPr>
            <w:tcW w:w="174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6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23.1</w:t>
            </w:r>
          </w:p>
        </w:tc>
        <w:tc>
          <w:tcPr>
            <w:tcW w:w="5560" w:type="dxa"/>
            <w:vAlign w:val="bottom"/>
            <w:gridSpan w:val="17"/>
          </w:tcPr>
          <w:p>
            <w:pPr>
              <w:spacing w:after="0" w:line="189" w:lineRule="exact"/>
              <w:rPr>
                <w:sz w:val="20"/>
                <w:szCs w:val="20"/>
                <w:color w:val="auto"/>
              </w:rPr>
            </w:pPr>
            <w:r>
              <w:rPr>
                <w:rFonts w:ascii="Arial" w:cs="Arial" w:eastAsia="Arial" w:hAnsi="Arial"/>
                <w:sz w:val="18"/>
                <w:szCs w:val="18"/>
                <w:color w:val="auto"/>
              </w:rPr>
              <w:t>Consent of Independent Registered Public Accounting Firm</w:t>
            </w: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560" w:type="dxa"/>
            <w:vAlign w:val="bottom"/>
            <w:gridSpan w:val="17"/>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74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auto"/>
            </w:tcBorders>
            <w:gridSpan w:val="8"/>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280" w:type="dxa"/>
            <w:vAlign w:val="bottom"/>
            <w:tcBorders>
              <w:top w:val="single" w:sz="8" w:color="D1D2D4"/>
            </w:tcBorders>
            <w:gridSpan w:val="9"/>
          </w:tcPr>
          <w:p>
            <w:pPr>
              <w:spacing w:after="0"/>
              <w:rPr>
                <w:sz w:val="16"/>
                <w:szCs w:val="16"/>
                <w:color w:val="auto"/>
              </w:rPr>
            </w:pPr>
          </w:p>
        </w:tc>
        <w:tc>
          <w:tcPr>
            <w:tcW w:w="174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560" w:type="dxa"/>
            <w:vAlign w:val="bottom"/>
            <w:gridSpan w:val="17"/>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74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auto"/>
            </w:tcBorders>
            <w:gridSpan w:val="14"/>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280" w:type="dxa"/>
            <w:vAlign w:val="bottom"/>
            <w:tcBorders>
              <w:top w:val="single" w:sz="8" w:color="D1D2D4"/>
            </w:tcBorders>
            <w:gridSpan w:val="3"/>
          </w:tcPr>
          <w:p>
            <w:pPr>
              <w:spacing w:after="0"/>
              <w:rPr>
                <w:sz w:val="16"/>
                <w:szCs w:val="16"/>
                <w:color w:val="auto"/>
              </w:rPr>
            </w:pPr>
          </w:p>
        </w:tc>
        <w:tc>
          <w:tcPr>
            <w:tcW w:w="174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97.1</w:t>
            </w:r>
          </w:p>
        </w:tc>
        <w:tc>
          <w:tcPr>
            <w:tcW w:w="5560" w:type="dxa"/>
            <w:vAlign w:val="bottom"/>
            <w:gridSpan w:val="17"/>
            <w:shd w:val="clear" w:color="auto" w:fill="D1D2D4"/>
          </w:tcPr>
          <w:p>
            <w:pPr>
              <w:spacing w:after="0" w:line="189" w:lineRule="exact"/>
              <w:rPr>
                <w:rFonts w:ascii="Arial" w:cs="Arial" w:eastAsia="Arial" w:hAnsi="Arial"/>
                <w:sz w:val="18"/>
                <w:szCs w:val="18"/>
                <w:color w:val="auto"/>
              </w:rPr>
            </w:pPr>
            <w:hyperlink r:id="rId232">
              <w:r>
                <w:rPr>
                  <w:rFonts w:ascii="Arial" w:cs="Arial" w:eastAsia="Arial" w:hAnsi="Arial"/>
                  <w:sz w:val="18"/>
                  <w:szCs w:val="18"/>
                  <w:color w:val="auto"/>
                </w:rPr>
                <w:t>Compensation Recoupment (Clawback) Policy, as amended and</w:t>
              </w:r>
            </w:hyperlink>
          </w:p>
        </w:tc>
        <w:tc>
          <w:tcPr>
            <w:tcW w:w="174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10-K</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8/31/23</w:t>
            </w:r>
          </w:p>
        </w:tc>
        <w:tc>
          <w:tcPr>
            <w:tcW w:w="1080" w:type="dxa"/>
            <w:vAlign w:val="bottom"/>
            <w:shd w:val="clear" w:color="auto" w:fill="D1D2D4"/>
          </w:tcPr>
          <w:p>
            <w:pPr>
              <w:jc w:val="right"/>
              <w:ind w:right="550"/>
              <w:spacing w:after="0" w:line="189" w:lineRule="exact"/>
              <w:rPr>
                <w:sz w:val="20"/>
                <w:szCs w:val="20"/>
                <w:color w:val="auto"/>
              </w:rPr>
            </w:pPr>
            <w:r>
              <w:rPr>
                <w:rFonts w:ascii="Arial" w:cs="Arial" w:eastAsia="Arial" w:hAnsi="Arial"/>
                <w:sz w:val="18"/>
                <w:szCs w:val="18"/>
                <w:color w:val="auto"/>
              </w:rPr>
              <w:t>97.1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660" w:type="dxa"/>
            <w:vAlign w:val="bottom"/>
            <w:tcBorders>
              <w:top w:val="single" w:sz="8" w:color="auto"/>
              <w:bottom w:val="single" w:sz="8" w:color="auto"/>
            </w:tcBorders>
            <w:gridSpan w:val="2"/>
            <w:shd w:val="clear" w:color="auto" w:fill="D1D2D4"/>
          </w:tcPr>
          <w:p>
            <w:pPr>
              <w:spacing w:after="0" w:line="156" w:lineRule="exact"/>
              <w:rPr>
                <w:rFonts w:ascii="Arial" w:cs="Arial" w:eastAsia="Arial" w:hAnsi="Arial"/>
                <w:sz w:val="18"/>
                <w:szCs w:val="18"/>
                <w:color w:val="auto"/>
                <w:w w:val="98"/>
              </w:rPr>
            </w:pPr>
            <w:hyperlink r:id="rId232">
              <w:r>
                <w:rPr>
                  <w:rFonts w:ascii="Arial" w:cs="Arial" w:eastAsia="Arial" w:hAnsi="Arial"/>
                  <w:sz w:val="18"/>
                  <w:szCs w:val="18"/>
                  <w:color w:val="auto"/>
                  <w:w w:val="98"/>
                </w:rPr>
                <w:t>restated</w:t>
              </w:r>
            </w:hyperlink>
          </w:p>
        </w:tc>
        <w:tc>
          <w:tcPr>
            <w:tcW w:w="4480" w:type="dxa"/>
            <w:vAlign w:val="bottom"/>
            <w:tcBorders>
              <w:top w:val="single" w:sz="8" w:color="auto"/>
              <w:bottom w:val="single" w:sz="8" w:color="D1D2D4"/>
            </w:tcBorders>
            <w:gridSpan w:val="10"/>
            <w:shd w:val="clear" w:color="auto" w:fill="D1D2D4"/>
          </w:tcPr>
          <w:p>
            <w:pPr>
              <w:spacing w:after="0"/>
              <w:rPr>
                <w:sz w:val="16"/>
                <w:szCs w:val="16"/>
                <w:color w:val="auto"/>
              </w:rPr>
            </w:pPr>
          </w:p>
        </w:tc>
        <w:tc>
          <w:tcPr>
            <w:tcW w:w="420" w:type="dxa"/>
            <w:vAlign w:val="bottom"/>
            <w:tcBorders>
              <w:top w:val="single" w:sz="8" w:color="D1D2D4"/>
              <w:bottom w:val="single" w:sz="8" w:color="D1D2D4"/>
            </w:tcBorders>
            <w:gridSpan w:val="5"/>
            <w:shd w:val="clear" w:color="auto" w:fill="D1D2D4"/>
          </w:tcPr>
          <w:p>
            <w:pPr>
              <w:spacing w:after="0"/>
              <w:rPr>
                <w:sz w:val="16"/>
                <w:szCs w:val="16"/>
                <w:color w:val="auto"/>
              </w:rPr>
            </w:pPr>
          </w:p>
        </w:tc>
        <w:tc>
          <w:tcPr>
            <w:tcW w:w="1740" w:type="dxa"/>
            <w:vAlign w:val="bottom"/>
            <w:tcBorders>
              <w:top w:val="single" w:sz="8" w:color="D1D2D4"/>
              <w:bottom w:val="single" w:sz="8" w:color="D1D2D4"/>
            </w:tcBorders>
            <w:shd w:val="clear" w:color="auto" w:fill="D1D2D4"/>
          </w:tcPr>
          <w:p>
            <w:pPr>
              <w:spacing w:after="0"/>
              <w:rPr>
                <w:sz w:val="16"/>
                <w:szCs w:val="16"/>
                <w:color w:val="auto"/>
              </w:rPr>
            </w:pPr>
          </w:p>
        </w:tc>
        <w:tc>
          <w:tcPr>
            <w:tcW w:w="92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5560" w:type="dxa"/>
            <w:vAlign w:val="bottom"/>
            <w:gridSpan w:val="17"/>
          </w:tcPr>
          <w:p>
            <w:pPr>
              <w:spacing w:after="0" w:line="176" w:lineRule="exact"/>
              <w:rPr>
                <w:sz w:val="20"/>
                <w:szCs w:val="20"/>
                <w:color w:val="auto"/>
              </w:rPr>
            </w:pPr>
            <w:r>
              <w:rPr>
                <w:rFonts w:ascii="Arial" w:cs="Arial" w:eastAsia="Arial" w:hAnsi="Arial"/>
                <w:sz w:val="18"/>
                <w:szCs w:val="18"/>
                <w:color w:val="auto"/>
              </w:rPr>
              <w:t>Inline XBRL Instance Document - the instance document does not</w:t>
            </w:r>
          </w:p>
        </w:tc>
        <w:tc>
          <w:tcPr>
            <w:tcW w:w="1740" w:type="dxa"/>
            <w:vAlign w:val="bottom"/>
          </w:tcPr>
          <w:p>
            <w:pPr>
              <w:ind w:left="20"/>
              <w:spacing w:after="0" w:line="176"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5560" w:type="dxa"/>
            <w:vAlign w:val="bottom"/>
            <w:gridSpan w:val="17"/>
          </w:tcPr>
          <w:p>
            <w:pPr>
              <w:spacing w:after="0" w:line="183" w:lineRule="exact"/>
              <w:rPr>
                <w:sz w:val="20"/>
                <w:szCs w:val="20"/>
                <w:color w:val="auto"/>
              </w:rPr>
            </w:pPr>
            <w:r>
              <w:rPr>
                <w:rFonts w:ascii="Arial" w:cs="Arial" w:eastAsia="Arial" w:hAnsi="Arial"/>
                <w:sz w:val="18"/>
                <w:szCs w:val="18"/>
                <w:color w:val="auto"/>
              </w:rPr>
              <w:t>appear in the Interactive Data File because its XBRL tags are</w:t>
            </w:r>
          </w:p>
        </w:tc>
        <w:tc>
          <w:tcPr>
            <w:tcW w:w="1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101.SCH</w:t>
            </w:r>
          </w:p>
        </w:tc>
        <w:tc>
          <w:tcPr>
            <w:tcW w:w="556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Schema Document</w:t>
            </w:r>
          </w:p>
        </w:tc>
        <w:tc>
          <w:tcPr>
            <w:tcW w:w="1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40" w:type="dxa"/>
            <w:vAlign w:val="bottom"/>
          </w:tcPr>
          <w:p>
            <w:pPr>
              <w:ind w:left="2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101.DEF</w:t>
            </w:r>
          </w:p>
        </w:tc>
        <w:tc>
          <w:tcPr>
            <w:tcW w:w="556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40" w:type="dxa"/>
            <w:vAlign w:val="bottom"/>
          </w:tcPr>
          <w:p>
            <w:pPr>
              <w:ind w:left="2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101.PRE</w:t>
            </w:r>
          </w:p>
        </w:tc>
        <w:tc>
          <w:tcPr>
            <w:tcW w:w="556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5560" w:type="dxa"/>
            <w:vAlign w:val="bottom"/>
            <w:gridSpan w:val="17"/>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1740" w:type="dxa"/>
            <w:vAlign w:val="bottom"/>
          </w:tcPr>
          <w:p>
            <w:pPr>
              <w:ind w:left="20"/>
              <w:spacing w:after="0" w:line="176"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contained in Exhibit 101)</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 |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32" w:lineRule="exact"/>
        <w:rPr>
          <w:sz w:val="20"/>
          <w:szCs w:val="20"/>
          <w:color w:val="auto"/>
        </w:rPr>
      </w:pPr>
    </w:p>
    <w:p>
      <w:pPr>
        <w:ind w:left="20"/>
        <w:spacing w:after="0"/>
        <w:tabs>
          <w:tab w:leader="none" w:pos="540" w:val="left"/>
          <w:tab w:leader="none" w:pos="5600" w:val="left"/>
          <w:tab w:leader="none" w:pos="7980" w:val="left"/>
        </w:tabs>
        <w:rPr>
          <w:sz w:val="20"/>
          <w:szCs w:val="20"/>
          <w:color w:val="auto"/>
        </w:rPr>
      </w:pPr>
      <w:r>
        <w:rPr>
          <w:rFonts w:ascii="Arial" w:cs="Arial" w:eastAsia="Arial" w:hAnsi="Arial"/>
          <w:sz w:val="18"/>
          <w:szCs w:val="18"/>
          <w:color w:val="auto"/>
        </w:rPr>
        <w:t>Date</w:t>
        <w:tab/>
        <w:t>October 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12065</wp:posOffset>
            </wp:positionV>
            <wp:extent cx="32918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Mark Murphy</w:t>
      </w:r>
    </w:p>
    <w:p>
      <w:pPr>
        <w:jc w:val="center"/>
        <w:ind w:left="6040"/>
        <w:spacing w:after="0"/>
        <w:rPr>
          <w:sz w:val="20"/>
          <w:szCs w:val="20"/>
          <w:color w:val="auto"/>
        </w:rPr>
      </w:pPr>
      <w:r>
        <w:rPr>
          <w:rFonts w:ascii="Arial" w:cs="Arial" w:eastAsia="Arial" w:hAnsi="Arial"/>
          <w:sz w:val="18"/>
          <w:szCs w:val="18"/>
          <w:color w:val="auto"/>
        </w:rPr>
        <w:t>Executive Vice President and Chief Financial Officer</w:t>
      </w:r>
    </w:p>
    <w:p>
      <w:pPr>
        <w:spacing w:after="0" w:line="14"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5"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rPr>
              <w:t>Signature</w:t>
            </w:r>
          </w:p>
        </w:tc>
        <w:tc>
          <w:tcPr>
            <w:tcW w:w="2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800"/>
              <w:spacing w:after="0" w:line="196" w:lineRule="exact"/>
              <w:rPr>
                <w:sz w:val="20"/>
                <w:szCs w:val="20"/>
                <w:color w:val="auto"/>
              </w:rPr>
            </w:pPr>
            <w:r>
              <w:rPr>
                <w:rFonts w:ascii="Arial" w:cs="Arial" w:eastAsia="Arial" w:hAnsi="Arial"/>
                <w:sz w:val="18"/>
                <w:szCs w:val="18"/>
                <w:b w:val="1"/>
                <w:bCs w:val="1"/>
                <w:color w:val="auto"/>
              </w:rPr>
              <w:t>Date</w:t>
            </w:r>
          </w:p>
        </w:tc>
      </w:tr>
      <w:tr>
        <w:trPr>
          <w:trHeight w:val="20"/>
        </w:trPr>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18"/>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9"/>
        </w:trPr>
        <w:tc>
          <w:tcPr>
            <w:tcW w:w="2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1"/>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Mark Murphy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18"/>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(Mark Murphy)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9"/>
        </w:trPr>
        <w:tc>
          <w:tcPr>
            <w:tcW w:w="2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1"/>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18"/>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Accounting Officer</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9"/>
        </w:trPr>
        <w:tc>
          <w:tcPr>
            <w:tcW w:w="2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2"/>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Richard M. Beyer</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(Richard M. Beyer)</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Lynn Dugle</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(Lynn Dugle)</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Steve Gomo</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(Steve Gomo)</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Linnie Haynesworth</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(Linnie Haynesworth)</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6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 Pat McCarthy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 Pat McCarthy)</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Bob Swan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(Bob Swan)</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6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Chair of the Board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MaryAnn Wright</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4, 2024</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(MaryAnn Wright)</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6" w:lineRule="exact"/>
        <w:rPr>
          <w:sz w:val="20"/>
          <w:szCs w:val="20"/>
          <w:color w:val="auto"/>
        </w:rPr>
      </w:pPr>
    </w:p>
    <w:p>
      <w:pPr>
        <w:ind w:left="9880"/>
        <w:spacing w:after="0"/>
        <w:rPr>
          <w:sz w:val="20"/>
          <w:szCs w:val="20"/>
          <w:color w:val="auto"/>
        </w:rPr>
      </w:pPr>
      <w:r>
        <w:rPr>
          <w:sz w:val="1"/>
          <w:szCs w:val="1"/>
          <w:color w:val="auto"/>
        </w:rPr>
        <w:drawing>
          <wp:inline distT="0" distB="0" distL="0" distR="0">
            <wp:extent cx="660400" cy="18034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60400" cy="180340"/>
                    </a:xfrm>
                    <a:prstGeom prst="rect">
                      <a:avLst/>
                    </a:prstGeom>
                    <a:noFill/>
                    <a:ln>
                      <a:noFill/>
                    </a:ln>
                  </pic:spPr>
                </pic:pic>
              </a:graphicData>
            </a:graphic>
          </wp:inline>
        </w:drawing>
      </w:r>
      <w:r>
        <w:rPr>
          <w:rFonts w:ascii="Arial" w:cs="Arial" w:eastAsia="Arial" w:hAnsi="Arial"/>
          <w:sz w:val="14"/>
          <w:szCs w:val="14"/>
          <w:b w:val="1"/>
          <w:bCs w:val="1"/>
          <w:color w:val="auto"/>
        </w:rPr>
        <w:t xml:space="preserve"> 102</w:t>
      </w:r>
    </w:p>
    <w:p>
      <w:pPr>
        <w:sectPr>
          <w:pgSz w:w="11900" w:h="16838" w:orient="portrait"/>
          <w:cols w:equalWidth="0" w:num="1">
            <w:col w:w="11240"/>
          </w:cols>
          <w:pgMar w:left="320" w:top="125" w:right="339" w:bottom="1440" w:gutter="0" w:footer="0" w:header="0"/>
          <w:type w:val="continuous"/>
        </w:sectPr>
      </w:pPr>
    </w:p>
    <w:bookmarkStart w:id="102" w:name="page103"/>
    <w:bookmarkEnd w:id="102"/>
    <w:p>
      <w:pPr>
        <w:jc w:val="right"/>
        <w:spacing w:after="0"/>
        <w:rPr>
          <w:sz w:val="20"/>
          <w:szCs w:val="20"/>
          <w:color w:val="auto"/>
        </w:rPr>
      </w:pPr>
      <w:r>
        <w:rPr>
          <w:rFonts w:ascii="Calibri" w:cs="Calibri" w:eastAsia="Calibri" w:hAnsi="Calibri"/>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140970</wp:posOffset>
            </wp:positionV>
            <wp:extent cx="5443220" cy="865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544322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Calibri" w:cs="Calibri" w:eastAsia="Calibri" w:hAnsi="Calibri"/>
          <w:sz w:val="23"/>
          <w:szCs w:val="23"/>
          <w:color w:val="2D5294"/>
        </w:rPr>
        <w:t>1. Purpose</w:t>
      </w:r>
    </w:p>
    <w:p>
      <w:pPr>
        <w:spacing w:after="0" w:line="215" w:lineRule="exact"/>
        <w:rPr>
          <w:sz w:val="20"/>
          <w:szCs w:val="20"/>
          <w:color w:val="auto"/>
        </w:rPr>
      </w:pPr>
    </w:p>
    <w:p>
      <w:pPr>
        <w:ind w:left="980" w:right="680" w:hanging="568"/>
        <w:spacing w:after="0" w:line="228" w:lineRule="auto"/>
        <w:tabs>
          <w:tab w:leader="none" w:pos="960" w:val="left"/>
        </w:tabs>
        <w:rPr>
          <w:sz w:val="20"/>
          <w:szCs w:val="20"/>
          <w:color w:val="auto"/>
        </w:rPr>
      </w:pPr>
      <w:r>
        <w:rPr>
          <w:rFonts w:ascii="Calibri" w:cs="Calibri" w:eastAsia="Calibri" w:hAnsi="Calibri"/>
          <w:sz w:val="20"/>
          <w:szCs w:val="20"/>
          <w:b w:val="1"/>
          <w:bCs w:val="1"/>
          <w:color w:val="auto"/>
        </w:rPr>
        <w:t>1.1.</w:t>
      </w:r>
      <w:r>
        <w:rPr>
          <w:sz w:val="20"/>
          <w:szCs w:val="20"/>
          <w:color w:val="auto"/>
        </w:rPr>
        <w:tab/>
      </w:r>
      <w:r>
        <w:rPr>
          <w:rFonts w:ascii="Calibri" w:cs="Calibri" w:eastAsia="Calibri" w:hAnsi="Calibri"/>
          <w:sz w:val="20"/>
          <w:szCs w:val="20"/>
          <w:color w:val="auto"/>
        </w:rPr>
        <w:t>Employees, ofcers, directors, suppliers, customers, service providers, representatves, distributors, and others (including advisors, consultants and contractors) of Micron Technology, Inc. (the “Company” or “Micron”) may become aware of material, nonpublic informaton about the Company, our shareholders, suppliers, or customers, or other companies. Insider trading occurs when a person who is aware of material nonpublic informaton about a company buys or sells that company’s securites or provides material nonpublic informaton to another person who may trade on the basis of that informaton. Insider trading is unlawful and could result in signifcant civil or criminal penaltes. Insider trading is taken very seriously by the Company and the government.</w:t>
      </w:r>
    </w:p>
    <w:p>
      <w:pPr>
        <w:spacing w:after="0" w:line="163" w:lineRule="exact"/>
        <w:rPr>
          <w:sz w:val="20"/>
          <w:szCs w:val="20"/>
          <w:color w:val="auto"/>
        </w:rPr>
      </w:pPr>
    </w:p>
    <w:p>
      <w:pPr>
        <w:ind w:left="100"/>
        <w:spacing w:after="0"/>
        <w:rPr>
          <w:sz w:val="20"/>
          <w:szCs w:val="20"/>
          <w:color w:val="auto"/>
        </w:rPr>
      </w:pPr>
      <w:r>
        <w:rPr>
          <w:rFonts w:ascii="Calibri" w:cs="Calibri" w:eastAsia="Calibri" w:hAnsi="Calibri"/>
          <w:sz w:val="23"/>
          <w:szCs w:val="23"/>
          <w:color w:val="2D5294"/>
        </w:rPr>
        <w:t>2. Scope</w:t>
      </w:r>
    </w:p>
    <w:p>
      <w:pPr>
        <w:spacing w:after="0" w:line="188" w:lineRule="exact"/>
        <w:rPr>
          <w:sz w:val="20"/>
          <w:szCs w:val="20"/>
          <w:color w:val="auto"/>
        </w:rPr>
      </w:pPr>
    </w:p>
    <w:p>
      <w:pPr>
        <w:ind w:left="980" w:right="240" w:hanging="568"/>
        <w:spacing w:after="0" w:line="227" w:lineRule="auto"/>
        <w:tabs>
          <w:tab w:leader="none" w:pos="960" w:val="left"/>
        </w:tabs>
        <w:rPr>
          <w:sz w:val="20"/>
          <w:szCs w:val="20"/>
          <w:color w:val="auto"/>
        </w:rPr>
      </w:pPr>
      <w:r>
        <w:rPr>
          <w:rFonts w:ascii="Calibri" w:cs="Calibri" w:eastAsia="Calibri" w:hAnsi="Calibri"/>
          <w:sz w:val="20"/>
          <w:szCs w:val="20"/>
          <w:b w:val="1"/>
          <w:bCs w:val="1"/>
          <w:color w:val="auto"/>
        </w:rPr>
        <w:t>2.1.</w:t>
      </w:r>
      <w:r>
        <w:rPr>
          <w:sz w:val="20"/>
          <w:szCs w:val="20"/>
          <w:color w:val="auto"/>
        </w:rPr>
        <w:tab/>
      </w:r>
      <w:r>
        <w:rPr>
          <w:rFonts w:ascii="Calibri" w:cs="Calibri" w:eastAsia="Calibri" w:hAnsi="Calibri"/>
          <w:sz w:val="20"/>
          <w:szCs w:val="20"/>
          <w:color w:val="auto"/>
        </w:rPr>
        <w:t>This Policy (“Policy”) applies to you if you are an employee, ofcer, director, consultant, contractor, or agent of, or other service provider of the Company or of any of its subsidiaries (for example, an auditor or atorney) both inside and outside of the United States. If this Policy applies to you, it also applies to your immediate family members, persons with whom you share a household, persons who are your economic dependents, and any person or entty whose transactons in securites you infuence, direct, or control, in all cases to the same extent that this Policy applies to you. You are responsible for making sure that these other individuals and enttes comply with this Policy. Team members who are Insiders (as defned below) and/or Secton 16 Reportng Persons (as defned below) are subject to additonal rules under this Policy and will be notfed by the Company of their designaton as such.</w:t>
      </w:r>
    </w:p>
    <w:p>
      <w:pPr>
        <w:spacing w:after="0" w:line="232" w:lineRule="exact"/>
        <w:rPr>
          <w:sz w:val="20"/>
          <w:szCs w:val="20"/>
          <w:color w:val="auto"/>
        </w:rPr>
      </w:pPr>
    </w:p>
    <w:p>
      <w:pPr>
        <w:ind w:left="1700" w:right="140" w:hanging="727"/>
        <w:spacing w:after="0"/>
        <w:tabs>
          <w:tab w:leader="none" w:pos="1680" w:val="left"/>
        </w:tabs>
        <w:rPr>
          <w:sz w:val="20"/>
          <w:szCs w:val="20"/>
          <w:color w:val="auto"/>
        </w:rPr>
      </w:pPr>
      <w:r>
        <w:rPr>
          <w:rFonts w:ascii="Calibri" w:cs="Calibri" w:eastAsia="Calibri" w:hAnsi="Calibri"/>
          <w:sz w:val="20"/>
          <w:szCs w:val="20"/>
          <w:b w:val="1"/>
          <w:bCs w:val="1"/>
          <w:color w:val="auto"/>
        </w:rPr>
        <w:t>2.1.1.</w:t>
      </w:r>
      <w:r>
        <w:rPr>
          <w:sz w:val="20"/>
          <w:szCs w:val="20"/>
          <w:color w:val="auto"/>
        </w:rPr>
        <w:tab/>
      </w:r>
      <w:r>
        <w:rPr>
          <w:rFonts w:ascii="Calibri" w:cs="Calibri" w:eastAsia="Calibri" w:hAnsi="Calibri"/>
          <w:sz w:val="20"/>
          <w:szCs w:val="20"/>
          <w:color w:val="auto"/>
        </w:rPr>
        <w:t>This Policy contnues to apply even if you leave the Company or are otherwise no longer afliated with or providing services to the Company, for as long as you remain in possession of Material Nonpublic Informaton about the Company or about another company which you have learned through the course of your work with the Company. In additon, if you are subject to a trading blackout under this Policy at the tme you leave the Company, you must abide by the applicable trading restrictons untl at least the end of the relevant blackout period.</w:t>
      </w:r>
    </w:p>
    <w:p>
      <w:pPr>
        <w:spacing w:after="0" w:line="200" w:lineRule="exact"/>
        <w:rPr>
          <w:sz w:val="20"/>
          <w:szCs w:val="20"/>
          <w:color w:val="auto"/>
        </w:rPr>
      </w:pPr>
    </w:p>
    <w:p>
      <w:pPr>
        <w:spacing w:after="0" w:line="213" w:lineRule="exact"/>
        <w:rPr>
          <w:sz w:val="20"/>
          <w:szCs w:val="20"/>
          <w:color w:val="auto"/>
        </w:rPr>
      </w:pPr>
    </w:p>
    <w:p>
      <w:pPr>
        <w:ind w:left="980" w:right="460" w:hanging="568"/>
        <w:spacing w:after="0" w:line="227" w:lineRule="auto"/>
        <w:tabs>
          <w:tab w:leader="none" w:pos="960" w:val="left"/>
        </w:tabs>
        <w:rPr>
          <w:sz w:val="20"/>
          <w:szCs w:val="20"/>
          <w:color w:val="auto"/>
        </w:rPr>
      </w:pPr>
      <w:r>
        <w:rPr>
          <w:rFonts w:ascii="Calibri" w:cs="Calibri" w:eastAsia="Calibri" w:hAnsi="Calibri"/>
          <w:sz w:val="20"/>
          <w:szCs w:val="20"/>
          <w:b w:val="1"/>
          <w:bCs w:val="1"/>
          <w:color w:val="auto"/>
        </w:rPr>
        <w:t>2.2.</w:t>
        <w:tab/>
        <w:t xml:space="preserve">Transactons Covered. </w:t>
      </w:r>
      <w:r>
        <w:rPr>
          <w:rFonts w:ascii="Calibri" w:cs="Calibri" w:eastAsia="Calibri" w:hAnsi="Calibri"/>
          <w:sz w:val="20"/>
          <w:szCs w:val="20"/>
          <w:color w:val="auto"/>
        </w:rPr>
        <w:t>This Policy applies to all transactons involving Company Securites (as defned below) 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securites of any other company about which you possess Material Nonpublic Informaton (as defned below) obtained through the course of your work with the Company (“Other Securites”). Accordingly, this Policy applies to:</w:t>
      </w:r>
    </w:p>
    <w:p>
      <w:pPr>
        <w:spacing w:after="0" w:line="239" w:lineRule="exact"/>
        <w:rPr>
          <w:sz w:val="20"/>
          <w:szCs w:val="20"/>
          <w:color w:val="auto"/>
        </w:rPr>
      </w:pPr>
    </w:p>
    <w:p>
      <w:pPr>
        <w:ind w:left="1720" w:right="400" w:hanging="727"/>
        <w:spacing w:after="0" w:line="227" w:lineRule="auto"/>
        <w:tabs>
          <w:tab w:leader="none" w:pos="1700" w:val="left"/>
        </w:tabs>
        <w:rPr>
          <w:sz w:val="20"/>
          <w:szCs w:val="20"/>
          <w:color w:val="auto"/>
        </w:rPr>
      </w:pPr>
      <w:r>
        <w:rPr>
          <w:rFonts w:ascii="Calibri" w:cs="Calibri" w:eastAsia="Calibri" w:hAnsi="Calibri"/>
          <w:sz w:val="20"/>
          <w:szCs w:val="20"/>
          <w:b w:val="1"/>
          <w:bCs w:val="1"/>
          <w:color w:val="auto"/>
        </w:rPr>
        <w:t>2.2.1.</w:t>
      </w:r>
      <w:r>
        <w:rPr>
          <w:sz w:val="20"/>
          <w:szCs w:val="20"/>
          <w:color w:val="auto"/>
        </w:rPr>
        <w:tab/>
      </w:r>
      <w:r>
        <w:rPr>
          <w:rFonts w:ascii="Calibri" w:cs="Calibri" w:eastAsia="Calibri" w:hAnsi="Calibri"/>
          <w:sz w:val="20"/>
          <w:szCs w:val="20"/>
          <w:color w:val="auto"/>
        </w:rPr>
        <w:t>All transactons in Company Securites (as defned below) or Other Securites, regardless of trading platorm, including any purchase, sale, loan, or other transfer or dispositon of such securites, whether direct or indirect (including transactons made on your behalf by money managers);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400" w:top="321" w:right="339" w:bottom="1440" w:gutter="0" w:footer="0" w:header="0"/>
        </w:sectPr>
      </w:pPr>
    </w:p>
    <w:bookmarkStart w:id="103" w:name="page104"/>
    <w:bookmarkEnd w:id="103"/>
    <w:p>
      <w:pPr>
        <w:ind w:left="1760" w:right="100" w:hanging="728"/>
        <w:spacing w:after="0" w:line="234" w:lineRule="auto"/>
        <w:tabs>
          <w:tab w:leader="none" w:pos="1740" w:val="left"/>
        </w:tabs>
        <w:rPr>
          <w:sz w:val="20"/>
          <w:szCs w:val="20"/>
          <w:color w:val="auto"/>
        </w:rPr>
      </w:pPr>
      <w:r>
        <w:rPr>
          <w:rFonts w:ascii="Calibri" w:cs="Calibri" w:eastAsia="Calibri" w:hAnsi="Calibri"/>
          <w:sz w:val="20"/>
          <w:szCs w:val="20"/>
          <w:b w:val="1"/>
          <w:bCs w:val="1"/>
          <w:color w:val="auto"/>
        </w:rPr>
        <w:t>2.2.2.</w:t>
      </w:r>
      <w:r>
        <w:rPr>
          <w:sz w:val="20"/>
          <w:szCs w:val="20"/>
          <w:color w:val="auto"/>
        </w:rPr>
        <w:tab/>
      </w:r>
      <w:r>
        <w:rPr>
          <w:rFonts w:ascii="Calibri" w:cs="Calibri" w:eastAsia="Calibri" w:hAnsi="Calibri"/>
          <w:sz w:val="20"/>
          <w:szCs w:val="20"/>
          <w:color w:val="auto"/>
        </w:rPr>
        <w:t>Gifs (including bona fde gifs not for consideraton such as charitable contributons) of Company Securites or Other Securites;</w:t>
      </w:r>
    </w:p>
    <w:p>
      <w:pPr>
        <w:spacing w:after="0" w:line="253" w:lineRule="exact"/>
        <w:rPr>
          <w:sz w:val="20"/>
          <w:szCs w:val="20"/>
          <w:color w:val="auto"/>
        </w:rPr>
      </w:pPr>
    </w:p>
    <w:p>
      <w:pPr>
        <w:ind w:left="1760" w:right="180" w:hanging="728"/>
        <w:spacing w:after="0" w:line="228" w:lineRule="auto"/>
        <w:tabs>
          <w:tab w:leader="none" w:pos="1740" w:val="left"/>
        </w:tabs>
        <w:rPr>
          <w:sz w:val="20"/>
          <w:szCs w:val="20"/>
          <w:color w:val="auto"/>
        </w:rPr>
      </w:pPr>
      <w:r>
        <w:rPr>
          <w:rFonts w:ascii="Calibri" w:cs="Calibri" w:eastAsia="Calibri" w:hAnsi="Calibri"/>
          <w:sz w:val="20"/>
          <w:szCs w:val="20"/>
          <w:b w:val="1"/>
          <w:bCs w:val="1"/>
          <w:color w:val="auto"/>
        </w:rPr>
        <w:t>2.2.3.</w:t>
      </w:r>
      <w:r>
        <w:rPr>
          <w:sz w:val="20"/>
          <w:szCs w:val="20"/>
          <w:color w:val="auto"/>
        </w:rPr>
        <w:tab/>
      </w:r>
      <w:r>
        <w:rPr>
          <w:rFonts w:ascii="Calibri" w:cs="Calibri" w:eastAsia="Calibri" w:hAnsi="Calibri"/>
          <w:sz w:val="20"/>
          <w:szCs w:val="20"/>
          <w:color w:val="auto"/>
        </w:rPr>
        <w:t>Distributons of Company Securites (or related interests) or Other Securites from an entty that is covered by this Policy (see “Persons Covered by this Policy); and</w:t>
      </w:r>
    </w:p>
    <w:p>
      <w:pPr>
        <w:spacing w:after="0" w:line="238" w:lineRule="exact"/>
        <w:rPr>
          <w:sz w:val="20"/>
          <w:szCs w:val="20"/>
          <w:color w:val="auto"/>
        </w:rPr>
      </w:pPr>
    </w:p>
    <w:p>
      <w:pPr>
        <w:ind w:left="1740" w:right="100" w:hanging="727"/>
        <w:spacing w:after="0" w:line="230" w:lineRule="auto"/>
        <w:tabs>
          <w:tab w:leader="none" w:pos="1720" w:val="left"/>
        </w:tabs>
        <w:rPr>
          <w:sz w:val="20"/>
          <w:szCs w:val="20"/>
          <w:color w:val="auto"/>
        </w:rPr>
      </w:pPr>
      <w:r>
        <w:rPr>
          <w:rFonts w:ascii="Calibri" w:cs="Calibri" w:eastAsia="Calibri" w:hAnsi="Calibri"/>
          <w:sz w:val="20"/>
          <w:szCs w:val="20"/>
          <w:b w:val="1"/>
          <w:bCs w:val="1"/>
          <w:color w:val="auto"/>
        </w:rPr>
        <w:t>2.2.4.</w:t>
      </w:r>
      <w:r>
        <w:rPr>
          <w:sz w:val="20"/>
          <w:szCs w:val="20"/>
          <w:color w:val="auto"/>
        </w:rPr>
        <w:tab/>
      </w:r>
      <w:r>
        <w:rPr>
          <w:rFonts w:ascii="Calibri" w:cs="Calibri" w:eastAsia="Calibri" w:hAnsi="Calibri"/>
          <w:sz w:val="20"/>
          <w:szCs w:val="20"/>
          <w:color w:val="auto"/>
        </w:rPr>
        <w:t>Any other arrangement that generates gains or losses from or based on changes in the prices of Company Securites or Other Securites, including derivatve securites (for example, exchange-traded put or call optons, swaps, caps and collars), hedging and pledging transactons, short sales and certain arrangements regarding partcipaton in beneft plans, and any ofer to engage in any of the foregoing.</w:t>
      </w:r>
    </w:p>
    <w:p>
      <w:pPr>
        <w:spacing w:after="0" w:line="175" w:lineRule="exact"/>
        <w:rPr>
          <w:sz w:val="20"/>
          <w:szCs w:val="20"/>
          <w:color w:val="auto"/>
        </w:rPr>
      </w:pPr>
    </w:p>
    <w:p>
      <w:pPr>
        <w:ind w:left="140"/>
        <w:spacing w:after="0"/>
        <w:rPr>
          <w:sz w:val="20"/>
          <w:szCs w:val="20"/>
          <w:color w:val="auto"/>
        </w:rPr>
      </w:pPr>
      <w:r>
        <w:rPr>
          <w:rFonts w:ascii="Calibri" w:cs="Calibri" w:eastAsia="Calibri" w:hAnsi="Calibri"/>
          <w:sz w:val="23"/>
          <w:szCs w:val="23"/>
          <w:color w:val="2D5294"/>
        </w:rPr>
        <w:t>3. Policy Statement</w:t>
      </w:r>
    </w:p>
    <w:p>
      <w:pPr>
        <w:spacing w:after="0" w:line="174" w:lineRule="exact"/>
        <w:rPr>
          <w:sz w:val="20"/>
          <w:szCs w:val="20"/>
          <w:color w:val="auto"/>
        </w:rPr>
      </w:pPr>
    </w:p>
    <w:p>
      <w:pPr>
        <w:ind w:left="1020" w:right="340" w:hanging="568"/>
        <w:spacing w:after="0" w:line="234" w:lineRule="auto"/>
        <w:tabs>
          <w:tab w:leader="none" w:pos="1000" w:val="left"/>
        </w:tabs>
        <w:rPr>
          <w:sz w:val="20"/>
          <w:szCs w:val="20"/>
          <w:color w:val="auto"/>
        </w:rPr>
      </w:pPr>
      <w:r>
        <w:rPr>
          <w:rFonts w:ascii="Calibri" w:cs="Calibri" w:eastAsia="Calibri" w:hAnsi="Calibri"/>
          <w:sz w:val="20"/>
          <w:szCs w:val="20"/>
          <w:b w:val="1"/>
          <w:bCs w:val="1"/>
          <w:color w:val="auto"/>
        </w:rPr>
        <w:t>3.1.</w:t>
      </w:r>
      <w:r>
        <w:rPr>
          <w:sz w:val="20"/>
          <w:szCs w:val="20"/>
          <w:color w:val="auto"/>
        </w:rPr>
        <w:tab/>
      </w:r>
      <w:r>
        <w:rPr>
          <w:rFonts w:ascii="Calibri" w:cs="Calibri" w:eastAsia="Calibri" w:hAnsi="Calibri"/>
          <w:sz w:val="20"/>
          <w:szCs w:val="20"/>
          <w:color w:val="auto"/>
        </w:rPr>
        <w:t>It is the policy of the Company that the unauthorized disclosure of any nonpublic informaton about the Company or another company that you obtained in connecton with your service with the Company is prohibited.</w:t>
      </w:r>
    </w:p>
    <w:p>
      <w:pPr>
        <w:spacing w:after="0" w:line="217" w:lineRule="exact"/>
        <w:rPr>
          <w:sz w:val="20"/>
          <w:szCs w:val="20"/>
          <w:color w:val="auto"/>
        </w:rPr>
      </w:pPr>
    </w:p>
    <w:p>
      <w:pPr>
        <w:ind w:left="140"/>
        <w:spacing w:after="0"/>
        <w:rPr>
          <w:sz w:val="20"/>
          <w:szCs w:val="20"/>
          <w:color w:val="auto"/>
        </w:rPr>
      </w:pPr>
      <w:r>
        <w:rPr>
          <w:rFonts w:ascii="Calibri" w:cs="Calibri" w:eastAsia="Calibri" w:hAnsi="Calibri"/>
          <w:sz w:val="23"/>
          <w:szCs w:val="23"/>
          <w:color w:val="2D5294"/>
        </w:rPr>
        <w:t>4. Defnitons</w:t>
      </w:r>
    </w:p>
    <w:p>
      <w:pPr>
        <w:spacing w:after="0" w:line="70" w:lineRule="exact"/>
        <w:rPr>
          <w:sz w:val="20"/>
          <w:szCs w:val="20"/>
          <w:color w:val="auto"/>
        </w:rPr>
      </w:pPr>
    </w:p>
    <w:p>
      <w:pPr>
        <w:ind w:left="140"/>
        <w:spacing w:after="0"/>
        <w:rPr>
          <w:sz w:val="20"/>
          <w:szCs w:val="20"/>
          <w:color w:val="auto"/>
        </w:rPr>
      </w:pPr>
      <w:r>
        <w:rPr>
          <w:rFonts w:ascii="Calibri" w:cs="Calibri" w:eastAsia="Calibri" w:hAnsi="Calibri"/>
          <w:sz w:val="20"/>
          <w:szCs w:val="20"/>
          <w:b w:val="1"/>
          <w:bCs w:val="1"/>
          <w:color w:val="auto"/>
        </w:rPr>
        <w:t>4.1 Terms and Defnitons</w:t>
      </w:r>
    </w:p>
    <w:p>
      <w:pPr>
        <w:spacing w:after="0" w:line="94" w:lineRule="exact"/>
        <w:rPr>
          <w:sz w:val="20"/>
          <w:szCs w:val="20"/>
          <w:color w:val="auto"/>
        </w:rPr>
      </w:pPr>
    </w:p>
    <w:tbl>
      <w:tblPr>
        <w:tblLayout w:type="fixed"/>
        <w:tblInd w:w="90" w:type="dxa"/>
        <w:tblCellMar>
          <w:top w:w="0" w:type="dxa"/>
          <w:left w:w="0" w:type="dxa"/>
          <w:bottom w:w="0" w:type="dxa"/>
          <w:right w:w="0" w:type="dxa"/>
        </w:tblCellMar>
      </w:tblPr>
      <w:tr>
        <w:trPr>
          <w:trHeight w:val="302"/>
        </w:trPr>
        <w:tc>
          <w:tcPr>
            <w:tcW w:w="2280" w:type="dxa"/>
            <w:vAlign w:val="bottom"/>
            <w:tcBorders>
              <w:top w:val="single" w:sz="8" w:color="auto"/>
              <w:left w:val="single" w:sz="8" w:color="auto"/>
              <w:bottom w:val="single" w:sz="8" w:color="8EAADB"/>
              <w:right w:val="single" w:sz="8" w:color="auto"/>
            </w:tcBorders>
            <w:shd w:val="clear" w:color="auto" w:fill="8EAADB"/>
          </w:tcPr>
          <w:p>
            <w:pPr>
              <w:ind w:left="920"/>
              <w:spacing w:after="0"/>
              <w:rPr>
                <w:sz w:val="20"/>
                <w:szCs w:val="20"/>
                <w:color w:val="auto"/>
              </w:rPr>
            </w:pPr>
            <w:r>
              <w:rPr>
                <w:rFonts w:ascii="Calibri" w:cs="Calibri" w:eastAsia="Calibri" w:hAnsi="Calibri"/>
                <w:sz w:val="20"/>
                <w:szCs w:val="20"/>
                <w:b w:val="1"/>
                <w:bCs w:val="1"/>
                <w:color w:val="auto"/>
              </w:rPr>
              <w:t>Term</w:t>
            </w:r>
          </w:p>
        </w:tc>
        <w:tc>
          <w:tcPr>
            <w:tcW w:w="8540" w:type="dxa"/>
            <w:vAlign w:val="bottom"/>
            <w:tcBorders>
              <w:top w:val="single" w:sz="8" w:color="auto"/>
              <w:bottom w:val="single" w:sz="8" w:color="8EAADB"/>
              <w:right w:val="single" w:sz="8" w:color="auto"/>
            </w:tcBorders>
            <w:shd w:val="clear" w:color="auto" w:fill="8EAADB"/>
          </w:tcPr>
          <w:p>
            <w:pPr>
              <w:ind w:left="3840"/>
              <w:spacing w:after="0"/>
              <w:rPr>
                <w:sz w:val="20"/>
                <w:szCs w:val="20"/>
                <w:color w:val="auto"/>
              </w:rPr>
            </w:pPr>
            <w:r>
              <w:rPr>
                <w:rFonts w:ascii="Calibri" w:cs="Calibri" w:eastAsia="Calibri" w:hAnsi="Calibri"/>
                <w:sz w:val="20"/>
                <w:szCs w:val="20"/>
                <w:b w:val="1"/>
                <w:bCs w:val="1"/>
                <w:color w:val="auto"/>
              </w:rPr>
              <w:t>Defniton</w:t>
            </w:r>
          </w:p>
        </w:tc>
      </w:tr>
      <w:tr>
        <w:trPr>
          <w:trHeight w:val="226"/>
        </w:trPr>
        <w:tc>
          <w:tcPr>
            <w:tcW w:w="2280" w:type="dxa"/>
            <w:vAlign w:val="bottom"/>
            <w:tcBorders>
              <w:top w:val="single" w:sz="8" w:color="auto"/>
              <w:left w:val="single" w:sz="8" w:color="auto"/>
              <w:right w:val="single" w:sz="8" w:color="auto"/>
            </w:tcBorders>
          </w:tcPr>
          <w:p>
            <w:pPr>
              <w:ind w:left="100"/>
              <w:spacing w:after="0" w:line="225" w:lineRule="exact"/>
              <w:rPr>
                <w:sz w:val="20"/>
                <w:szCs w:val="20"/>
                <w:color w:val="auto"/>
              </w:rPr>
            </w:pPr>
            <w:r>
              <w:rPr>
                <w:rFonts w:ascii="Calibri" w:cs="Calibri" w:eastAsia="Calibri" w:hAnsi="Calibri"/>
                <w:sz w:val="20"/>
                <w:szCs w:val="20"/>
                <w:color w:val="auto"/>
              </w:rPr>
              <w:t>Chief Legal Ofcer</w:t>
            </w:r>
          </w:p>
        </w:tc>
        <w:tc>
          <w:tcPr>
            <w:tcW w:w="8540" w:type="dxa"/>
            <w:vAlign w:val="bottom"/>
            <w:tcBorders>
              <w:top w:val="single" w:sz="8" w:color="auto"/>
              <w:right w:val="single" w:sz="8" w:color="auto"/>
            </w:tcBorders>
          </w:tcPr>
          <w:p>
            <w:pPr>
              <w:ind w:left="140"/>
              <w:spacing w:after="0" w:line="225" w:lineRule="exact"/>
              <w:rPr>
                <w:sz w:val="20"/>
                <w:szCs w:val="20"/>
                <w:color w:val="auto"/>
              </w:rPr>
            </w:pPr>
            <w:r>
              <w:rPr>
                <w:rFonts w:ascii="Calibri" w:cs="Calibri" w:eastAsia="Calibri" w:hAnsi="Calibri"/>
                <w:sz w:val="20"/>
                <w:szCs w:val="20"/>
                <w:color w:val="auto"/>
              </w:rPr>
              <w:t>Each of the Company’s Chief Legal Ofcer, Deputy General Counsel or any atorneys in the Corporate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Legal group that have been designated by the Chief Legal Ofcer as authorized to make</w:t>
            </w:r>
          </w:p>
        </w:tc>
      </w:tr>
      <w:tr>
        <w:trPr>
          <w:trHeight w:val="243"/>
        </w:trPr>
        <w:tc>
          <w:tcPr>
            <w:tcW w:w="228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tcPr>
          <w:p>
            <w:pPr>
              <w:ind w:left="140"/>
              <w:spacing w:after="0" w:line="243" w:lineRule="exact"/>
              <w:rPr>
                <w:sz w:val="20"/>
                <w:szCs w:val="20"/>
                <w:color w:val="auto"/>
              </w:rPr>
            </w:pPr>
            <w:r>
              <w:rPr>
                <w:rFonts w:ascii="Calibri" w:cs="Calibri" w:eastAsia="Calibri" w:hAnsi="Calibri"/>
                <w:sz w:val="20"/>
                <w:szCs w:val="20"/>
                <w:color w:val="auto"/>
              </w:rPr>
              <w:t>determinatons under the Insider Trading Policy.</w:t>
            </w:r>
          </w:p>
        </w:tc>
      </w:tr>
      <w:tr>
        <w:trPr>
          <w:trHeight w:val="60"/>
        </w:trPr>
        <w:tc>
          <w:tcPr>
            <w:tcW w:w="2280" w:type="dxa"/>
            <w:vAlign w:val="bottom"/>
            <w:tcBorders>
              <w:left w:val="single" w:sz="8" w:color="auto"/>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r>
      <w:tr>
        <w:trPr>
          <w:trHeight w:val="226"/>
        </w:trPr>
        <w:tc>
          <w:tcPr>
            <w:tcW w:w="2280" w:type="dxa"/>
            <w:vAlign w:val="bottom"/>
            <w:tcBorders>
              <w:left w:val="single" w:sz="8" w:color="auto"/>
              <w:right w:val="single" w:sz="8" w:color="auto"/>
            </w:tcBorders>
          </w:tcPr>
          <w:p>
            <w:pPr>
              <w:ind w:left="100"/>
              <w:spacing w:after="0" w:line="225" w:lineRule="exact"/>
              <w:rPr>
                <w:sz w:val="20"/>
                <w:szCs w:val="20"/>
                <w:color w:val="auto"/>
              </w:rPr>
            </w:pPr>
            <w:r>
              <w:rPr>
                <w:rFonts w:ascii="Calibri" w:cs="Calibri" w:eastAsia="Calibri" w:hAnsi="Calibri"/>
                <w:sz w:val="20"/>
                <w:szCs w:val="20"/>
                <w:color w:val="auto"/>
              </w:rPr>
              <w:t>Company Securites</w:t>
            </w:r>
          </w:p>
        </w:tc>
        <w:tc>
          <w:tcPr>
            <w:tcW w:w="8540" w:type="dxa"/>
            <w:vAlign w:val="bottom"/>
            <w:tcBorders>
              <w:right w:val="single" w:sz="8" w:color="auto"/>
            </w:tcBorders>
          </w:tcPr>
          <w:p>
            <w:pPr>
              <w:ind w:left="140"/>
              <w:spacing w:after="0" w:line="225" w:lineRule="exact"/>
              <w:rPr>
                <w:sz w:val="20"/>
                <w:szCs w:val="20"/>
                <w:color w:val="auto"/>
              </w:rPr>
            </w:pPr>
            <w:r>
              <w:rPr>
                <w:rFonts w:ascii="Calibri" w:cs="Calibri" w:eastAsia="Calibri" w:hAnsi="Calibri"/>
                <w:sz w:val="20"/>
                <w:szCs w:val="20"/>
                <w:color w:val="auto"/>
              </w:rPr>
              <w:t>The Company’s common stock, optons for common stock and other securites the Company may</w:t>
            </w:r>
          </w:p>
        </w:tc>
      </w:tr>
      <w:tr>
        <w:trPr>
          <w:trHeight w:val="230"/>
        </w:trPr>
        <w:tc>
          <w:tcPr>
            <w:tcW w:w="22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tcPr>
          <w:p>
            <w:pPr>
              <w:ind w:left="140"/>
              <w:spacing w:after="0" w:line="229" w:lineRule="exact"/>
              <w:rPr>
                <w:sz w:val="20"/>
                <w:szCs w:val="20"/>
                <w:color w:val="auto"/>
              </w:rPr>
            </w:pPr>
            <w:r>
              <w:rPr>
                <w:rFonts w:ascii="Calibri" w:cs="Calibri" w:eastAsia="Calibri" w:hAnsi="Calibri"/>
                <w:sz w:val="20"/>
                <w:szCs w:val="20"/>
                <w:color w:val="auto"/>
              </w:rPr>
              <w:t>issue from tme to tme such as convertble debentures, preferred stock, or debt, as well as</w:t>
            </w:r>
          </w:p>
        </w:tc>
      </w:tr>
      <w:tr>
        <w:trPr>
          <w:trHeight w:val="229"/>
        </w:trPr>
        <w:tc>
          <w:tcPr>
            <w:tcW w:w="22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tcPr>
          <w:p>
            <w:pPr>
              <w:ind w:left="140"/>
              <w:spacing w:after="0" w:line="229" w:lineRule="exact"/>
              <w:rPr>
                <w:sz w:val="20"/>
                <w:szCs w:val="20"/>
                <w:color w:val="auto"/>
              </w:rPr>
            </w:pPr>
            <w:r>
              <w:rPr>
                <w:rFonts w:ascii="Calibri" w:cs="Calibri" w:eastAsia="Calibri" w:hAnsi="Calibri"/>
                <w:sz w:val="20"/>
                <w:szCs w:val="20"/>
                <w:color w:val="auto"/>
              </w:rPr>
              <w:t>derivatve securites relatng to the Company’s stock, whether or not issued by the Company, such as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exchange- traded puts or calls.</w:t>
            </w:r>
          </w:p>
        </w:tc>
      </w:tr>
      <w:tr>
        <w:trPr>
          <w:trHeight w:val="60"/>
        </w:trPr>
        <w:tc>
          <w:tcPr>
            <w:tcW w:w="2280" w:type="dxa"/>
            <w:vAlign w:val="bottom"/>
            <w:tcBorders>
              <w:left w:val="single" w:sz="8" w:color="auto"/>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r>
      <w:tr>
        <w:trPr>
          <w:trHeight w:val="199"/>
        </w:trPr>
        <w:tc>
          <w:tcPr>
            <w:tcW w:w="2280" w:type="dxa"/>
            <w:vAlign w:val="bottom"/>
            <w:tcBorders>
              <w:left w:val="single" w:sz="8" w:color="auto"/>
              <w:right w:val="single" w:sz="8" w:color="auto"/>
            </w:tcBorders>
          </w:tcPr>
          <w:p>
            <w:pPr>
              <w:ind w:left="100"/>
              <w:spacing w:after="0" w:line="199" w:lineRule="exact"/>
              <w:rPr>
                <w:sz w:val="20"/>
                <w:szCs w:val="20"/>
                <w:color w:val="auto"/>
              </w:rPr>
            </w:pPr>
            <w:r>
              <w:rPr>
                <w:rFonts w:ascii="Calibri" w:cs="Calibri" w:eastAsia="Calibri" w:hAnsi="Calibri"/>
                <w:sz w:val="20"/>
                <w:szCs w:val="20"/>
                <w:color w:val="auto"/>
              </w:rPr>
              <w:t>Immediate Family</w:t>
            </w:r>
          </w:p>
        </w:tc>
        <w:tc>
          <w:tcPr>
            <w:tcW w:w="854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20"/>
                <w:szCs w:val="20"/>
                <w:color w:val="auto"/>
              </w:rPr>
              <w:t>A person’s child, stepchild, parent, stepparent, spouse, sibling, mother-in-law, father-in-law, son-in-</w:t>
            </w:r>
          </w:p>
        </w:tc>
      </w:tr>
      <w:tr>
        <w:trPr>
          <w:trHeight w:val="234"/>
        </w:trPr>
        <w:tc>
          <w:tcPr>
            <w:tcW w:w="2280" w:type="dxa"/>
            <w:vAlign w:val="bottom"/>
            <w:tcBorders>
              <w:left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Member</w:t>
            </w: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law, daughter-in-law, brother-in-law, or sister-in-law of such</w:t>
            </w:r>
          </w:p>
        </w:tc>
      </w:tr>
      <w:tr>
        <w:trPr>
          <w:trHeight w:val="243"/>
        </w:trPr>
        <w:tc>
          <w:tcPr>
            <w:tcW w:w="228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tcPr>
          <w:p>
            <w:pPr>
              <w:ind w:left="120"/>
              <w:spacing w:after="0" w:line="243" w:lineRule="exact"/>
              <w:rPr>
                <w:sz w:val="20"/>
                <w:szCs w:val="20"/>
                <w:color w:val="auto"/>
              </w:rPr>
            </w:pPr>
            <w:r>
              <w:rPr>
                <w:rFonts w:ascii="Calibri" w:cs="Calibri" w:eastAsia="Calibri" w:hAnsi="Calibri"/>
                <w:sz w:val="20"/>
                <w:szCs w:val="20"/>
                <w:color w:val="auto"/>
              </w:rPr>
              <w:t>person.</w:t>
            </w:r>
          </w:p>
        </w:tc>
      </w:tr>
      <w:tr>
        <w:trPr>
          <w:trHeight w:val="60"/>
        </w:trPr>
        <w:tc>
          <w:tcPr>
            <w:tcW w:w="2280" w:type="dxa"/>
            <w:vAlign w:val="bottom"/>
            <w:tcBorders>
              <w:left w:val="single" w:sz="8" w:color="auto"/>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r>
      <w:tr>
        <w:trPr>
          <w:trHeight w:val="199"/>
        </w:trPr>
        <w:tc>
          <w:tcPr>
            <w:tcW w:w="2280" w:type="dxa"/>
            <w:vAlign w:val="bottom"/>
            <w:tcBorders>
              <w:left w:val="single" w:sz="8" w:color="auto"/>
              <w:right w:val="single" w:sz="8" w:color="auto"/>
            </w:tcBorders>
          </w:tcPr>
          <w:p>
            <w:pPr>
              <w:ind w:left="100"/>
              <w:spacing w:after="0" w:line="199" w:lineRule="exact"/>
              <w:rPr>
                <w:sz w:val="20"/>
                <w:szCs w:val="20"/>
                <w:color w:val="auto"/>
              </w:rPr>
            </w:pPr>
            <w:r>
              <w:rPr>
                <w:rFonts w:ascii="Calibri" w:cs="Calibri" w:eastAsia="Calibri" w:hAnsi="Calibri"/>
                <w:sz w:val="20"/>
                <w:szCs w:val="20"/>
                <w:color w:val="auto"/>
              </w:rPr>
              <w:t>Insider</w:t>
            </w:r>
          </w:p>
        </w:tc>
        <w:tc>
          <w:tcPr>
            <w:tcW w:w="854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20"/>
                <w:szCs w:val="20"/>
                <w:color w:val="auto"/>
              </w:rPr>
              <w:t>Each ofcer and director of the Company and each other person covered by the Insider Trading</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Policy who has been identfed as an Insider by the Chief Legal</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20"/>
              <w:spacing w:after="0" w:line="239" w:lineRule="exact"/>
              <w:rPr>
                <w:sz w:val="20"/>
                <w:szCs w:val="20"/>
                <w:color w:val="auto"/>
              </w:rPr>
            </w:pPr>
            <w:r>
              <w:rPr>
                <w:rFonts w:ascii="Calibri" w:cs="Calibri" w:eastAsia="Calibri" w:hAnsi="Calibri"/>
                <w:sz w:val="20"/>
                <w:szCs w:val="20"/>
                <w:color w:val="auto"/>
              </w:rPr>
              <w:t>Ofcer, including persons that may be identfed by the Chief Legal Ofcer for purposes of a</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special trading blackout. The Chief Legal Ofcer will notfy each Insider in writng (including</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9" w:lineRule="exact"/>
              <w:rPr>
                <w:sz w:val="20"/>
                <w:szCs w:val="20"/>
                <w:color w:val="auto"/>
              </w:rPr>
            </w:pPr>
            <w:r>
              <w:rPr>
                <w:rFonts w:ascii="Calibri" w:cs="Calibri" w:eastAsia="Calibri" w:hAnsi="Calibri"/>
                <w:sz w:val="20"/>
                <w:szCs w:val="20"/>
                <w:color w:val="auto"/>
              </w:rPr>
              <w:t>electronically) that such person is an Insider. The Chief Legal Ofcer will maintain a schedule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Insiders.</w:t>
            </w:r>
          </w:p>
        </w:tc>
      </w:tr>
      <w:tr>
        <w:trPr>
          <w:trHeight w:val="60"/>
        </w:trPr>
        <w:tc>
          <w:tcPr>
            <w:tcW w:w="2280" w:type="dxa"/>
            <w:vAlign w:val="bottom"/>
            <w:tcBorders>
              <w:left w:val="single" w:sz="8" w:color="auto"/>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0"/>
          </w:cols>
          <w:pgMar w:left="360" w:top="1357" w:right="639" w:bottom="1440" w:gutter="0" w:footer="0" w:header="0"/>
        </w:sectPr>
      </w:pPr>
    </w:p>
    <w:bookmarkStart w:id="104" w:name="page105"/>
    <w:bookmarkEnd w:id="104"/>
    <w:tbl>
      <w:tblPr>
        <w:tblLayout w:type="fixed"/>
        <w:tblInd w:w="50" w:type="dxa"/>
        <w:tblCellMar>
          <w:top w:w="0" w:type="dxa"/>
          <w:left w:w="0" w:type="dxa"/>
          <w:bottom w:w="0" w:type="dxa"/>
          <w:right w:w="0" w:type="dxa"/>
        </w:tblCellMar>
      </w:tblPr>
      <w:tr>
        <w:trPr>
          <w:trHeight w:val="232"/>
        </w:trPr>
        <w:tc>
          <w:tcPr>
            <w:tcW w:w="2280" w:type="dxa"/>
            <w:vAlign w:val="bottom"/>
            <w:tcBorders>
              <w:top w:val="single" w:sz="8" w:color="auto"/>
              <w:left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Material Informaton</w:t>
            </w:r>
          </w:p>
        </w:tc>
        <w:tc>
          <w:tcPr>
            <w:tcW w:w="8540" w:type="dxa"/>
            <w:vAlign w:val="bottom"/>
            <w:tcBorders>
              <w:top w:val="single" w:sz="8" w:color="auto"/>
              <w:right w:val="single" w:sz="8" w:color="auto"/>
            </w:tcBorders>
          </w:tcPr>
          <w:p>
            <w:pPr>
              <w:ind w:left="140"/>
              <w:spacing w:after="0" w:line="232" w:lineRule="exact"/>
              <w:rPr>
                <w:sz w:val="20"/>
                <w:szCs w:val="20"/>
                <w:color w:val="auto"/>
              </w:rPr>
            </w:pPr>
            <w:r>
              <w:rPr>
                <w:rFonts w:ascii="Calibri" w:cs="Calibri" w:eastAsia="Calibri" w:hAnsi="Calibri"/>
                <w:sz w:val="20"/>
                <w:szCs w:val="20"/>
                <w:color w:val="auto"/>
              </w:rPr>
              <w:t>Informaton reasonably likely to be considered important to an investor in making an investment</w:t>
            </w:r>
          </w:p>
        </w:tc>
      </w:tr>
      <w:tr>
        <w:trPr>
          <w:trHeight w:val="229"/>
        </w:trPr>
        <w:tc>
          <w:tcPr>
            <w:tcW w:w="22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tcPr>
          <w:p>
            <w:pPr>
              <w:ind w:left="140"/>
              <w:spacing w:after="0" w:line="229" w:lineRule="exact"/>
              <w:rPr>
                <w:sz w:val="20"/>
                <w:szCs w:val="20"/>
                <w:color w:val="auto"/>
              </w:rPr>
            </w:pPr>
            <w:r>
              <w:rPr>
                <w:rFonts w:ascii="Calibri" w:cs="Calibri" w:eastAsia="Calibri" w:hAnsi="Calibri"/>
                <w:sz w:val="20"/>
                <w:szCs w:val="20"/>
                <w:color w:val="auto"/>
              </w:rPr>
              <w:t>decision regarding the purchase or sale of securites.</w:t>
            </w:r>
          </w:p>
        </w:tc>
      </w:tr>
      <w:tr>
        <w:trPr>
          <w:trHeight w:val="229"/>
        </w:trPr>
        <w:tc>
          <w:tcPr>
            <w:tcW w:w="22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tcPr>
          <w:p>
            <w:pPr>
              <w:ind w:left="120"/>
              <w:spacing w:after="0" w:line="229" w:lineRule="exact"/>
              <w:rPr>
                <w:sz w:val="20"/>
                <w:szCs w:val="20"/>
                <w:color w:val="auto"/>
              </w:rPr>
            </w:pPr>
            <w:r>
              <w:rPr>
                <w:rFonts w:ascii="Calibri" w:cs="Calibri" w:eastAsia="Calibri" w:hAnsi="Calibri"/>
                <w:sz w:val="20"/>
                <w:szCs w:val="20"/>
                <w:color w:val="auto"/>
              </w:rPr>
              <w:t>Either positve or negatve informaton may be material. If the informaton could reasonably be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expected to afect the market price of a company’s securites, the informaton likely is material. Either</w:t>
            </w: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9" w:lineRule="exact"/>
              <w:rPr>
                <w:sz w:val="20"/>
                <w:szCs w:val="20"/>
                <w:color w:val="auto"/>
              </w:rPr>
            </w:pPr>
            <w:r>
              <w:rPr>
                <w:rFonts w:ascii="Calibri" w:cs="Calibri" w:eastAsia="Calibri" w:hAnsi="Calibri"/>
                <w:sz w:val="20"/>
                <w:szCs w:val="20"/>
                <w:color w:val="auto"/>
              </w:rPr>
              <w:t>positve or negatve informaton may be material. If the informaton could reasonably be expected to</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afect the market price of a company’s securites, the informaton likely is material.</w:t>
            </w:r>
          </w:p>
        </w:tc>
      </w:tr>
      <w:tr>
        <w:trPr>
          <w:trHeight w:val="47"/>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8540" w:type="dxa"/>
            <w:vAlign w:val="bottom"/>
            <w:tcBorders>
              <w:bottom w:val="single" w:sz="8" w:color="auto"/>
              <w:right w:val="single" w:sz="8" w:color="auto"/>
            </w:tcBorders>
          </w:tcPr>
          <w:p>
            <w:pPr>
              <w:spacing w:after="0"/>
              <w:rPr>
                <w:sz w:val="4"/>
                <w:szCs w:val="4"/>
                <w:color w:val="auto"/>
              </w:rPr>
            </w:pPr>
          </w:p>
        </w:tc>
      </w:tr>
      <w:tr>
        <w:trPr>
          <w:trHeight w:val="212"/>
        </w:trPr>
        <w:tc>
          <w:tcPr>
            <w:tcW w:w="2280" w:type="dxa"/>
            <w:vAlign w:val="bottom"/>
            <w:tcBorders>
              <w:left w:val="single" w:sz="8" w:color="auto"/>
              <w:right w:val="single" w:sz="8" w:color="auto"/>
            </w:tcBorders>
          </w:tcPr>
          <w:p>
            <w:pPr>
              <w:ind w:left="100"/>
              <w:spacing w:after="0" w:line="212" w:lineRule="exact"/>
              <w:rPr>
                <w:sz w:val="20"/>
                <w:szCs w:val="20"/>
                <w:color w:val="auto"/>
              </w:rPr>
            </w:pPr>
            <w:r>
              <w:rPr>
                <w:rFonts w:ascii="Calibri" w:cs="Calibri" w:eastAsia="Calibri" w:hAnsi="Calibri"/>
                <w:sz w:val="20"/>
                <w:szCs w:val="20"/>
                <w:color w:val="auto"/>
              </w:rPr>
              <w:t>Material Nonpublic</w:t>
            </w:r>
          </w:p>
        </w:tc>
        <w:tc>
          <w:tcPr>
            <w:tcW w:w="8540" w:type="dxa"/>
            <w:vAlign w:val="bottom"/>
            <w:tcBorders>
              <w:right w:val="single" w:sz="8" w:color="auto"/>
            </w:tcBorders>
          </w:tcPr>
          <w:p>
            <w:pPr>
              <w:ind w:left="140"/>
              <w:spacing w:after="0" w:line="212" w:lineRule="exact"/>
              <w:rPr>
                <w:sz w:val="20"/>
                <w:szCs w:val="20"/>
                <w:color w:val="auto"/>
              </w:rPr>
            </w:pPr>
            <w:r>
              <w:rPr>
                <w:rFonts w:ascii="Calibri" w:cs="Calibri" w:eastAsia="Calibri" w:hAnsi="Calibri"/>
                <w:sz w:val="20"/>
                <w:szCs w:val="20"/>
                <w:color w:val="auto"/>
              </w:rPr>
              <w:t>Informaton that both (1) has not been released publicly and otherwise is not available to the</w:t>
            </w:r>
          </w:p>
        </w:tc>
      </w:tr>
      <w:tr>
        <w:trPr>
          <w:trHeight w:val="257"/>
        </w:trPr>
        <w:tc>
          <w:tcPr>
            <w:tcW w:w="2280" w:type="dxa"/>
            <w:vAlign w:val="bottom"/>
            <w:tcBorders>
              <w:left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Informaton</w:t>
            </w:r>
          </w:p>
        </w:tc>
        <w:tc>
          <w:tcPr>
            <w:tcW w:w="8540" w:type="dxa"/>
            <w:vAlign w:val="bottom"/>
            <w:tcBorders>
              <w:right w:val="single" w:sz="8" w:color="auto"/>
            </w:tcBorders>
          </w:tcPr>
          <w:p>
            <w:pPr>
              <w:ind w:left="140"/>
              <w:spacing w:after="0"/>
              <w:rPr>
                <w:sz w:val="20"/>
                <w:szCs w:val="20"/>
                <w:color w:val="auto"/>
              </w:rPr>
            </w:pPr>
            <w:r>
              <w:rPr>
                <w:rFonts w:ascii="Calibri" w:cs="Calibri" w:eastAsia="Calibri" w:hAnsi="Calibri"/>
                <w:sz w:val="20"/>
                <w:szCs w:val="20"/>
                <w:color w:val="auto"/>
              </w:rPr>
              <w:t>general public and (2) is reasonably likely to be considered important to an investor in making an</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tcPr>
          <w:p>
            <w:pPr>
              <w:ind w:left="140"/>
              <w:spacing w:after="0" w:line="234" w:lineRule="exact"/>
              <w:rPr>
                <w:sz w:val="20"/>
                <w:szCs w:val="20"/>
                <w:color w:val="auto"/>
              </w:rPr>
            </w:pPr>
            <w:r>
              <w:rPr>
                <w:rFonts w:ascii="Calibri" w:cs="Calibri" w:eastAsia="Calibri" w:hAnsi="Calibri"/>
                <w:sz w:val="20"/>
                <w:szCs w:val="20"/>
                <w:color w:val="auto"/>
              </w:rPr>
              <w:t>investment decision regarding the purchase or sale of securites.</w:t>
            </w:r>
          </w:p>
        </w:tc>
      </w:tr>
      <w:tr>
        <w:trPr>
          <w:trHeight w:val="60"/>
        </w:trPr>
        <w:tc>
          <w:tcPr>
            <w:tcW w:w="2280" w:type="dxa"/>
            <w:vAlign w:val="bottom"/>
            <w:tcBorders>
              <w:left w:val="single" w:sz="8" w:color="auto"/>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r>
      <w:tr>
        <w:trPr>
          <w:trHeight w:val="212"/>
        </w:trPr>
        <w:tc>
          <w:tcPr>
            <w:tcW w:w="2280" w:type="dxa"/>
            <w:vAlign w:val="bottom"/>
            <w:tcBorders>
              <w:left w:val="single" w:sz="8" w:color="auto"/>
              <w:right w:val="single" w:sz="8" w:color="auto"/>
            </w:tcBorders>
          </w:tcPr>
          <w:p>
            <w:pPr>
              <w:ind w:left="100"/>
              <w:spacing w:after="0" w:line="212" w:lineRule="exact"/>
              <w:rPr>
                <w:sz w:val="20"/>
                <w:szCs w:val="20"/>
                <w:color w:val="auto"/>
              </w:rPr>
            </w:pPr>
            <w:r>
              <w:rPr>
                <w:rFonts w:ascii="Calibri" w:cs="Calibri" w:eastAsia="Calibri" w:hAnsi="Calibri"/>
                <w:sz w:val="20"/>
                <w:szCs w:val="20"/>
                <w:color w:val="auto"/>
              </w:rPr>
              <w:t>Secton 16 Reportng</w:t>
            </w:r>
          </w:p>
        </w:tc>
        <w:tc>
          <w:tcPr>
            <w:tcW w:w="8540" w:type="dxa"/>
            <w:vAlign w:val="bottom"/>
            <w:tcBorders>
              <w:right w:val="single" w:sz="8" w:color="auto"/>
            </w:tcBorders>
          </w:tcPr>
          <w:p>
            <w:pPr>
              <w:ind w:left="140"/>
              <w:spacing w:after="0" w:line="212" w:lineRule="exact"/>
              <w:rPr>
                <w:sz w:val="20"/>
                <w:szCs w:val="20"/>
                <w:color w:val="auto"/>
              </w:rPr>
            </w:pPr>
            <w:r>
              <w:rPr>
                <w:rFonts w:ascii="Calibri" w:cs="Calibri" w:eastAsia="Calibri" w:hAnsi="Calibri"/>
                <w:sz w:val="20"/>
                <w:szCs w:val="20"/>
                <w:color w:val="auto"/>
              </w:rPr>
              <w:t>A director, ofcer or key employee subject to Secton 16 reportng requirements, including immediate</w:t>
            </w:r>
          </w:p>
        </w:tc>
      </w:tr>
      <w:tr>
        <w:trPr>
          <w:trHeight w:val="261"/>
        </w:trPr>
        <w:tc>
          <w:tcPr>
            <w:tcW w:w="2280" w:type="dxa"/>
            <w:vAlign w:val="bottom"/>
            <w:tcBorders>
              <w:left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Persons</w:t>
            </w:r>
          </w:p>
        </w:tc>
        <w:tc>
          <w:tcPr>
            <w:tcW w:w="8540" w:type="dxa"/>
            <w:vAlign w:val="bottom"/>
            <w:tcBorders>
              <w:right w:val="single" w:sz="8" w:color="auto"/>
            </w:tcBorders>
          </w:tcPr>
          <w:p>
            <w:pPr>
              <w:ind w:left="140"/>
              <w:spacing w:after="0"/>
              <w:rPr>
                <w:sz w:val="20"/>
                <w:szCs w:val="20"/>
                <w:color w:val="auto"/>
              </w:rPr>
            </w:pPr>
            <w:r>
              <w:rPr>
                <w:rFonts w:ascii="Calibri" w:cs="Calibri" w:eastAsia="Calibri" w:hAnsi="Calibri"/>
                <w:sz w:val="20"/>
                <w:szCs w:val="20"/>
                <w:color w:val="auto"/>
              </w:rPr>
              <w:t>family members sharing the same household with the foregoing.</w:t>
            </w:r>
          </w:p>
        </w:tc>
      </w:tr>
      <w:tr>
        <w:trPr>
          <w:trHeight w:val="46"/>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8540" w:type="dxa"/>
            <w:vAlign w:val="bottom"/>
            <w:tcBorders>
              <w:bottom w:val="single" w:sz="8" w:color="auto"/>
              <w:right w:val="single" w:sz="8" w:color="auto"/>
            </w:tcBorders>
          </w:tcPr>
          <w:p>
            <w:pPr>
              <w:spacing w:after="0"/>
              <w:rPr>
                <w:sz w:val="4"/>
                <w:szCs w:val="4"/>
                <w:color w:val="auto"/>
              </w:rPr>
            </w:pPr>
          </w:p>
        </w:tc>
      </w:tr>
    </w:tbl>
    <w:p>
      <w:pPr>
        <w:spacing w:after="0" w:line="263" w:lineRule="exact"/>
        <w:rPr>
          <w:sz w:val="20"/>
          <w:szCs w:val="20"/>
          <w:color w:val="auto"/>
        </w:rPr>
      </w:pPr>
    </w:p>
    <w:p>
      <w:pPr>
        <w:ind w:left="100"/>
        <w:spacing w:after="0"/>
        <w:rPr>
          <w:sz w:val="20"/>
          <w:szCs w:val="20"/>
          <w:color w:val="auto"/>
        </w:rPr>
      </w:pPr>
      <w:r>
        <w:rPr>
          <w:rFonts w:ascii="Calibri" w:cs="Calibri" w:eastAsia="Calibri" w:hAnsi="Calibri"/>
          <w:sz w:val="23"/>
          <w:szCs w:val="23"/>
          <w:color w:val="2D5294"/>
        </w:rPr>
        <w:t>5. Requirements</w:t>
      </w:r>
    </w:p>
    <w:p>
      <w:pPr>
        <w:spacing w:after="0" w:line="201" w:lineRule="exact"/>
        <w:rPr>
          <w:sz w:val="20"/>
          <w:szCs w:val="20"/>
          <w:color w:val="auto"/>
        </w:rPr>
      </w:pPr>
    </w:p>
    <w:p>
      <w:pPr>
        <w:ind w:left="980" w:right="20" w:hanging="568"/>
        <w:spacing w:after="0" w:line="226" w:lineRule="auto"/>
        <w:tabs>
          <w:tab w:leader="none" w:pos="960" w:val="left"/>
        </w:tabs>
        <w:rPr>
          <w:sz w:val="20"/>
          <w:szCs w:val="20"/>
          <w:color w:val="auto"/>
        </w:rPr>
      </w:pPr>
      <w:r>
        <w:rPr>
          <w:rFonts w:ascii="Calibri" w:cs="Calibri" w:eastAsia="Calibri" w:hAnsi="Calibri"/>
          <w:sz w:val="20"/>
          <w:szCs w:val="20"/>
          <w:b w:val="1"/>
          <w:bCs w:val="1"/>
          <w:color w:val="auto"/>
        </w:rPr>
        <w:t>5.1.</w:t>
      </w:r>
      <w:r>
        <w:rPr>
          <w:sz w:val="20"/>
          <w:szCs w:val="20"/>
          <w:color w:val="auto"/>
        </w:rPr>
        <w:tab/>
      </w:r>
      <w:r>
        <w:rPr>
          <w:rFonts w:ascii="Calibri" w:cs="Calibri" w:eastAsia="Calibri" w:hAnsi="Calibri"/>
          <w:sz w:val="20"/>
          <w:szCs w:val="20"/>
          <w:color w:val="auto"/>
        </w:rPr>
        <w:t>If a person subject to this Policy is in possession of Material Nonpublic Informaton about the Company or the Company Securites, such person is prohibited from trading the Company Securites. In additon, Material Nonpublic Informaton about another company that you learn through your service with the Company is subject to these same restrictons around disclosure and trading and you cannot use that informaton to trade securites. Any such acton will be deemed a violaton of this Policy.</w:t>
      </w:r>
    </w:p>
    <w:p>
      <w:pPr>
        <w:spacing w:after="0" w:line="228" w:lineRule="exact"/>
        <w:rPr>
          <w:sz w:val="20"/>
          <w:szCs w:val="20"/>
          <w:color w:val="auto"/>
        </w:rPr>
      </w:pPr>
    </w:p>
    <w:p>
      <w:pPr>
        <w:ind w:left="1720" w:right="180" w:hanging="728"/>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5.1.1.</w:t>
      </w:r>
      <w:r>
        <w:rPr>
          <w:sz w:val="20"/>
          <w:szCs w:val="20"/>
          <w:color w:val="auto"/>
        </w:rPr>
        <w:tab/>
      </w:r>
      <w:r>
        <w:rPr>
          <w:rFonts w:ascii="Calibri" w:cs="Calibri" w:eastAsia="Calibri" w:hAnsi="Calibri"/>
          <w:sz w:val="20"/>
          <w:szCs w:val="20"/>
          <w:color w:val="auto"/>
        </w:rPr>
        <w:t>Examples of informaton that may be considered Material Informaton includes the following, which list is not intended to be exclusive:</w:t>
      </w:r>
    </w:p>
    <w:p>
      <w:pPr>
        <w:spacing w:after="0" w:line="12" w:lineRule="exact"/>
        <w:rPr>
          <w:sz w:val="20"/>
          <w:szCs w:val="20"/>
          <w:color w:val="auto"/>
        </w:rPr>
      </w:pPr>
    </w:p>
    <w:p>
      <w:pPr>
        <w:ind w:left="2020" w:hanging="309"/>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fnancial results or guidance;</w:t>
      </w:r>
    </w:p>
    <w:p>
      <w:pPr>
        <w:spacing w:after="0" w:line="12" w:lineRule="exact"/>
        <w:rPr>
          <w:rFonts w:ascii="Times New Roman" w:cs="Times New Roman" w:eastAsia="Times New Roman" w:hAnsi="Times New Roman"/>
          <w:sz w:val="20"/>
          <w:szCs w:val="20"/>
          <w:color w:val="auto"/>
        </w:rPr>
      </w:pPr>
    </w:p>
    <w:p>
      <w:pPr>
        <w:ind w:left="2020" w:hanging="309"/>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projectons of future sales, earnings, or losses;</w:t>
      </w:r>
    </w:p>
    <w:p>
      <w:pPr>
        <w:spacing w:after="0" w:line="22" w:lineRule="exact"/>
        <w:rPr>
          <w:rFonts w:ascii="Times New Roman" w:cs="Times New Roman" w:eastAsia="Times New Roman" w:hAnsi="Times New Roman"/>
          <w:sz w:val="20"/>
          <w:szCs w:val="20"/>
          <w:color w:val="auto"/>
        </w:rPr>
      </w:pPr>
    </w:p>
    <w:p>
      <w:pPr>
        <w:ind w:left="2040" w:right="40" w:hanging="328"/>
        <w:spacing w:after="0" w:line="227" w:lineRule="auto"/>
        <w:tabs>
          <w:tab w:leader="none" w:pos="2027"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changes in manufacturing productvity or yields, news of a proposed merger, acquisiton or divestture, impending bankruptcy, liquidity problems, creaton of signifcant fnancial obligatons or default or acceleraton under any signifcant fnancial obligaton;</w:t>
      </w:r>
    </w:p>
    <w:p>
      <w:pPr>
        <w:spacing w:after="0" w:line="13" w:lineRule="exact"/>
        <w:rPr>
          <w:rFonts w:ascii="Times New Roman" w:cs="Times New Roman" w:eastAsia="Times New Roman" w:hAnsi="Times New Roman"/>
          <w:sz w:val="20"/>
          <w:szCs w:val="20"/>
          <w:color w:val="auto"/>
        </w:rPr>
      </w:pPr>
    </w:p>
    <w:p>
      <w:pPr>
        <w:ind w:left="2020" w:hanging="307"/>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gain or loss of a substantal customer, supplier, or partner;</w:t>
      </w:r>
    </w:p>
    <w:p>
      <w:pPr>
        <w:spacing w:after="0" w:line="35" w:lineRule="exact"/>
        <w:rPr>
          <w:rFonts w:ascii="Times New Roman" w:cs="Times New Roman" w:eastAsia="Times New Roman" w:hAnsi="Times New Roman"/>
          <w:sz w:val="20"/>
          <w:szCs w:val="20"/>
          <w:color w:val="auto"/>
        </w:rPr>
      </w:pPr>
    </w:p>
    <w:p>
      <w:pPr>
        <w:ind w:left="2040" w:right="160" w:hanging="327"/>
        <w:spacing w:after="0" w:line="228" w:lineRule="auto"/>
        <w:tabs>
          <w:tab w:leader="none" w:pos="2027"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product announcements (for example, regarding performance, recalls, defects, pricing, product development (R&amp;D and intellectual property) or the introducton of new products);</w:t>
      </w:r>
    </w:p>
    <w:p>
      <w:pPr>
        <w:spacing w:after="0" w:line="12" w:lineRule="exact"/>
        <w:rPr>
          <w:rFonts w:ascii="Times New Roman" w:cs="Times New Roman" w:eastAsia="Times New Roman" w:hAnsi="Times New Roman"/>
          <w:sz w:val="20"/>
          <w:szCs w:val="20"/>
          <w:color w:val="auto"/>
        </w:rPr>
      </w:pPr>
    </w:p>
    <w:p>
      <w:pPr>
        <w:ind w:left="2020" w:hanging="306"/>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dividend policy;</w:t>
      </w:r>
    </w:p>
    <w:p>
      <w:pPr>
        <w:spacing w:after="0" w:line="39" w:lineRule="exact"/>
        <w:rPr>
          <w:rFonts w:ascii="Times New Roman" w:cs="Times New Roman" w:eastAsia="Times New Roman" w:hAnsi="Times New Roman"/>
          <w:sz w:val="20"/>
          <w:szCs w:val="20"/>
          <w:color w:val="auto"/>
        </w:rPr>
      </w:pPr>
    </w:p>
    <w:p>
      <w:pPr>
        <w:ind w:left="2020" w:hanging="306"/>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splits;</w:t>
      </w:r>
    </w:p>
    <w:p>
      <w:pPr>
        <w:spacing w:after="0" w:line="12" w:lineRule="exact"/>
        <w:rPr>
          <w:rFonts w:ascii="Times New Roman" w:cs="Times New Roman" w:eastAsia="Times New Roman" w:hAnsi="Times New Roman"/>
          <w:sz w:val="20"/>
          <w:szCs w:val="20"/>
          <w:color w:val="auto"/>
        </w:rPr>
      </w:pPr>
    </w:p>
    <w:p>
      <w:pPr>
        <w:ind w:left="2020" w:hanging="306"/>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litgaton (actual or threatened);</w:t>
      </w:r>
    </w:p>
    <w:p>
      <w:pPr>
        <w:spacing w:after="0" w:line="12" w:lineRule="exact"/>
        <w:rPr>
          <w:rFonts w:ascii="Times New Roman" w:cs="Times New Roman" w:eastAsia="Times New Roman" w:hAnsi="Times New Roman"/>
          <w:sz w:val="20"/>
          <w:szCs w:val="20"/>
          <w:color w:val="auto"/>
        </w:rPr>
      </w:pPr>
    </w:p>
    <w:p>
      <w:pPr>
        <w:ind w:left="2020" w:hanging="306"/>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or debt oferings;</w:t>
      </w:r>
    </w:p>
    <w:p>
      <w:pPr>
        <w:spacing w:after="0" w:line="12" w:lineRule="exact"/>
        <w:rPr>
          <w:rFonts w:ascii="Times New Roman" w:cs="Times New Roman" w:eastAsia="Times New Roman" w:hAnsi="Times New Roman"/>
          <w:sz w:val="20"/>
          <w:szCs w:val="20"/>
          <w:color w:val="auto"/>
        </w:rPr>
      </w:pPr>
    </w:p>
    <w:p>
      <w:pPr>
        <w:ind w:left="2020" w:hanging="306"/>
        <w:spacing w:after="0" w:line="227" w:lineRule="auto"/>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the executve leadership team or auditors;</w:t>
      </w:r>
    </w:p>
    <w:p>
      <w:pPr>
        <w:spacing w:after="0" w:line="12" w:lineRule="exact"/>
        <w:rPr>
          <w:rFonts w:ascii="Times New Roman" w:cs="Times New Roman" w:eastAsia="Times New Roman" w:hAnsi="Times New Roman"/>
          <w:sz w:val="20"/>
          <w:szCs w:val="20"/>
          <w:color w:val="auto"/>
        </w:rPr>
      </w:pPr>
    </w:p>
    <w:p>
      <w:pPr>
        <w:ind w:left="2020" w:hanging="305"/>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employee lay-ofs;</w:t>
      </w:r>
    </w:p>
    <w:p>
      <w:pPr>
        <w:spacing w:after="0" w:line="12" w:lineRule="exact"/>
        <w:rPr>
          <w:rFonts w:ascii="Times New Roman" w:cs="Times New Roman" w:eastAsia="Times New Roman" w:hAnsi="Times New Roman"/>
          <w:sz w:val="20"/>
          <w:szCs w:val="20"/>
          <w:color w:val="auto"/>
        </w:rPr>
      </w:pPr>
    </w:p>
    <w:p>
      <w:pPr>
        <w:ind w:left="2020" w:hanging="305"/>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cybersecurity events;</w:t>
      </w:r>
    </w:p>
    <w:p>
      <w:pPr>
        <w:spacing w:after="0" w:line="12" w:lineRule="exact"/>
        <w:rPr>
          <w:rFonts w:ascii="Times New Roman" w:cs="Times New Roman" w:eastAsia="Times New Roman" w:hAnsi="Times New Roman"/>
          <w:sz w:val="20"/>
          <w:szCs w:val="20"/>
          <w:color w:val="auto"/>
        </w:rPr>
      </w:pPr>
    </w:p>
    <w:p>
      <w:pPr>
        <w:ind w:left="2020" w:hanging="305"/>
        <w:spacing w:after="0" w:line="227" w:lineRule="auto"/>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damage to or loss of material assets; and</w:t>
      </w:r>
    </w:p>
    <w:p>
      <w:pPr>
        <w:spacing w:after="0" w:line="12" w:lineRule="exact"/>
        <w:rPr>
          <w:rFonts w:ascii="Times New Roman" w:cs="Times New Roman" w:eastAsia="Times New Roman" w:hAnsi="Times New Roman"/>
          <w:sz w:val="20"/>
          <w:szCs w:val="20"/>
          <w:color w:val="auto"/>
        </w:rPr>
      </w:pPr>
    </w:p>
    <w:p>
      <w:pPr>
        <w:ind w:left="2020" w:hanging="304"/>
        <w:spacing w:after="0"/>
        <w:tabs>
          <w:tab w:leader="none" w:pos="2020" w:val="left"/>
        </w:tabs>
        <w:numPr>
          <w:ilvl w:val="0"/>
          <w:numId w:val="37"/>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existence of a special trading blackout period.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60"/>
          </w:cols>
          <w:pgMar w:left="400" w:top="1402" w:right="639" w:bottom="1440" w:gutter="0" w:footer="0" w:header="0"/>
        </w:sectPr>
      </w:pPr>
    </w:p>
    <w:bookmarkStart w:id="105" w:name="page106"/>
    <w:bookmarkEnd w:id="105"/>
    <w:p>
      <w:pPr>
        <w:ind w:left="1700" w:right="280" w:hanging="727"/>
        <w:spacing w:after="0" w:line="231" w:lineRule="auto"/>
        <w:tabs>
          <w:tab w:leader="none" w:pos="1680" w:val="left"/>
        </w:tabs>
        <w:rPr>
          <w:sz w:val="20"/>
          <w:szCs w:val="20"/>
          <w:color w:val="auto"/>
        </w:rPr>
      </w:pPr>
      <w:r>
        <w:rPr>
          <w:rFonts w:ascii="Calibri" w:cs="Calibri" w:eastAsia="Calibri" w:hAnsi="Calibri"/>
          <w:sz w:val="20"/>
          <w:szCs w:val="20"/>
          <w:b w:val="1"/>
          <w:bCs w:val="1"/>
          <w:color w:val="auto"/>
        </w:rPr>
        <w:t>5.1.2.</w:t>
      </w:r>
      <w:r>
        <w:rPr>
          <w:sz w:val="20"/>
          <w:szCs w:val="20"/>
          <w:color w:val="auto"/>
        </w:rPr>
        <w:tab/>
      </w:r>
      <w:r>
        <w:rPr>
          <w:rFonts w:ascii="Calibri" w:cs="Calibri" w:eastAsia="Calibri" w:hAnsi="Calibri"/>
          <w:sz w:val="20"/>
          <w:szCs w:val="20"/>
          <w:color w:val="auto"/>
        </w:rPr>
        <w:t>Material Informaton may include informaton about the Company, as well as informaton about other companies. As a general guideline, if you think something might be Material Informaton, seek guidance from the Legal Department.</w:t>
      </w:r>
    </w:p>
    <w:p>
      <w:pPr>
        <w:spacing w:after="0" w:line="240" w:lineRule="exact"/>
        <w:rPr>
          <w:sz w:val="20"/>
          <w:szCs w:val="20"/>
          <w:color w:val="auto"/>
        </w:rPr>
      </w:pPr>
    </w:p>
    <w:p>
      <w:pPr>
        <w:ind w:left="1720" w:right="240" w:hanging="728"/>
        <w:spacing w:after="0"/>
        <w:tabs>
          <w:tab w:leader="none" w:pos="1700" w:val="left"/>
        </w:tabs>
        <w:rPr>
          <w:sz w:val="20"/>
          <w:szCs w:val="20"/>
          <w:color w:val="auto"/>
        </w:rPr>
      </w:pPr>
      <w:r>
        <w:rPr>
          <w:rFonts w:ascii="Calibri" w:cs="Calibri" w:eastAsia="Calibri" w:hAnsi="Calibri"/>
          <w:sz w:val="20"/>
          <w:szCs w:val="20"/>
          <w:b w:val="1"/>
          <w:bCs w:val="1"/>
          <w:color w:val="auto"/>
        </w:rPr>
        <w:t>5.1.3.</w:t>
      </w:r>
      <w:r>
        <w:rPr>
          <w:sz w:val="20"/>
          <w:szCs w:val="20"/>
          <w:color w:val="auto"/>
        </w:rPr>
        <w:tab/>
      </w:r>
      <w:r>
        <w:rPr>
          <w:rFonts w:ascii="Calibri" w:cs="Calibri" w:eastAsia="Calibri" w:hAnsi="Calibri"/>
          <w:sz w:val="20"/>
          <w:szCs w:val="20"/>
          <w:color w:val="auto"/>
        </w:rPr>
        <w:t>Material informaton is Material Nonpublic Informaton untl it has been publicly disclosed and disseminated into the market. For informaton to be considered public, it generally must be available through media outlets or flings with the Securites and Exchange Commission (the “SEC”). Even if informaton is widely known throughout the Company, it stll may be considered nonpublic for purposes of this Policy. Afer the release of informaton, a reasonable period of tme must elapse in order to provide the public an opportunity to absorb the informaton provided. Please contact the Chief Legal Ofcer if you have questons about a partcular situaton.</w:t>
      </w:r>
    </w:p>
    <w:p>
      <w:pPr>
        <w:spacing w:after="0" w:line="385" w:lineRule="exact"/>
        <w:rPr>
          <w:sz w:val="20"/>
          <w:szCs w:val="20"/>
          <w:color w:val="auto"/>
        </w:rPr>
      </w:pPr>
    </w:p>
    <w:p>
      <w:pPr>
        <w:ind w:left="2600" w:hanging="891"/>
        <w:spacing w:after="0" w:line="229" w:lineRule="auto"/>
        <w:tabs>
          <w:tab w:leader="none" w:pos="2580" w:val="left"/>
        </w:tabs>
        <w:rPr>
          <w:sz w:val="20"/>
          <w:szCs w:val="20"/>
          <w:color w:val="auto"/>
        </w:rPr>
      </w:pPr>
      <w:r>
        <w:rPr>
          <w:rFonts w:ascii="Calibri" w:cs="Calibri" w:eastAsia="Calibri" w:hAnsi="Calibri"/>
          <w:sz w:val="20"/>
          <w:szCs w:val="20"/>
          <w:b w:val="1"/>
          <w:bCs w:val="1"/>
          <w:color w:val="auto"/>
        </w:rPr>
        <w:t>5.1.3.1.</w:t>
      </w:r>
      <w:r>
        <w:rPr>
          <w:sz w:val="20"/>
          <w:szCs w:val="20"/>
          <w:color w:val="auto"/>
        </w:rPr>
        <w:tab/>
      </w:r>
      <w:r>
        <w:rPr>
          <w:rFonts w:ascii="Calibri" w:cs="Calibri" w:eastAsia="Calibri" w:hAnsi="Calibri"/>
          <w:sz w:val="20"/>
          <w:szCs w:val="20"/>
          <w:color w:val="auto"/>
        </w:rPr>
        <w:t>Except as discussed in Secton 6.2, you must not engage in any transacton in the Company Securites during any period commencing with the date that you frst possess Material Nonpublic Informaton about the Company and ending at the close of the market (4:00 p.m. ET) on the frst trading day following the public disclosure of such informaton, or at such tme as such nonpublic informaton is no longer material. Similarly, you must not engage in any transacton in the securites of any company about which you possess Material Nonpublic Informaton during any period commencing with the date that you frst possess such Material Nonpublic Informaton and ending at the close of the market on the frst trading day following the public disclosure of such informaton, or at such tme as such nonpublic informaton is no longer material.</w:t>
      </w:r>
    </w:p>
    <w:p>
      <w:pPr>
        <w:spacing w:after="0" w:line="226" w:lineRule="exact"/>
        <w:rPr>
          <w:sz w:val="20"/>
          <w:szCs w:val="20"/>
          <w:color w:val="auto"/>
        </w:rPr>
      </w:pPr>
    </w:p>
    <w:p>
      <w:pPr>
        <w:ind w:left="2600" w:right="180" w:hanging="892"/>
        <w:spacing w:after="0" w:line="226" w:lineRule="auto"/>
        <w:tabs>
          <w:tab w:leader="none" w:pos="2580" w:val="left"/>
        </w:tabs>
        <w:rPr>
          <w:sz w:val="20"/>
          <w:szCs w:val="20"/>
          <w:color w:val="auto"/>
        </w:rPr>
      </w:pPr>
      <w:r>
        <w:rPr>
          <w:rFonts w:ascii="Calibri" w:cs="Calibri" w:eastAsia="Calibri" w:hAnsi="Calibri"/>
          <w:sz w:val="20"/>
          <w:szCs w:val="20"/>
          <w:b w:val="1"/>
          <w:bCs w:val="1"/>
          <w:color w:val="auto"/>
        </w:rPr>
        <w:t>5.1.3.2.</w:t>
      </w:r>
      <w:r>
        <w:rPr>
          <w:sz w:val="20"/>
          <w:szCs w:val="20"/>
          <w:color w:val="auto"/>
        </w:rPr>
        <w:tab/>
      </w:r>
      <w:r>
        <w:rPr>
          <w:rFonts w:ascii="Calibri" w:cs="Calibri" w:eastAsia="Calibri" w:hAnsi="Calibri"/>
          <w:sz w:val="20"/>
          <w:szCs w:val="20"/>
          <w:color w:val="auto"/>
        </w:rPr>
        <w:t>You must not disclose Material Nonpublic Informaton relatng to the Company to any other person except to those individuals whose jobs require them to have the informaton. You must not disclose sensitve or nonpublic informaton to anyone outside the Company except as necessary for the conduct of the Company’s business and in compliance with the Company’s policies with regard to nondisclosure and confdentality obligatons and agreements. The Company’s Global Communicatons &amp; Marketng department has standard procedures for the release of material informaton. No disclosure should be made without following these procedures.</w:t>
      </w:r>
    </w:p>
    <w:p>
      <w:pPr>
        <w:spacing w:after="0" w:line="240" w:lineRule="exact"/>
        <w:rPr>
          <w:sz w:val="20"/>
          <w:szCs w:val="20"/>
          <w:color w:val="auto"/>
        </w:rPr>
      </w:pPr>
    </w:p>
    <w:p>
      <w:pPr>
        <w:ind w:left="2600" w:right="520" w:hanging="891"/>
        <w:spacing w:after="0" w:line="228" w:lineRule="auto"/>
        <w:tabs>
          <w:tab w:leader="none" w:pos="2580" w:val="left"/>
        </w:tabs>
        <w:rPr>
          <w:sz w:val="20"/>
          <w:szCs w:val="20"/>
          <w:color w:val="auto"/>
        </w:rPr>
      </w:pPr>
      <w:r>
        <w:rPr>
          <w:rFonts w:ascii="Calibri" w:cs="Calibri" w:eastAsia="Calibri" w:hAnsi="Calibri"/>
          <w:sz w:val="20"/>
          <w:szCs w:val="20"/>
          <w:b w:val="1"/>
          <w:bCs w:val="1"/>
          <w:color w:val="auto"/>
        </w:rPr>
        <w:t>5.1.3.3.</w:t>
      </w:r>
      <w:r>
        <w:rPr>
          <w:sz w:val="20"/>
          <w:szCs w:val="20"/>
          <w:color w:val="auto"/>
        </w:rPr>
        <w:tab/>
      </w:r>
      <w:r>
        <w:rPr>
          <w:rFonts w:ascii="Calibri" w:cs="Calibri" w:eastAsia="Calibri" w:hAnsi="Calibri"/>
          <w:sz w:val="20"/>
          <w:szCs w:val="20"/>
          <w:color w:val="auto"/>
        </w:rPr>
        <w:t>You must not use such Material Nonpublic Informaton about the Company to express an opinion or make a recommendaton about trading in Company Securites.</w:t>
      </w:r>
    </w:p>
    <w:p>
      <w:pPr>
        <w:spacing w:after="0" w:line="238" w:lineRule="exact"/>
        <w:rPr>
          <w:sz w:val="20"/>
          <w:szCs w:val="20"/>
          <w:color w:val="auto"/>
        </w:rPr>
      </w:pPr>
    </w:p>
    <w:p>
      <w:pPr>
        <w:ind w:left="2600" w:right="220" w:hanging="892"/>
        <w:spacing w:after="0" w:line="230" w:lineRule="auto"/>
        <w:tabs>
          <w:tab w:leader="none" w:pos="2580" w:val="left"/>
        </w:tabs>
        <w:rPr>
          <w:sz w:val="20"/>
          <w:szCs w:val="20"/>
          <w:color w:val="auto"/>
        </w:rPr>
      </w:pPr>
      <w:r>
        <w:rPr>
          <w:rFonts w:ascii="Calibri" w:cs="Calibri" w:eastAsia="Calibri" w:hAnsi="Calibri"/>
          <w:sz w:val="20"/>
          <w:szCs w:val="20"/>
          <w:b w:val="1"/>
          <w:bCs w:val="1"/>
          <w:color w:val="auto"/>
        </w:rPr>
        <w:t>5.1.3.4.</w:t>
      </w:r>
      <w:r>
        <w:rPr>
          <w:sz w:val="20"/>
          <w:szCs w:val="20"/>
          <w:color w:val="auto"/>
        </w:rPr>
        <w:tab/>
      </w:r>
      <w:r>
        <w:rPr>
          <w:rFonts w:ascii="Calibri" w:cs="Calibri" w:eastAsia="Calibri" w:hAnsi="Calibri"/>
          <w:sz w:val="20"/>
          <w:szCs w:val="20"/>
          <w:color w:val="auto"/>
        </w:rPr>
        <w:t>In all cases, the responsibility for determining whether you are in possession of Material Nonpublic Informaton rests with you, and any acton on the part of the Company, the Chief Legal Ofcer or any other employee or director pursuant to this Policy (or otherwise) does not in any way consttute legal advice or insulate you from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40"/>
          </w:cols>
          <w:pgMar w:left="400" w:top="1357" w:right="559" w:bottom="1440" w:gutter="0" w:footer="0" w:header="0"/>
        </w:sectPr>
      </w:pPr>
    </w:p>
    <w:bookmarkStart w:id="106" w:name="page107"/>
    <w:bookmarkEnd w:id="106"/>
    <w:p>
      <w:pPr>
        <w:spacing w:after="0" w:line="151" w:lineRule="exact"/>
        <w:rPr>
          <w:sz w:val="20"/>
          <w:szCs w:val="20"/>
          <w:color w:val="auto"/>
        </w:rPr>
      </w:pPr>
    </w:p>
    <w:p>
      <w:pPr>
        <w:ind w:left="2600"/>
        <w:spacing w:after="0"/>
        <w:rPr>
          <w:sz w:val="20"/>
          <w:szCs w:val="20"/>
          <w:color w:val="auto"/>
        </w:rPr>
      </w:pPr>
      <w:r>
        <w:rPr>
          <w:rFonts w:ascii="Calibri" w:cs="Calibri" w:eastAsia="Calibri" w:hAnsi="Calibri"/>
          <w:sz w:val="20"/>
          <w:szCs w:val="20"/>
          <w:color w:val="auto"/>
        </w:rPr>
        <w:t>applicable securites laws.</w:t>
      </w:r>
    </w:p>
    <w:p>
      <w:pPr>
        <w:spacing w:after="0" w:line="252" w:lineRule="exact"/>
        <w:rPr>
          <w:sz w:val="20"/>
          <w:szCs w:val="20"/>
          <w:color w:val="auto"/>
        </w:rPr>
      </w:pPr>
    </w:p>
    <w:p>
      <w:pPr>
        <w:ind w:left="2600" w:right="120" w:hanging="892"/>
        <w:spacing w:after="0" w:line="228" w:lineRule="auto"/>
        <w:tabs>
          <w:tab w:leader="none" w:pos="2580" w:val="left"/>
        </w:tabs>
        <w:rPr>
          <w:sz w:val="20"/>
          <w:szCs w:val="20"/>
          <w:color w:val="auto"/>
        </w:rPr>
      </w:pPr>
      <w:r>
        <w:rPr>
          <w:rFonts w:ascii="Calibri" w:cs="Calibri" w:eastAsia="Calibri" w:hAnsi="Calibri"/>
          <w:sz w:val="20"/>
          <w:szCs w:val="20"/>
          <w:b w:val="1"/>
          <w:bCs w:val="1"/>
          <w:color w:val="auto"/>
        </w:rPr>
        <w:t>5.1.3.5.</w:t>
      </w:r>
      <w:r>
        <w:rPr>
          <w:sz w:val="20"/>
          <w:szCs w:val="20"/>
          <w:color w:val="auto"/>
        </w:rPr>
        <w:tab/>
      </w:r>
      <w:r>
        <w:rPr>
          <w:rFonts w:ascii="Calibri" w:cs="Calibri" w:eastAsia="Calibri" w:hAnsi="Calibri"/>
          <w:sz w:val="20"/>
          <w:szCs w:val="20"/>
          <w:color w:val="auto"/>
        </w:rPr>
        <w:t>The size of a transacton or motvaton for a transacton are irrelevant for determining if a transacton is subject to this Policy.</w:t>
      </w:r>
    </w:p>
    <w:p>
      <w:pPr>
        <w:spacing w:after="0" w:line="242" w:lineRule="exact"/>
        <w:rPr>
          <w:sz w:val="20"/>
          <w:szCs w:val="20"/>
          <w:color w:val="auto"/>
        </w:rPr>
      </w:pPr>
    </w:p>
    <w:p>
      <w:pPr>
        <w:ind w:left="420"/>
        <w:spacing w:after="0"/>
        <w:tabs>
          <w:tab w:leader="none" w:pos="960" w:val="left"/>
        </w:tabs>
        <w:rPr>
          <w:sz w:val="20"/>
          <w:szCs w:val="20"/>
          <w:color w:val="auto"/>
        </w:rPr>
      </w:pPr>
      <w:r>
        <w:rPr>
          <w:rFonts w:ascii="Calibri" w:cs="Calibri" w:eastAsia="Calibri" w:hAnsi="Calibri"/>
          <w:sz w:val="20"/>
          <w:szCs w:val="20"/>
          <w:b w:val="1"/>
          <w:bCs w:val="1"/>
          <w:color w:val="auto"/>
        </w:rPr>
        <w:t>5.2.</w:t>
        <w:tab/>
        <w:t>Additonal Provisions Applicable to Insiders</w:t>
      </w:r>
    </w:p>
    <w:p>
      <w:pPr>
        <w:spacing w:after="0" w:line="238" w:lineRule="exact"/>
        <w:rPr>
          <w:sz w:val="20"/>
          <w:szCs w:val="20"/>
          <w:color w:val="auto"/>
        </w:rPr>
      </w:pPr>
    </w:p>
    <w:p>
      <w:pPr>
        <w:ind w:left="1720" w:right="180" w:hanging="728"/>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5.2.1.</w:t>
      </w:r>
      <w:r>
        <w:rPr>
          <w:sz w:val="20"/>
          <w:szCs w:val="20"/>
          <w:color w:val="auto"/>
        </w:rPr>
        <w:tab/>
      </w:r>
      <w:r>
        <w:rPr>
          <w:rFonts w:ascii="Calibri" w:cs="Calibri" w:eastAsia="Calibri" w:hAnsi="Calibri"/>
          <w:sz w:val="20"/>
          <w:szCs w:val="20"/>
          <w:color w:val="auto"/>
        </w:rPr>
        <w:t>Except as discussed in Secton 6.2, if you are an Insider, you must not engage in any transactons involving Company Securites during the last two weeks of any fscal quarter through the close of the market (4:00 p.m. ET) on the frst trading day following the disclosure of the Company’s fnancial results for the completed fscal quarter. To the extent applicable to you, these trading restrictons also cover your immediate family members, persons with whom you share a household, persons who are your economic dependents, and any entty whose transactons in securites you infuence, direct or control. This requirement is in additon to the requirements above.</w:t>
      </w:r>
    </w:p>
    <w:p>
      <w:pPr>
        <w:spacing w:after="0" w:line="240" w:lineRule="exact"/>
        <w:rPr>
          <w:sz w:val="20"/>
          <w:szCs w:val="20"/>
          <w:color w:val="auto"/>
        </w:rPr>
      </w:pPr>
    </w:p>
    <w:p>
      <w:pPr>
        <w:ind w:left="1720" w:hanging="727"/>
        <w:spacing w:after="0" w:line="227" w:lineRule="auto"/>
        <w:tabs>
          <w:tab w:leader="none" w:pos="1700" w:val="left"/>
        </w:tabs>
        <w:rPr>
          <w:sz w:val="20"/>
          <w:szCs w:val="20"/>
          <w:color w:val="auto"/>
        </w:rPr>
      </w:pPr>
      <w:r>
        <w:rPr>
          <w:rFonts w:ascii="Calibri" w:cs="Calibri" w:eastAsia="Calibri" w:hAnsi="Calibri"/>
          <w:sz w:val="20"/>
          <w:szCs w:val="20"/>
          <w:b w:val="1"/>
          <w:bCs w:val="1"/>
          <w:color w:val="auto"/>
        </w:rPr>
        <w:t>5.2.2.</w:t>
      </w:r>
      <w:r>
        <w:rPr>
          <w:sz w:val="20"/>
          <w:szCs w:val="20"/>
          <w:color w:val="auto"/>
        </w:rPr>
        <w:tab/>
      </w:r>
      <w:r>
        <w:rPr>
          <w:rFonts w:ascii="Calibri" w:cs="Calibri" w:eastAsia="Calibri" w:hAnsi="Calibri"/>
          <w:sz w:val="20"/>
          <w:szCs w:val="20"/>
          <w:color w:val="auto"/>
        </w:rPr>
        <w:t>The Company also may impose additonal or longer special trading blackout periods on any Insider at any tme. The Chief Legal Ofcer will instruct the Global Stock Team to notfy you in writng (including electronically) if you are subject to a special blackout period. If you are notfed that you are subject to a special blackout period, except as discussed in Secton 6.2, you may not engage in any transacton in Company Securites untl you are notfed that the special blackout period has ended. You should not disclose to anyone else that the Company has imposed a special blackout period, except as needed to enforce the following sentence. Special blackout periods also cover your immediate family members, persons with whom you share a household, persons who are your economic dependents, and any entty whose transactons in securites you infuence, direct or control.</w:t>
      </w:r>
    </w:p>
    <w:p>
      <w:pPr>
        <w:spacing w:after="0" w:line="245" w:lineRule="exact"/>
        <w:rPr>
          <w:sz w:val="20"/>
          <w:szCs w:val="20"/>
          <w:color w:val="auto"/>
        </w:rPr>
      </w:pPr>
    </w:p>
    <w:p>
      <w:pPr>
        <w:ind w:left="1720" w:right="380" w:hanging="728"/>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5.2.3.</w:t>
      </w:r>
      <w:r>
        <w:rPr>
          <w:sz w:val="20"/>
          <w:szCs w:val="20"/>
          <w:color w:val="auto"/>
        </w:rPr>
        <w:tab/>
      </w:r>
      <w:r>
        <w:rPr>
          <w:rFonts w:ascii="Calibri" w:cs="Calibri" w:eastAsia="Calibri" w:hAnsi="Calibri"/>
          <w:sz w:val="20"/>
          <w:szCs w:val="20"/>
          <w:color w:val="auto"/>
        </w:rPr>
        <w:t>If an Insider separates from service during a closed trading window, they will remain in the blackout untl the trading window next opens for all Insiders.</w:t>
      </w:r>
    </w:p>
    <w:p>
      <w:pPr>
        <w:spacing w:after="0" w:line="252" w:lineRule="exact"/>
        <w:rPr>
          <w:sz w:val="20"/>
          <w:szCs w:val="20"/>
          <w:color w:val="auto"/>
        </w:rPr>
      </w:pPr>
    </w:p>
    <w:p>
      <w:pPr>
        <w:jc w:val="both"/>
        <w:ind w:left="1720" w:right="220" w:hanging="727"/>
        <w:spacing w:after="0" w:line="231" w:lineRule="auto"/>
        <w:tabs>
          <w:tab w:leader="none" w:pos="1700" w:val="left"/>
        </w:tabs>
        <w:rPr>
          <w:sz w:val="20"/>
          <w:szCs w:val="20"/>
          <w:color w:val="auto"/>
        </w:rPr>
      </w:pPr>
      <w:r>
        <w:rPr>
          <w:rFonts w:ascii="Calibri" w:cs="Calibri" w:eastAsia="Calibri" w:hAnsi="Calibri"/>
          <w:sz w:val="20"/>
          <w:szCs w:val="20"/>
          <w:b w:val="1"/>
          <w:bCs w:val="1"/>
          <w:color w:val="auto"/>
        </w:rPr>
        <w:t>5.2.4.</w:t>
        <w:tab/>
        <w:t xml:space="preserve">Short Sales. </w:t>
      </w:r>
      <w:r>
        <w:rPr>
          <w:rFonts w:ascii="Calibri" w:cs="Calibri" w:eastAsia="Calibri" w:hAnsi="Calibri"/>
          <w:sz w:val="20"/>
          <w:szCs w:val="20"/>
          <w:color w:val="auto"/>
        </w:rPr>
        <w:t>Insiders may not engage in short sales (meaning the sale of a security that must be borrowed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make delivery) or “sell short against the box” (meaning the sale of a security with a delayed delivery) if such sales involve the Company’s Securites.</w:t>
      </w:r>
    </w:p>
    <w:p>
      <w:pPr>
        <w:spacing w:after="0" w:line="227" w:lineRule="exact"/>
        <w:rPr>
          <w:sz w:val="20"/>
          <w:szCs w:val="20"/>
          <w:color w:val="auto"/>
        </w:rPr>
      </w:pPr>
    </w:p>
    <w:p>
      <w:pPr>
        <w:ind w:left="1720" w:right="120" w:hanging="727"/>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5.2.5.</w:t>
        <w:tab/>
        <w:t xml:space="preserve">Derivatve Securites and Hedging Transactons. </w:t>
      </w:r>
      <w:r>
        <w:rPr>
          <w:rFonts w:ascii="Calibri" w:cs="Calibri" w:eastAsia="Calibri" w:hAnsi="Calibri"/>
          <w:sz w:val="20"/>
          <w:szCs w:val="20"/>
          <w:color w:val="auto"/>
        </w:rPr>
        <w:t>Insiders may not, directly or indirectly, (i) trade in publicly-traded optons, such as puts and calls, and other derivatve securites with respect to Company Securites (other than stock optons, restricted stock units and other compensatory awards issued to you by the Company) or (ii) purchase fnancial instruments (including prepaid variable forward contracts, equity swaps, collars and exchange funds), or otherwise engage in transactons, that hedge or ofset, or are designed to hedge or ofset, any decrease in the market value of Company Securites either (a) granted to them by the Company as part of their compensaton or (b) held, directly or indirectly,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00"/>
          </w:cols>
          <w:pgMar w:left="400" w:top="1440" w:right="499" w:bottom="1440" w:gutter="0" w:footer="0" w:header="0"/>
        </w:sectPr>
      </w:pPr>
    </w:p>
    <w:bookmarkStart w:id="107" w:name="page108"/>
    <w:bookmarkEnd w:id="107"/>
    <w:p>
      <w:pPr>
        <w:spacing w:after="0" w:line="161" w:lineRule="exact"/>
        <w:rPr>
          <w:sz w:val="20"/>
          <w:szCs w:val="20"/>
          <w:color w:val="auto"/>
        </w:rPr>
      </w:pPr>
    </w:p>
    <w:p>
      <w:pPr>
        <w:ind w:left="1720" w:right="280" w:hanging="728"/>
        <w:spacing w:after="0" w:line="234" w:lineRule="auto"/>
        <w:tabs>
          <w:tab w:leader="none" w:pos="1700" w:val="left"/>
        </w:tabs>
        <w:rPr>
          <w:sz w:val="20"/>
          <w:szCs w:val="20"/>
          <w:color w:val="auto"/>
        </w:rPr>
      </w:pPr>
      <w:r>
        <w:rPr>
          <w:rFonts w:ascii="Calibri" w:cs="Calibri" w:eastAsia="Calibri" w:hAnsi="Calibri"/>
          <w:sz w:val="20"/>
          <w:szCs w:val="20"/>
          <w:b w:val="1"/>
          <w:bCs w:val="1"/>
          <w:color w:val="auto"/>
        </w:rPr>
        <w:t>5.2.6.</w:t>
        <w:tab/>
        <w:t xml:space="preserve">Pledging Transactons. </w:t>
      </w:r>
      <w:r>
        <w:rPr>
          <w:rFonts w:ascii="Calibri" w:cs="Calibri" w:eastAsia="Calibri" w:hAnsi="Calibri"/>
          <w:sz w:val="20"/>
          <w:szCs w:val="20"/>
          <w:color w:val="auto"/>
        </w:rPr>
        <w:t>Insiders may not pledge Company Securites as collateral for any loan or as part of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other pledging transacton.</w:t>
      </w:r>
    </w:p>
    <w:p>
      <w:pPr>
        <w:spacing w:after="0" w:line="243" w:lineRule="exact"/>
        <w:rPr>
          <w:sz w:val="20"/>
          <w:szCs w:val="20"/>
          <w:color w:val="auto"/>
        </w:rPr>
      </w:pPr>
    </w:p>
    <w:p>
      <w:pPr>
        <w:ind w:left="980"/>
        <w:spacing w:after="0"/>
        <w:tabs>
          <w:tab w:leader="none" w:pos="1700" w:val="left"/>
        </w:tabs>
        <w:rPr>
          <w:sz w:val="20"/>
          <w:szCs w:val="20"/>
          <w:color w:val="auto"/>
        </w:rPr>
      </w:pPr>
      <w:r>
        <w:rPr>
          <w:rFonts w:ascii="Calibri" w:cs="Calibri" w:eastAsia="Calibri" w:hAnsi="Calibri"/>
          <w:sz w:val="20"/>
          <w:szCs w:val="20"/>
          <w:b w:val="1"/>
          <w:bCs w:val="1"/>
          <w:color w:val="auto"/>
        </w:rPr>
        <w:t>5.2.7.</w:t>
        <w:tab/>
        <w:t xml:space="preserve">Margin Accounts. </w:t>
      </w:r>
      <w:r>
        <w:rPr>
          <w:rFonts w:ascii="Calibri" w:cs="Calibri" w:eastAsia="Calibri" w:hAnsi="Calibri"/>
          <w:sz w:val="20"/>
          <w:szCs w:val="20"/>
          <w:color w:val="auto"/>
        </w:rPr>
        <w:t>Insiders may not use a margin account to hold or trade Company Securites.</w:t>
      </w:r>
    </w:p>
    <w:p>
      <w:pPr>
        <w:spacing w:after="0" w:line="228" w:lineRule="exact"/>
        <w:rPr>
          <w:sz w:val="20"/>
          <w:szCs w:val="20"/>
          <w:color w:val="auto"/>
        </w:rPr>
      </w:pPr>
    </w:p>
    <w:p>
      <w:pPr>
        <w:ind w:left="420"/>
        <w:spacing w:after="0"/>
        <w:tabs>
          <w:tab w:leader="none" w:pos="960" w:val="left"/>
        </w:tabs>
        <w:rPr>
          <w:sz w:val="20"/>
          <w:szCs w:val="20"/>
          <w:color w:val="auto"/>
        </w:rPr>
      </w:pPr>
      <w:r>
        <w:rPr>
          <w:rFonts w:ascii="Calibri" w:cs="Calibri" w:eastAsia="Calibri" w:hAnsi="Calibri"/>
          <w:sz w:val="20"/>
          <w:szCs w:val="20"/>
          <w:b w:val="1"/>
          <w:bCs w:val="1"/>
          <w:color w:val="auto"/>
        </w:rPr>
        <w:t>5.3.</w:t>
        <w:tab/>
        <w:t>Additonal Provisions Applicable to Secton 16 Reportng Persons</w:t>
      </w:r>
    </w:p>
    <w:p>
      <w:pPr>
        <w:spacing w:after="0" w:line="252" w:lineRule="exact"/>
        <w:rPr>
          <w:sz w:val="20"/>
          <w:szCs w:val="20"/>
          <w:color w:val="auto"/>
        </w:rPr>
      </w:pPr>
    </w:p>
    <w:p>
      <w:pPr>
        <w:ind w:left="1700" w:right="80" w:hanging="727"/>
        <w:spacing w:after="0"/>
        <w:tabs>
          <w:tab w:leader="none" w:pos="1680" w:val="left"/>
        </w:tabs>
        <w:rPr>
          <w:sz w:val="20"/>
          <w:szCs w:val="20"/>
          <w:color w:val="auto"/>
        </w:rPr>
      </w:pPr>
      <w:r>
        <w:rPr>
          <w:rFonts w:ascii="Calibri" w:cs="Calibri" w:eastAsia="Calibri" w:hAnsi="Calibri"/>
          <w:sz w:val="20"/>
          <w:szCs w:val="20"/>
          <w:b w:val="1"/>
          <w:bCs w:val="1"/>
          <w:color w:val="auto"/>
        </w:rPr>
        <w:t>5.3.1.</w:t>
        <w:tab/>
        <w:t xml:space="preserve">Pre-Clearance Required. </w:t>
      </w:r>
      <w:r>
        <w:rPr>
          <w:rFonts w:ascii="Calibri" w:cs="Calibri" w:eastAsia="Calibri" w:hAnsi="Calibri"/>
          <w:sz w:val="20"/>
          <w:szCs w:val="20"/>
          <w:color w:val="auto"/>
        </w:rPr>
        <w:t>If you are a Secton 16 Reportng Person, you may engage in transacton involving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Securites only if you frst have obtained pre- clearance of the transacton from two individuals as included in the Chief Legal Ofcer defniton below, as well as the Chief Financial Ofcer. If the Chief Financial Ofcer is the requester, then the Chief Executve Ofcer and Chief Legal Ofcer will act as approvers. If the Chief Legal Ofcer is the requester, then the Chief Executve Ofcer and the Chief Financial Ofcer will act as approvers. All requests for pre- clearance must be submited to the Global Stock Team (via email at stock@micron.com) at least two business days (and no more than fve business days) in advance of the proposed transacton. The Global Stock Team will reach out for the relevant approvals. In evaluatng a request for approval, the determinaton will be based solely on whether you are in possession of Material Nonpublic Informaton about the Company or the Company Securites and whether you are otherwise subject to a trading blackout period that is currently in efect. The relevant approvers will generally respond to any request to trade within 24 hours of receiving such request. If your proposed trade is approved (pre-cleared), you must complete the trade within fve trading days of issuance of the pre-clearance. However, if you become aware of Material Nonpublic Informaton or subject to a blackout before the trade is completed, you must not trade even though you received pre-clearance.</w:t>
      </w:r>
    </w:p>
    <w:p>
      <w:pPr>
        <w:spacing w:after="0" w:line="281" w:lineRule="exact"/>
        <w:rPr>
          <w:sz w:val="20"/>
          <w:szCs w:val="20"/>
          <w:color w:val="auto"/>
        </w:rPr>
      </w:pPr>
    </w:p>
    <w:p>
      <w:pPr>
        <w:ind w:left="1720" w:right="420" w:hanging="728"/>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5.3.2.</w:t>
        <w:tab/>
        <w:t xml:space="preserve">Reportng of Violatons. </w:t>
      </w:r>
      <w:r>
        <w:rPr>
          <w:rFonts w:ascii="Calibri" w:cs="Calibri" w:eastAsia="Calibri" w:hAnsi="Calibri"/>
          <w:sz w:val="20"/>
          <w:szCs w:val="20"/>
          <w:color w:val="auto"/>
        </w:rPr>
        <w:t>Violatons of the pre-clearance procedure above will be reported to the Chief Legal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Ofcer.</w:t>
      </w:r>
    </w:p>
    <w:p>
      <w:pPr>
        <w:spacing w:after="0" w:line="238" w:lineRule="exact"/>
        <w:rPr>
          <w:sz w:val="20"/>
          <w:szCs w:val="20"/>
          <w:color w:val="auto"/>
        </w:rPr>
      </w:pPr>
    </w:p>
    <w:p>
      <w:pPr>
        <w:ind w:left="1720" w:hanging="727"/>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5.3.3.</w:t>
        <w:tab/>
        <w:t xml:space="preserve">Additonal Requirements. </w:t>
      </w:r>
      <w:r>
        <w:rPr>
          <w:rFonts w:ascii="Calibri" w:cs="Calibri" w:eastAsia="Calibri" w:hAnsi="Calibri"/>
          <w:sz w:val="20"/>
          <w:szCs w:val="20"/>
          <w:color w:val="auto"/>
        </w:rPr>
        <w:t>Secton 16 Reportng Persons must comply with the reportng obligatons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limitatons on short-swing transactons set forth in Secton 16 of the Securites Exchange Act of 1934, as amended (the “Exchange Act”). The practcal efect of these provisions is that Secton 16 Reportng Persons who purchase and sell Company Securites within a six-month period must disgorge all profts to the Company whether or not they had knowledge of any Material Nonpublic Informaton. The Company has provided separate materials to its Secton 16 Reportng Persons regarding compliance with Secton 16 and its rules. Contact the Chief Legal Ofcer if you have any questons about the Secton 16 rules.</w:t>
      </w:r>
    </w:p>
    <w:p>
      <w:pPr>
        <w:spacing w:after="0" w:line="240" w:lineRule="exact"/>
        <w:rPr>
          <w:sz w:val="20"/>
          <w:szCs w:val="20"/>
          <w:color w:val="auto"/>
        </w:rPr>
      </w:pPr>
    </w:p>
    <w:p>
      <w:pPr>
        <w:ind w:left="1720" w:right="100" w:hanging="727"/>
        <w:spacing w:after="0" w:line="226" w:lineRule="auto"/>
        <w:tabs>
          <w:tab w:leader="none" w:pos="1700" w:val="left"/>
        </w:tabs>
        <w:rPr>
          <w:sz w:val="20"/>
          <w:szCs w:val="20"/>
          <w:color w:val="auto"/>
        </w:rPr>
      </w:pPr>
      <w:r>
        <w:rPr>
          <w:rFonts w:ascii="Calibri" w:cs="Calibri" w:eastAsia="Calibri" w:hAnsi="Calibri"/>
          <w:sz w:val="20"/>
          <w:szCs w:val="20"/>
          <w:b w:val="1"/>
          <w:bCs w:val="1"/>
          <w:color w:val="auto"/>
        </w:rPr>
        <w:t>5.3.4.</w:t>
        <w:tab/>
        <w:t xml:space="preserve">Mandatory Broker Interface. </w:t>
      </w:r>
      <w:r>
        <w:rPr>
          <w:rFonts w:ascii="Calibri" w:cs="Calibri" w:eastAsia="Calibri" w:hAnsi="Calibri"/>
          <w:sz w:val="20"/>
          <w:szCs w:val="20"/>
          <w:color w:val="auto"/>
        </w:rPr>
        <w:t>To help assure compliance with Secton 16 reportng requirements, Secton 16</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Reportng Persons must provide the Global Stock Team with informaton for any outside broker that will hold Company Securites. The Global Stock Team will contact the outside broker, but it is the responsibility of the Secton 16 Reportng Person to confrm their broker notfes the Global Stock Team of any transactons involving the Company Securites, which includes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60"/>
          </w:cols>
          <w:pgMar w:left="400" w:top="1440" w:right="539" w:bottom="1440" w:gutter="0" w:footer="0" w:header="0"/>
        </w:sectPr>
      </w:pPr>
    </w:p>
    <w:bookmarkStart w:id="108" w:name="page109"/>
    <w:bookmarkEnd w:id="108"/>
    <w:p>
      <w:pPr>
        <w:spacing w:after="0" w:line="134" w:lineRule="exact"/>
        <w:rPr>
          <w:sz w:val="20"/>
          <w:szCs w:val="20"/>
          <w:color w:val="auto"/>
        </w:rPr>
      </w:pPr>
    </w:p>
    <w:p>
      <w:pPr>
        <w:ind w:left="1720" w:right="700"/>
        <w:spacing w:after="0" w:line="228" w:lineRule="auto"/>
        <w:rPr>
          <w:sz w:val="20"/>
          <w:szCs w:val="20"/>
          <w:color w:val="auto"/>
        </w:rPr>
      </w:pPr>
      <w:r>
        <w:rPr>
          <w:rFonts w:ascii="Calibri" w:cs="Calibri" w:eastAsia="Calibri" w:hAnsi="Calibri"/>
          <w:sz w:val="20"/>
          <w:szCs w:val="20"/>
          <w:color w:val="auto"/>
        </w:rPr>
        <w:t>pending trade orders, the executon of any previously approved trade orders, new dividend reinvestment electons and the details of gif and trade transactons.</w:t>
      </w:r>
    </w:p>
    <w:p>
      <w:pPr>
        <w:spacing w:after="0" w:line="202" w:lineRule="exact"/>
        <w:rPr>
          <w:sz w:val="20"/>
          <w:szCs w:val="20"/>
          <w:color w:val="auto"/>
        </w:rPr>
      </w:pPr>
    </w:p>
    <w:p>
      <w:pPr>
        <w:ind w:left="100"/>
        <w:spacing w:after="0"/>
        <w:rPr>
          <w:sz w:val="20"/>
          <w:szCs w:val="20"/>
          <w:color w:val="auto"/>
        </w:rPr>
      </w:pPr>
      <w:r>
        <w:rPr>
          <w:rFonts w:ascii="Calibri" w:cs="Calibri" w:eastAsia="Calibri" w:hAnsi="Calibri"/>
          <w:sz w:val="23"/>
          <w:szCs w:val="23"/>
          <w:color w:val="2D5294"/>
        </w:rPr>
        <w:t>6. Policy Compliance</w:t>
      </w:r>
    </w:p>
    <w:p>
      <w:pPr>
        <w:spacing w:after="0" w:line="259" w:lineRule="exact"/>
        <w:rPr>
          <w:sz w:val="20"/>
          <w:szCs w:val="20"/>
          <w:color w:val="auto"/>
        </w:rPr>
      </w:pPr>
    </w:p>
    <w:p>
      <w:pPr>
        <w:ind w:left="420"/>
        <w:spacing w:after="0"/>
        <w:tabs>
          <w:tab w:leader="none" w:pos="960" w:val="left"/>
        </w:tabs>
        <w:rPr>
          <w:sz w:val="20"/>
          <w:szCs w:val="20"/>
          <w:color w:val="auto"/>
        </w:rPr>
      </w:pPr>
      <w:r>
        <w:rPr>
          <w:rFonts w:ascii="Calibri" w:cs="Calibri" w:eastAsia="Calibri" w:hAnsi="Calibri"/>
          <w:sz w:val="20"/>
          <w:szCs w:val="20"/>
          <w:b w:val="1"/>
          <w:bCs w:val="1"/>
          <w:color w:val="auto"/>
        </w:rPr>
        <w:t>6.1.</w:t>
        <w:tab/>
        <w:t>Potental Liability and Disciplinary Acton</w:t>
      </w:r>
    </w:p>
    <w:p>
      <w:pPr>
        <w:spacing w:after="0" w:line="252" w:lineRule="exact"/>
        <w:rPr>
          <w:sz w:val="20"/>
          <w:szCs w:val="20"/>
          <w:color w:val="auto"/>
        </w:rPr>
      </w:pPr>
    </w:p>
    <w:p>
      <w:pPr>
        <w:ind w:left="1700" w:hanging="727"/>
        <w:spacing w:after="0" w:line="228" w:lineRule="auto"/>
        <w:tabs>
          <w:tab w:leader="none" w:pos="1680" w:val="left"/>
        </w:tabs>
        <w:rPr>
          <w:sz w:val="20"/>
          <w:szCs w:val="20"/>
          <w:color w:val="auto"/>
        </w:rPr>
      </w:pPr>
      <w:r>
        <w:rPr>
          <w:rFonts w:ascii="Calibri" w:cs="Calibri" w:eastAsia="Calibri" w:hAnsi="Calibri"/>
          <w:sz w:val="20"/>
          <w:szCs w:val="20"/>
          <w:b w:val="1"/>
          <w:bCs w:val="1"/>
          <w:color w:val="auto"/>
        </w:rPr>
        <w:t>6.1.1.</w:t>
      </w:r>
      <w:r>
        <w:rPr>
          <w:sz w:val="20"/>
          <w:szCs w:val="20"/>
          <w:color w:val="auto"/>
        </w:rPr>
        <w:tab/>
      </w:r>
      <w:r>
        <w:rPr>
          <w:rFonts w:ascii="Calibri" w:cs="Calibri" w:eastAsia="Calibri" w:hAnsi="Calibri"/>
          <w:sz w:val="20"/>
          <w:szCs w:val="20"/>
          <w:color w:val="auto"/>
        </w:rPr>
        <w:t>Persons who trade on Material Nonpublic Informaton (or tp such informaton to others) may be subject to penaltes under federal and state securites laws, including criminal fnes and/or imprisonment, civil penaltes and disgorgement of profts gained or losses avoided on the transacton. A person who violates this Policy may also be subject to suit by persons who purchased or sold securites of the same company at the same tme as the person covered by this Policy. Persons who disclose Material Nonpublic Informaton about the Company to others who then trade in Company Securites while in possession of that informaton may be liable for the profts or avoided losses of those others.</w:t>
      </w:r>
    </w:p>
    <w:p>
      <w:pPr>
        <w:spacing w:after="0" w:line="226" w:lineRule="exact"/>
        <w:rPr>
          <w:sz w:val="20"/>
          <w:szCs w:val="20"/>
          <w:color w:val="auto"/>
        </w:rPr>
      </w:pPr>
    </w:p>
    <w:p>
      <w:pPr>
        <w:jc w:val="both"/>
        <w:ind w:left="1700" w:right="60" w:hanging="727"/>
        <w:spacing w:after="0" w:line="229" w:lineRule="auto"/>
        <w:tabs>
          <w:tab w:leader="none" w:pos="1680" w:val="left"/>
        </w:tabs>
        <w:rPr>
          <w:sz w:val="20"/>
          <w:szCs w:val="20"/>
          <w:color w:val="auto"/>
        </w:rPr>
      </w:pPr>
      <w:r>
        <w:rPr>
          <w:rFonts w:ascii="Calibri" w:cs="Calibri" w:eastAsia="Calibri" w:hAnsi="Calibri"/>
          <w:sz w:val="20"/>
          <w:szCs w:val="20"/>
          <w:b w:val="1"/>
          <w:bCs w:val="1"/>
          <w:color w:val="auto"/>
        </w:rPr>
        <w:t>6.1.2.</w:t>
      </w:r>
      <w:r>
        <w:rPr>
          <w:sz w:val="20"/>
          <w:szCs w:val="20"/>
          <w:color w:val="auto"/>
        </w:rPr>
        <w:tab/>
      </w:r>
      <w:r>
        <w:rPr>
          <w:rFonts w:ascii="Calibri" w:cs="Calibri" w:eastAsia="Calibri" w:hAnsi="Calibri"/>
          <w:sz w:val="20"/>
          <w:szCs w:val="20"/>
          <w:color w:val="auto"/>
        </w:rPr>
        <w:t>In additon, any person who violates this Policy will be subject to disciplinary acton by the Company, which may include dismissal or terminaton for cause. The Company may also be enttled to pursue legal acton against any person who violates this Policy in a breach of his or her fduciary dutes to the Company. Where appropriate, the Company may also report violatons of this Policy to appropriate government agencies, including the SEC and the United States Department of Justce.</w:t>
      </w:r>
    </w:p>
    <w:p>
      <w:pPr>
        <w:spacing w:after="0" w:line="239" w:lineRule="exact"/>
        <w:rPr>
          <w:sz w:val="20"/>
          <w:szCs w:val="20"/>
          <w:color w:val="auto"/>
        </w:rPr>
      </w:pPr>
    </w:p>
    <w:p>
      <w:pPr>
        <w:ind w:left="1720" w:right="1060" w:hanging="728"/>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6.1.3.</w:t>
      </w:r>
      <w:r>
        <w:rPr>
          <w:sz w:val="20"/>
          <w:szCs w:val="20"/>
          <w:color w:val="auto"/>
        </w:rPr>
        <w:tab/>
      </w:r>
      <w:r>
        <w:rPr>
          <w:rFonts w:ascii="Calibri" w:cs="Calibri" w:eastAsia="Calibri" w:hAnsi="Calibri"/>
          <w:sz w:val="20"/>
          <w:szCs w:val="20"/>
          <w:color w:val="auto"/>
        </w:rPr>
        <w:t>The Chief Legal Ofcer may be required to notfy the Company’s Chief Executve Ofcer and Board of Directors of any improper trading actvity.</w:t>
      </w:r>
    </w:p>
    <w:p>
      <w:pPr>
        <w:spacing w:after="0" w:line="242" w:lineRule="exact"/>
        <w:rPr>
          <w:sz w:val="20"/>
          <w:szCs w:val="20"/>
          <w:color w:val="auto"/>
        </w:rPr>
      </w:pPr>
    </w:p>
    <w:p>
      <w:pPr>
        <w:ind w:left="420"/>
        <w:spacing w:after="0"/>
        <w:tabs>
          <w:tab w:leader="none" w:pos="960" w:val="left"/>
        </w:tabs>
        <w:rPr>
          <w:sz w:val="20"/>
          <w:szCs w:val="20"/>
          <w:color w:val="auto"/>
        </w:rPr>
      </w:pPr>
      <w:r>
        <w:rPr>
          <w:rFonts w:ascii="Calibri" w:cs="Calibri" w:eastAsia="Calibri" w:hAnsi="Calibri"/>
          <w:sz w:val="20"/>
          <w:szCs w:val="20"/>
          <w:b w:val="1"/>
          <w:bCs w:val="1"/>
          <w:color w:val="auto"/>
        </w:rPr>
        <w:t>6.2.</w:t>
        <w:tab/>
        <w:t>Transactons that are Exempt from this Policy</w:t>
      </w:r>
    </w:p>
    <w:p>
      <w:pPr>
        <w:spacing w:after="0" w:line="252" w:lineRule="exact"/>
        <w:rPr>
          <w:sz w:val="20"/>
          <w:szCs w:val="20"/>
          <w:color w:val="auto"/>
        </w:rPr>
      </w:pPr>
    </w:p>
    <w:p>
      <w:pPr>
        <w:ind w:left="1720" w:right="320" w:hanging="728"/>
        <w:spacing w:after="0" w:line="228" w:lineRule="auto"/>
        <w:tabs>
          <w:tab w:leader="none" w:pos="1700" w:val="left"/>
        </w:tabs>
        <w:rPr>
          <w:sz w:val="20"/>
          <w:szCs w:val="20"/>
          <w:color w:val="auto"/>
        </w:rPr>
      </w:pPr>
      <w:r>
        <w:rPr>
          <w:rFonts w:ascii="Calibri" w:cs="Calibri" w:eastAsia="Calibri" w:hAnsi="Calibri"/>
          <w:sz w:val="20"/>
          <w:szCs w:val="20"/>
          <w:b w:val="1"/>
          <w:bCs w:val="1"/>
          <w:color w:val="auto"/>
        </w:rPr>
        <w:t>6.2.1.</w:t>
        <w:tab/>
        <w:t xml:space="preserve">Publicly Traded Index Funds. </w:t>
      </w:r>
      <w:r>
        <w:rPr>
          <w:rFonts w:ascii="Calibri" w:cs="Calibri" w:eastAsia="Calibri" w:hAnsi="Calibri"/>
          <w:sz w:val="20"/>
          <w:szCs w:val="20"/>
          <w:color w:val="auto"/>
        </w:rPr>
        <w:t>Transactons in these funds do not violate this Policy even if Company Securites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are a component of the fund (includes mutual funds).</w:t>
      </w:r>
    </w:p>
    <w:p>
      <w:pPr>
        <w:spacing w:after="0" w:line="252" w:lineRule="exact"/>
        <w:rPr>
          <w:sz w:val="20"/>
          <w:szCs w:val="20"/>
          <w:color w:val="auto"/>
        </w:rPr>
      </w:pPr>
    </w:p>
    <w:p>
      <w:pPr>
        <w:ind w:left="1720" w:right="320" w:hanging="727"/>
        <w:spacing w:after="0" w:line="227" w:lineRule="auto"/>
        <w:tabs>
          <w:tab w:leader="none" w:pos="1700" w:val="left"/>
        </w:tabs>
        <w:rPr>
          <w:sz w:val="20"/>
          <w:szCs w:val="20"/>
          <w:color w:val="auto"/>
        </w:rPr>
      </w:pPr>
      <w:r>
        <w:rPr>
          <w:rFonts w:ascii="Calibri" w:cs="Calibri" w:eastAsia="Calibri" w:hAnsi="Calibri"/>
          <w:sz w:val="20"/>
          <w:szCs w:val="20"/>
          <w:b w:val="1"/>
          <w:bCs w:val="1"/>
          <w:color w:val="auto"/>
        </w:rPr>
        <w:t>6.2.2.</w:t>
        <w:tab/>
        <w:t xml:space="preserve">Company-Granted Equity Awards. </w:t>
      </w:r>
      <w:r>
        <w:rPr>
          <w:rFonts w:ascii="Calibri" w:cs="Calibri" w:eastAsia="Calibri" w:hAnsi="Calibri"/>
          <w:sz w:val="20"/>
          <w:szCs w:val="20"/>
          <w:color w:val="auto"/>
        </w:rPr>
        <w:t>The following transactons related to Company- granted equity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awards do not violate this Policy (although one or more may require pre-clearance if otherwise provided in this Policy):</w:t>
      </w:r>
    </w:p>
    <w:p>
      <w:pPr>
        <w:spacing w:after="0" w:line="239" w:lineRule="exact"/>
        <w:rPr>
          <w:sz w:val="20"/>
          <w:szCs w:val="20"/>
          <w:color w:val="auto"/>
        </w:rPr>
      </w:pPr>
    </w:p>
    <w:p>
      <w:pPr>
        <w:ind w:left="2600" w:right="400" w:hanging="892"/>
        <w:spacing w:after="0" w:line="230" w:lineRule="auto"/>
        <w:tabs>
          <w:tab w:leader="none" w:pos="2580" w:val="left"/>
        </w:tabs>
        <w:rPr>
          <w:sz w:val="20"/>
          <w:szCs w:val="20"/>
          <w:color w:val="auto"/>
        </w:rPr>
      </w:pPr>
      <w:r>
        <w:rPr>
          <w:rFonts w:ascii="Calibri" w:cs="Calibri" w:eastAsia="Calibri" w:hAnsi="Calibri"/>
          <w:sz w:val="20"/>
          <w:szCs w:val="20"/>
          <w:b w:val="1"/>
          <w:bCs w:val="1"/>
          <w:color w:val="auto"/>
        </w:rPr>
        <w:t>6.2.2.1.</w:t>
      </w:r>
      <w:r>
        <w:rPr>
          <w:sz w:val="20"/>
          <w:szCs w:val="20"/>
          <w:color w:val="auto"/>
        </w:rPr>
        <w:tab/>
      </w:r>
      <w:r>
        <w:rPr>
          <w:rFonts w:ascii="Calibri" w:cs="Calibri" w:eastAsia="Calibri" w:hAnsi="Calibri"/>
          <w:sz w:val="20"/>
          <w:szCs w:val="20"/>
          <w:color w:val="auto"/>
        </w:rPr>
        <w:t>Purchases of shares under a Company employee stock purchase plan, changes to your withdrawal percentage or withdrawing from the plan, but changing your instructons regarding the sale of Company Securites pursuant to a “sell all” electon (see Secton 6.2.5. below) under a Company stock purchase plan is subject to this Policy;</w:t>
      </w:r>
    </w:p>
    <w:p>
      <w:pPr>
        <w:spacing w:after="0" w:line="225" w:lineRule="exact"/>
        <w:rPr>
          <w:sz w:val="20"/>
          <w:szCs w:val="20"/>
          <w:color w:val="auto"/>
        </w:rPr>
      </w:pPr>
    </w:p>
    <w:p>
      <w:pPr>
        <w:ind w:left="2600" w:right="660" w:hanging="892"/>
        <w:spacing w:after="0" w:line="234" w:lineRule="auto"/>
        <w:tabs>
          <w:tab w:leader="none" w:pos="2580" w:val="left"/>
        </w:tabs>
        <w:rPr>
          <w:sz w:val="20"/>
          <w:szCs w:val="20"/>
          <w:color w:val="auto"/>
        </w:rPr>
      </w:pPr>
      <w:r>
        <w:rPr>
          <w:rFonts w:ascii="Calibri" w:cs="Calibri" w:eastAsia="Calibri" w:hAnsi="Calibri"/>
          <w:sz w:val="20"/>
          <w:szCs w:val="20"/>
          <w:b w:val="1"/>
          <w:bCs w:val="1"/>
          <w:color w:val="auto"/>
        </w:rPr>
        <w:t>6.2.2.2.</w:t>
      </w:r>
      <w:r>
        <w:rPr>
          <w:sz w:val="20"/>
          <w:szCs w:val="20"/>
          <w:color w:val="auto"/>
        </w:rPr>
        <w:tab/>
      </w:r>
      <w:r>
        <w:rPr>
          <w:rFonts w:ascii="Calibri" w:cs="Calibri" w:eastAsia="Calibri" w:hAnsi="Calibri"/>
          <w:sz w:val="20"/>
          <w:szCs w:val="20"/>
          <w:color w:val="auto"/>
        </w:rPr>
        <w:t>The exercise of optons if the opton exercise price and associated taxes, are paid in cash or net setled and there is no associated market actvity;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400" w:top="1440" w:right="479" w:bottom="1440" w:gutter="0" w:footer="0" w:header="0"/>
        </w:sectPr>
      </w:pPr>
    </w:p>
    <w:bookmarkStart w:id="109" w:name="page110"/>
    <w:bookmarkEnd w:id="109"/>
    <w:p>
      <w:pPr>
        <w:ind w:left="2640" w:right="140" w:hanging="892"/>
        <w:spacing w:after="0" w:line="234" w:lineRule="auto"/>
        <w:tabs>
          <w:tab w:leader="none" w:pos="2620" w:val="left"/>
        </w:tabs>
        <w:rPr>
          <w:sz w:val="20"/>
          <w:szCs w:val="20"/>
          <w:color w:val="auto"/>
        </w:rPr>
      </w:pPr>
      <w:r>
        <w:rPr>
          <w:rFonts w:ascii="Calibri" w:cs="Calibri" w:eastAsia="Calibri" w:hAnsi="Calibri"/>
          <w:sz w:val="20"/>
          <w:szCs w:val="20"/>
          <w:b w:val="1"/>
          <w:bCs w:val="1"/>
          <w:color w:val="auto"/>
        </w:rPr>
        <w:t>6.2.2.3.</w:t>
      </w:r>
      <w:r>
        <w:rPr>
          <w:sz w:val="20"/>
          <w:szCs w:val="20"/>
          <w:color w:val="auto"/>
        </w:rPr>
        <w:tab/>
      </w:r>
      <w:r>
        <w:rPr>
          <w:rFonts w:ascii="Calibri" w:cs="Calibri" w:eastAsia="Calibri" w:hAnsi="Calibri"/>
          <w:sz w:val="20"/>
          <w:szCs w:val="20"/>
          <w:color w:val="auto"/>
        </w:rPr>
        <w:t>The grant or vestng of equity compensaton awards (for example, RSUs, PRSUs, and optons) under Company equity plans;</w:t>
      </w:r>
    </w:p>
    <w:p>
      <w:pPr>
        <w:spacing w:after="0" w:line="253" w:lineRule="exact"/>
        <w:rPr>
          <w:sz w:val="20"/>
          <w:szCs w:val="20"/>
          <w:color w:val="auto"/>
        </w:rPr>
      </w:pPr>
    </w:p>
    <w:p>
      <w:pPr>
        <w:ind w:left="2640" w:right="300" w:hanging="892"/>
        <w:spacing w:after="0" w:line="227" w:lineRule="auto"/>
        <w:tabs>
          <w:tab w:leader="none" w:pos="2620" w:val="left"/>
        </w:tabs>
        <w:rPr>
          <w:sz w:val="20"/>
          <w:szCs w:val="20"/>
          <w:color w:val="auto"/>
        </w:rPr>
      </w:pPr>
      <w:r>
        <w:rPr>
          <w:rFonts w:ascii="Calibri" w:cs="Calibri" w:eastAsia="Calibri" w:hAnsi="Calibri"/>
          <w:sz w:val="20"/>
          <w:szCs w:val="20"/>
          <w:b w:val="1"/>
          <w:bCs w:val="1"/>
          <w:color w:val="auto"/>
        </w:rPr>
        <w:t>6.2.2.4.</w:t>
      </w:r>
      <w:r>
        <w:rPr>
          <w:sz w:val="20"/>
          <w:szCs w:val="20"/>
          <w:color w:val="auto"/>
        </w:rPr>
        <w:tab/>
      </w:r>
      <w:r>
        <w:rPr>
          <w:rFonts w:ascii="Calibri" w:cs="Calibri" w:eastAsia="Calibri" w:hAnsi="Calibri"/>
          <w:sz w:val="20"/>
          <w:szCs w:val="20"/>
          <w:color w:val="auto"/>
        </w:rPr>
        <w:t>Withholding of shares by the Company to cover tax withholding from restricted stock, RSUs and PRSUs (but only if either share withholding is required by the Company or elected by you under a process approved by the Company); and</w:t>
      </w:r>
    </w:p>
    <w:p>
      <w:pPr>
        <w:spacing w:after="0" w:line="239" w:lineRule="exact"/>
        <w:rPr>
          <w:sz w:val="20"/>
          <w:szCs w:val="20"/>
          <w:color w:val="auto"/>
        </w:rPr>
      </w:pPr>
    </w:p>
    <w:p>
      <w:pPr>
        <w:ind w:left="2640" w:right="100" w:hanging="891"/>
        <w:spacing w:after="0" w:line="229" w:lineRule="auto"/>
        <w:tabs>
          <w:tab w:leader="none" w:pos="2620" w:val="left"/>
        </w:tabs>
        <w:rPr>
          <w:sz w:val="20"/>
          <w:szCs w:val="20"/>
          <w:color w:val="auto"/>
        </w:rPr>
      </w:pPr>
      <w:r>
        <w:rPr>
          <w:rFonts w:ascii="Calibri" w:cs="Calibri" w:eastAsia="Calibri" w:hAnsi="Calibri"/>
          <w:sz w:val="20"/>
          <w:szCs w:val="20"/>
          <w:b w:val="1"/>
          <w:bCs w:val="1"/>
          <w:color w:val="auto"/>
        </w:rPr>
        <w:t>6.2.2.5.</w:t>
      </w:r>
      <w:r>
        <w:rPr>
          <w:sz w:val="20"/>
          <w:szCs w:val="20"/>
          <w:color w:val="auto"/>
        </w:rPr>
        <w:tab/>
      </w:r>
      <w:r>
        <w:rPr>
          <w:rFonts w:ascii="Calibri" w:cs="Calibri" w:eastAsia="Calibri" w:hAnsi="Calibri"/>
          <w:sz w:val="20"/>
          <w:szCs w:val="20"/>
          <w:color w:val="auto"/>
        </w:rPr>
        <w:t>Sell-to-cover transactons under a Company-approved program, under which vested shares under full value awards (for example, restricted stock, RSUs and PRSUs) automatcally are sold in order to satsfy tax withholding requirements (this excepton does not apply to any other market or other sales for the purposes of paying required withholding). Note that sell-to-cover transactons may stll lead to short-swing liability for Secton 16 Ofcers.</w:t>
      </w:r>
    </w:p>
    <w:p>
      <w:pPr>
        <w:spacing w:after="0" w:line="216" w:lineRule="exact"/>
        <w:rPr>
          <w:sz w:val="20"/>
          <w:szCs w:val="20"/>
          <w:color w:val="auto"/>
        </w:rPr>
      </w:pPr>
    </w:p>
    <w:p>
      <w:pPr>
        <w:ind w:left="1760"/>
        <w:spacing w:after="0"/>
        <w:tabs>
          <w:tab w:leader="none" w:pos="2620" w:val="left"/>
        </w:tabs>
        <w:rPr>
          <w:sz w:val="20"/>
          <w:szCs w:val="20"/>
          <w:color w:val="auto"/>
        </w:rPr>
      </w:pPr>
      <w:r>
        <w:rPr>
          <w:rFonts w:ascii="Calibri" w:cs="Calibri" w:eastAsia="Calibri" w:hAnsi="Calibri"/>
          <w:sz w:val="20"/>
          <w:szCs w:val="20"/>
          <w:b w:val="1"/>
          <w:bCs w:val="1"/>
          <w:color w:val="auto"/>
        </w:rPr>
        <w:t>6.2.2.6.</w:t>
      </w:r>
      <w:r>
        <w:rPr>
          <w:sz w:val="20"/>
          <w:szCs w:val="20"/>
          <w:color w:val="auto"/>
        </w:rPr>
        <w:tab/>
      </w:r>
      <w:r>
        <w:rPr>
          <w:rFonts w:ascii="Calibri" w:cs="Calibri" w:eastAsia="Calibri" w:hAnsi="Calibri"/>
          <w:sz w:val="20"/>
          <w:szCs w:val="20"/>
          <w:color w:val="auto"/>
        </w:rPr>
        <w:t>However, any shares received as described in the preceding subsectons</w:t>
      </w:r>
    </w:p>
    <w:p>
      <w:pPr>
        <w:spacing w:after="0" w:line="9" w:lineRule="exact"/>
        <w:rPr>
          <w:sz w:val="20"/>
          <w:szCs w:val="20"/>
          <w:color w:val="auto"/>
        </w:rPr>
      </w:pPr>
    </w:p>
    <w:p>
      <w:pPr>
        <w:ind w:left="2640" w:right="360" w:hanging="1"/>
        <w:spacing w:after="0" w:line="234" w:lineRule="auto"/>
        <w:rPr>
          <w:sz w:val="20"/>
          <w:szCs w:val="20"/>
          <w:color w:val="auto"/>
        </w:rPr>
      </w:pPr>
      <w:r>
        <w:rPr>
          <w:rFonts w:ascii="Calibri" w:cs="Calibri" w:eastAsia="Calibri" w:hAnsi="Calibri"/>
          <w:sz w:val="20"/>
          <w:szCs w:val="20"/>
          <w:color w:val="auto"/>
        </w:rPr>
        <w:t>6.2.2.1. - 6.2.2.5. will be subject to this Policy and may not be transferred or disposed of without complying with this Policy.</w:t>
      </w:r>
    </w:p>
    <w:p>
      <w:pPr>
        <w:spacing w:after="0" w:line="253" w:lineRule="exact"/>
        <w:rPr>
          <w:sz w:val="20"/>
          <w:szCs w:val="20"/>
          <w:color w:val="auto"/>
        </w:rPr>
      </w:pPr>
    </w:p>
    <w:p>
      <w:pPr>
        <w:ind w:left="1760" w:right="40" w:hanging="727"/>
        <w:spacing w:after="0" w:line="227" w:lineRule="auto"/>
        <w:tabs>
          <w:tab w:leader="none" w:pos="1740" w:val="left"/>
        </w:tabs>
        <w:rPr>
          <w:sz w:val="20"/>
          <w:szCs w:val="20"/>
          <w:color w:val="auto"/>
        </w:rPr>
      </w:pPr>
      <w:r>
        <w:rPr>
          <w:rFonts w:ascii="Calibri" w:cs="Calibri" w:eastAsia="Calibri" w:hAnsi="Calibri"/>
          <w:sz w:val="20"/>
          <w:szCs w:val="20"/>
          <w:b w:val="1"/>
          <w:bCs w:val="1"/>
          <w:color w:val="auto"/>
        </w:rPr>
        <w:t>6.2.3.</w:t>
        <w:tab/>
        <w:t xml:space="preserve">Rule 10b5-1 Trading Plans. </w:t>
      </w:r>
      <w:r>
        <w:rPr>
          <w:rFonts w:ascii="Calibri" w:cs="Calibri" w:eastAsia="Calibri" w:hAnsi="Calibri"/>
          <w:sz w:val="20"/>
          <w:szCs w:val="20"/>
          <w:color w:val="auto"/>
        </w:rPr>
        <w:t>Purchases and sales by Insiders that satsfy the requirements of Rule 10b5-1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that are efected pursuant to Company approved Rule 10b5-1 trading plan requirements are exempt from this Policy. If you want to implement a trading plan under SEC Rule 10b5-1, you frst must pre-clear the plan with two individuals included in the Chief Legal Ofcer defniton below, who will have discreton whether to approve the plan. An Insider may enter into a trading plan (or modify an existng trading plan) only if such Insider is not in possession of Material Nonpublic Informaton regarding the Company or Company Securites at the tme of adopton or modifcaton. To be approved by the Company and qualify for the excepton to this Policy, any trading plan must be submited to the Chief Legal Ofcer for approval. If the Chief Legal Ofcer is the requester, then the Chief Financial Ofcer and one other individual included in the Chief Legal Ofcer defniton below will act as approvers. Any transactons efected pursuant to a pre- cleared trading plan must be reported within one business day to the Global Stock Team at stock@micron.com.</w:t>
      </w:r>
    </w:p>
    <w:p>
      <w:pPr>
        <w:spacing w:after="0" w:line="227" w:lineRule="exact"/>
        <w:rPr>
          <w:sz w:val="20"/>
          <w:szCs w:val="20"/>
          <w:color w:val="auto"/>
        </w:rPr>
      </w:pPr>
    </w:p>
    <w:p>
      <w:pPr>
        <w:ind w:left="1760" w:hanging="727"/>
        <w:spacing w:after="0" w:line="229" w:lineRule="auto"/>
        <w:tabs>
          <w:tab w:leader="none" w:pos="1740" w:val="left"/>
        </w:tabs>
        <w:rPr>
          <w:sz w:val="20"/>
          <w:szCs w:val="20"/>
          <w:color w:val="auto"/>
        </w:rPr>
      </w:pPr>
      <w:r>
        <w:rPr>
          <w:rFonts w:ascii="Calibri" w:cs="Calibri" w:eastAsia="Calibri" w:hAnsi="Calibri"/>
          <w:sz w:val="20"/>
          <w:szCs w:val="20"/>
          <w:b w:val="1"/>
          <w:bCs w:val="1"/>
          <w:color w:val="auto"/>
        </w:rPr>
        <w:t>6.2.4.</w:t>
        <w:tab/>
        <w:t xml:space="preserve">Certain Transactons Made Not for Consideraton. </w:t>
      </w:r>
      <w:r>
        <w:rPr>
          <w:rFonts w:ascii="Calibri" w:cs="Calibri" w:eastAsia="Calibri" w:hAnsi="Calibri"/>
          <w:sz w:val="20"/>
          <w:szCs w:val="20"/>
          <w:color w:val="auto"/>
        </w:rPr>
        <w:t>The following transactons are not prohibited by this Policy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when made not for any consideraton (but any sale or other dispositon by the recipient or transferee following the exempt transacton remains subject to this Policy and certain transactons require pre-clearance as stated below): (i) transfers by will or the laws of descent or distributon, (ii) inter- spousal transfers, (iii) transfers for estate planning reasons to a vehicle such as a trust or LLC that does not change your pecuniary interest in the securites, and (iv) stock splits, stock dividends and similar events that apply to all shareholders equally. In order to make a transacton listed in (ii) or (iii), you must give advance notce to the Chief Legal Ofcer, who will have discreton to confrm or deny the applicability of the excepton.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00"/>
          </w:cols>
          <w:pgMar w:left="360" w:top="1357" w:right="639" w:bottom="1440" w:gutter="0" w:footer="0" w:header="0"/>
        </w:sectPr>
      </w:pPr>
    </w:p>
    <w:bookmarkStart w:id="110" w:name="page111"/>
    <w:bookmarkEnd w:id="110"/>
    <w:p>
      <w:pPr>
        <w:spacing w:after="0" w:line="161" w:lineRule="exact"/>
        <w:rPr>
          <w:sz w:val="20"/>
          <w:szCs w:val="20"/>
          <w:color w:val="auto"/>
        </w:rPr>
      </w:pPr>
    </w:p>
    <w:p>
      <w:pPr>
        <w:ind w:left="1740" w:right="40" w:hanging="727"/>
        <w:spacing w:after="0" w:line="227" w:lineRule="auto"/>
        <w:tabs>
          <w:tab w:leader="none" w:pos="1720" w:val="left"/>
        </w:tabs>
        <w:rPr>
          <w:sz w:val="20"/>
          <w:szCs w:val="20"/>
          <w:color w:val="auto"/>
        </w:rPr>
      </w:pPr>
      <w:r>
        <w:rPr>
          <w:rFonts w:ascii="Calibri" w:cs="Calibri" w:eastAsia="Calibri" w:hAnsi="Calibri"/>
          <w:sz w:val="20"/>
          <w:szCs w:val="20"/>
          <w:b w:val="1"/>
          <w:bCs w:val="1"/>
          <w:color w:val="auto"/>
        </w:rPr>
        <w:t>6.2.5.</w:t>
        <w:tab/>
        <w:t xml:space="preserve">Automated Sales. </w:t>
      </w:r>
      <w:r>
        <w:rPr>
          <w:rFonts w:ascii="Calibri" w:cs="Calibri" w:eastAsia="Calibri" w:hAnsi="Calibri"/>
          <w:sz w:val="20"/>
          <w:szCs w:val="20"/>
          <w:color w:val="auto"/>
        </w:rPr>
        <w:t>If the Company’s equity plan administrator or captve broker provides a “sell all” electon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pursuant to which you can elect to sell all shares purchased through a Company employee stock purchase plan immediately upon the purchase of such shares pursuant to the terms of the employee stock purchase plan, sales pursuant to such electon are permited under this Policy only for employees that are not Secton 16 Reportng Persons, provided, that, if you are an Insider, you cannot make the inital electon, or any change or terminaton to that electon unless: (i) the trading window is open, (ii) you are not in possession of Material Nonpublic Informaton and (iii) there are at least 30 days between the electon date and the employee stock plan purchase date.</w:t>
      </w:r>
    </w:p>
    <w:p>
      <w:pPr>
        <w:spacing w:after="0" w:line="245" w:lineRule="exact"/>
        <w:rPr>
          <w:sz w:val="20"/>
          <w:szCs w:val="20"/>
          <w:color w:val="auto"/>
        </w:rPr>
      </w:pPr>
    </w:p>
    <w:p>
      <w:pPr>
        <w:ind w:left="1740" w:hanging="727"/>
        <w:spacing w:after="0" w:line="228" w:lineRule="auto"/>
        <w:tabs>
          <w:tab w:leader="none" w:pos="1720" w:val="left"/>
        </w:tabs>
        <w:rPr>
          <w:sz w:val="20"/>
          <w:szCs w:val="20"/>
          <w:color w:val="auto"/>
        </w:rPr>
      </w:pPr>
      <w:r>
        <w:rPr>
          <w:rFonts w:ascii="Calibri" w:cs="Calibri" w:eastAsia="Calibri" w:hAnsi="Calibri"/>
          <w:sz w:val="20"/>
          <w:szCs w:val="20"/>
          <w:b w:val="1"/>
          <w:bCs w:val="1"/>
          <w:color w:val="auto"/>
        </w:rPr>
        <w:t>6.2.6.</w:t>
        <w:tab/>
        <w:t xml:space="preserve">Pre-Clearance Stll Required. </w:t>
      </w:r>
      <w:r>
        <w:rPr>
          <w:rFonts w:ascii="Calibri" w:cs="Calibri" w:eastAsia="Calibri" w:hAnsi="Calibri"/>
          <w:sz w:val="20"/>
          <w:szCs w:val="20"/>
          <w:color w:val="auto"/>
        </w:rPr>
        <w:t>Even if a transacton is exempt from this Policy, you stll should assess whether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transacton complies with applicable law. In additon, the above limited exemptons remain subject to the pre-clearance requirements of this Policy (unless the transacton is completed automatcally by the Company without acton by you (for example, vestng of an RSU)) or pursuant to a Company-approved Rule 10b5-1 trading plan. Therefore, if you are a Secton 16 Reportng Person, you must pre-clear any of the above exempt transactons as required in Secton 5.3.1. above.</w:t>
      </w:r>
    </w:p>
    <w:p>
      <w:pPr>
        <w:spacing w:after="0" w:line="228" w:lineRule="exact"/>
        <w:rPr>
          <w:sz w:val="20"/>
          <w:szCs w:val="20"/>
          <w:color w:val="auto"/>
        </w:rPr>
      </w:pPr>
    </w:p>
    <w:p>
      <w:pPr>
        <w:jc w:val="both"/>
        <w:ind w:left="1020" w:right="280" w:hanging="568"/>
        <w:spacing w:after="0" w:line="231" w:lineRule="auto"/>
        <w:tabs>
          <w:tab w:leader="none" w:pos="1000" w:val="left"/>
        </w:tabs>
        <w:rPr>
          <w:sz w:val="20"/>
          <w:szCs w:val="20"/>
          <w:color w:val="auto"/>
        </w:rPr>
      </w:pPr>
      <w:r>
        <w:rPr>
          <w:rFonts w:ascii="Calibri" w:cs="Calibri" w:eastAsia="Calibri" w:hAnsi="Calibri"/>
          <w:sz w:val="20"/>
          <w:szCs w:val="20"/>
          <w:b w:val="1"/>
          <w:bCs w:val="1"/>
          <w:color w:val="auto"/>
        </w:rPr>
        <w:t>6.3.</w:t>
        <w:tab/>
        <w:t xml:space="preserve">Protected Actvity Not Prohibited. </w:t>
      </w:r>
      <w:r>
        <w:rPr>
          <w:rFonts w:ascii="Calibri" w:cs="Calibri" w:eastAsia="Calibri" w:hAnsi="Calibri"/>
          <w:sz w:val="20"/>
          <w:szCs w:val="20"/>
          <w:color w:val="auto"/>
        </w:rPr>
        <w:t>Nothing in this Policy, or any related guidelines or other documents or informaton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provided in connecton with this Policy, shall in any way limit or prohibit you from engaging in any actvity protected by law or from complying with your obligatons under the Company’s Code of Business Conduct and Ethics.</w:t>
      </w:r>
    </w:p>
    <w:p>
      <w:pPr>
        <w:spacing w:after="0" w:line="227" w:lineRule="exact"/>
        <w:rPr>
          <w:sz w:val="20"/>
          <w:szCs w:val="20"/>
          <w:color w:val="auto"/>
        </w:rPr>
      </w:pPr>
    </w:p>
    <w:p>
      <w:pPr>
        <w:ind w:left="1020" w:right="260" w:hanging="568"/>
        <w:spacing w:after="0" w:line="230" w:lineRule="auto"/>
        <w:tabs>
          <w:tab w:leader="none" w:pos="1000" w:val="left"/>
        </w:tabs>
        <w:rPr>
          <w:sz w:val="20"/>
          <w:szCs w:val="20"/>
          <w:color w:val="auto"/>
        </w:rPr>
      </w:pPr>
      <w:r>
        <w:rPr>
          <w:rFonts w:ascii="Calibri" w:cs="Calibri" w:eastAsia="Calibri" w:hAnsi="Calibri"/>
          <w:sz w:val="20"/>
          <w:szCs w:val="20"/>
          <w:b w:val="1"/>
          <w:bCs w:val="1"/>
          <w:color w:val="auto"/>
        </w:rPr>
        <w:t>6.4.</w:t>
        <w:tab/>
        <w:t xml:space="preserve">Reportng of Violatons. </w:t>
      </w:r>
      <w:r>
        <w:rPr>
          <w:rFonts w:ascii="Calibri" w:cs="Calibri" w:eastAsia="Calibri" w:hAnsi="Calibri"/>
          <w:sz w:val="20"/>
          <w:szCs w:val="20"/>
          <w:color w:val="auto"/>
        </w:rPr>
        <w:t>If you believe someone is violatng this Policy or otherwise using Material Nonpublic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Informaton to trade Company Securites or the securites of any other company, you should report it to the Chief Legal Ofcer. If the Chief Legal Ofcer would be implicated in your report, you should instead make your report in accordance with the Company’s Code of Business Conduct and Ethics.</w:t>
      </w:r>
    </w:p>
    <w:p>
      <w:pPr>
        <w:spacing w:after="0" w:line="239" w:lineRule="exact"/>
        <w:rPr>
          <w:sz w:val="20"/>
          <w:szCs w:val="20"/>
          <w:color w:val="auto"/>
        </w:rPr>
      </w:pPr>
    </w:p>
    <w:p>
      <w:pPr>
        <w:ind w:left="1020" w:right="560" w:hanging="568"/>
        <w:spacing w:after="0" w:line="228" w:lineRule="auto"/>
        <w:tabs>
          <w:tab w:leader="none" w:pos="1000" w:val="left"/>
        </w:tabs>
        <w:rPr>
          <w:sz w:val="20"/>
          <w:szCs w:val="20"/>
          <w:color w:val="auto"/>
        </w:rPr>
      </w:pPr>
      <w:r>
        <w:rPr>
          <w:rFonts w:ascii="Calibri" w:cs="Calibri" w:eastAsia="Calibri" w:hAnsi="Calibri"/>
          <w:sz w:val="20"/>
          <w:szCs w:val="20"/>
          <w:b w:val="1"/>
          <w:bCs w:val="1"/>
          <w:color w:val="auto"/>
        </w:rPr>
        <w:t>6.5.</w:t>
        <w:tab/>
        <w:t xml:space="preserve">Future Changes to this Policy. </w:t>
      </w:r>
      <w:r>
        <w:rPr>
          <w:rFonts w:ascii="Calibri" w:cs="Calibri" w:eastAsia="Calibri" w:hAnsi="Calibri"/>
          <w:sz w:val="20"/>
          <w:szCs w:val="20"/>
          <w:color w:val="auto"/>
        </w:rPr>
        <w:t>The Company may amend this Policy at any tme and for any reason, with or without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notce. The Company will atempt to provide notce in advance of any change.</w:t>
      </w:r>
    </w:p>
    <w:p>
      <w:pPr>
        <w:spacing w:after="0" w:line="256" w:lineRule="exact"/>
        <w:rPr>
          <w:sz w:val="20"/>
          <w:szCs w:val="20"/>
          <w:color w:val="auto"/>
        </w:rPr>
      </w:pPr>
    </w:p>
    <w:p>
      <w:pPr>
        <w:ind w:left="140"/>
        <w:spacing w:after="0"/>
        <w:rPr>
          <w:sz w:val="20"/>
          <w:szCs w:val="20"/>
          <w:color w:val="auto"/>
        </w:rPr>
      </w:pPr>
      <w:r>
        <w:rPr>
          <w:rFonts w:ascii="Calibri" w:cs="Calibri" w:eastAsia="Calibri" w:hAnsi="Calibri"/>
          <w:sz w:val="23"/>
          <w:szCs w:val="23"/>
          <w:color w:val="2D5294"/>
        </w:rPr>
        <w:t>7. References</w:t>
      </w:r>
    </w:p>
    <w:p>
      <w:pPr>
        <w:spacing w:after="0" w:line="353" w:lineRule="exact"/>
        <w:rPr>
          <w:sz w:val="20"/>
          <w:szCs w:val="20"/>
          <w:color w:val="auto"/>
        </w:rPr>
      </w:pPr>
    </w:p>
    <w:p>
      <w:pPr>
        <w:ind w:left="620"/>
        <w:spacing w:after="0"/>
        <w:rPr>
          <w:sz w:val="20"/>
          <w:szCs w:val="20"/>
          <w:color w:val="auto"/>
        </w:rPr>
      </w:pPr>
      <w:r>
        <w:rPr>
          <w:rFonts w:ascii="Calibri" w:cs="Calibri" w:eastAsia="Calibri" w:hAnsi="Calibri"/>
          <w:sz w:val="20"/>
          <w:szCs w:val="20"/>
          <w:b w:val="1"/>
          <w:bCs w:val="1"/>
          <w:color w:val="auto"/>
        </w:rPr>
        <w:t>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-140970</wp:posOffset>
            </wp:positionV>
            <wp:extent cx="3857625" cy="746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3857625" cy="746125"/>
                    </a:xfrm>
                    <a:prstGeom prst="rect">
                      <a:avLst/>
                    </a:prstGeom>
                    <a:noFill/>
                  </pic:spPr>
                </pic:pic>
              </a:graphicData>
            </a:graphic>
          </wp:anchor>
        </w:drawing>
      </w:r>
    </w:p>
    <w:p>
      <w:pPr>
        <w:spacing w:after="0" w:line="33" w:lineRule="exact"/>
        <w:rPr>
          <w:sz w:val="20"/>
          <w:szCs w:val="20"/>
          <w:color w:val="auto"/>
        </w:rPr>
      </w:pPr>
    </w:p>
    <w:p>
      <w:pPr>
        <w:ind w:left="560"/>
        <w:spacing w:after="0"/>
        <w:rPr>
          <w:sz w:val="20"/>
          <w:szCs w:val="20"/>
          <w:color w:val="auto"/>
        </w:rPr>
      </w:pPr>
      <w:r>
        <w:rPr>
          <w:rFonts w:ascii="Calibri" w:cs="Calibri" w:eastAsia="Calibri" w:hAnsi="Calibri"/>
          <w:sz w:val="20"/>
          <w:szCs w:val="20"/>
          <w:u w:val="single" w:color="auto"/>
          <w:color w:val="0000FF"/>
        </w:rPr>
        <w:t>Compliance and Ethics Center</w:t>
      </w:r>
    </w:p>
    <w:p>
      <w:pPr>
        <w:spacing w:after="0" w:line="53" w:lineRule="exact"/>
        <w:rPr>
          <w:sz w:val="20"/>
          <w:szCs w:val="20"/>
          <w:color w:val="auto"/>
        </w:rPr>
      </w:pPr>
    </w:p>
    <w:p>
      <w:pPr>
        <w:ind w:left="560"/>
        <w:spacing w:after="0"/>
        <w:rPr>
          <w:sz w:val="20"/>
          <w:szCs w:val="20"/>
          <w:color w:val="auto"/>
        </w:rPr>
      </w:pPr>
      <w:r>
        <w:rPr>
          <w:rFonts w:ascii="Calibri" w:cs="Calibri" w:eastAsia="Calibri" w:hAnsi="Calibri"/>
          <w:sz w:val="20"/>
          <w:szCs w:val="20"/>
          <w:u w:val="single" w:color="auto"/>
          <w:color w:val="0000FF"/>
        </w:rPr>
        <w:t>Micron Global Policy Site</w:t>
      </w:r>
    </w:p>
    <w:p>
      <w:pPr>
        <w:spacing w:after="0" w:line="39" w:lineRule="exact"/>
        <w:rPr>
          <w:sz w:val="20"/>
          <w:szCs w:val="20"/>
          <w:color w:val="auto"/>
        </w:rPr>
      </w:pPr>
    </w:p>
    <w:p>
      <w:pPr>
        <w:ind w:left="560"/>
        <w:spacing w:after="0"/>
        <w:rPr>
          <w:sz w:val="20"/>
          <w:szCs w:val="20"/>
          <w:color w:val="auto"/>
        </w:rPr>
      </w:pPr>
      <w:r>
        <w:rPr>
          <w:rFonts w:ascii="Calibri" w:cs="Calibri" w:eastAsia="Calibri" w:hAnsi="Calibri"/>
          <w:sz w:val="20"/>
          <w:szCs w:val="20"/>
          <w:u w:val="single" w:color="auto"/>
          <w:color w:val="0000FF"/>
        </w:rPr>
        <w:t>Procedures and Guidelines (relatng to Company Securites)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360" w:top="1440" w:right="5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97"/>
        </w:trPr>
        <w:tc>
          <w:tcPr>
            <w:tcW w:w="7960" w:type="dxa"/>
            <w:vAlign w:val="bottom"/>
          </w:tcPr>
          <w:p>
            <w:pPr>
              <w:spacing w:after="0"/>
              <w:rPr>
                <w:sz w:val="24"/>
                <w:szCs w:val="24"/>
                <w:color w:val="auto"/>
              </w:rPr>
            </w:pPr>
          </w:p>
        </w:tc>
        <w:tc>
          <w:tcPr>
            <w:tcW w:w="3300" w:type="dxa"/>
            <w:vAlign w:val="bottom"/>
            <w:gridSpan w:val="2"/>
          </w:tcPr>
          <w:p>
            <w:pPr>
              <w:ind w:left="194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669"/>
        </w:trPr>
        <w:tc>
          <w:tcPr>
            <w:tcW w:w="79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7960" w:type="dxa"/>
            <w:vAlign w:val="bottom"/>
          </w:tcPr>
          <w:p>
            <w:pPr>
              <w:spacing w:after="0"/>
              <w:rPr>
                <w:sz w:val="20"/>
                <w:szCs w:val="20"/>
                <w:color w:val="auto"/>
              </w:rPr>
            </w:pPr>
            <w:r>
              <w:rPr>
                <w:rFonts w:ascii="Arial" w:cs="Arial" w:eastAsia="Arial" w:hAnsi="Arial"/>
                <w:sz w:val="40"/>
                <w:szCs w:val="40"/>
                <w:b w:val="1"/>
                <w:bCs w:val="1"/>
                <w:color w:val="auto"/>
              </w:rPr>
              <w:t>SUBSIDIARIES OF THE REGISTRANT*</w:t>
            </w:r>
          </w:p>
        </w:tc>
        <w:tc>
          <w:tcPr>
            <w:tcW w:w="3300" w:type="dxa"/>
            <w:vAlign w:val="bottom"/>
            <w:gridSpan w:val="2"/>
            <w:vMerge w:val="restart"/>
          </w:tcPr>
          <w:p>
            <w:pPr>
              <w:ind w:left="960"/>
              <w:spacing w:after="0"/>
              <w:rPr>
                <w:sz w:val="20"/>
                <w:szCs w:val="20"/>
                <w:color w:val="auto"/>
              </w:rPr>
            </w:pPr>
            <w:r>
              <w:rPr>
                <w:rFonts w:ascii="Arial" w:cs="Arial" w:eastAsia="Arial" w:hAnsi="Arial"/>
                <w:sz w:val="18"/>
                <w:szCs w:val="18"/>
                <w:b w:val="1"/>
                <w:bCs w:val="1"/>
                <w:color w:val="auto"/>
              </w:rPr>
              <w:t>State (or Jurisdiction) in</w:t>
            </w:r>
          </w:p>
        </w:tc>
        <w:tc>
          <w:tcPr>
            <w:tcW w:w="0" w:type="dxa"/>
            <w:vAlign w:val="bottom"/>
          </w:tcPr>
          <w:p>
            <w:pPr>
              <w:spacing w:after="0"/>
              <w:rPr>
                <w:sz w:val="1"/>
                <w:szCs w:val="1"/>
                <w:color w:val="auto"/>
              </w:rPr>
            </w:pPr>
          </w:p>
        </w:tc>
      </w:tr>
      <w:tr>
        <w:trPr>
          <w:trHeight w:val="163"/>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60" w:type="dxa"/>
            <w:vAlign w:val="bottom"/>
            <w:vMerge w:val="continue"/>
          </w:tcPr>
          <w:p>
            <w:pPr>
              <w:spacing w:after="0"/>
              <w:rPr>
                <w:sz w:val="21"/>
                <w:szCs w:val="21"/>
                <w:color w:val="auto"/>
              </w:rPr>
            </w:pPr>
          </w:p>
        </w:tc>
        <w:tc>
          <w:tcPr>
            <w:tcW w:w="3300" w:type="dxa"/>
            <w:vAlign w:val="bottom"/>
            <w:gridSpan w:val="2"/>
          </w:tcPr>
          <w:p>
            <w:pPr>
              <w:ind w:left="1280"/>
              <w:spacing w:after="0"/>
              <w:rPr>
                <w:sz w:val="20"/>
                <w:szCs w:val="20"/>
                <w:color w:val="auto"/>
              </w:rPr>
            </w:pPr>
            <w:r>
              <w:rPr>
                <w:rFonts w:ascii="Arial" w:cs="Arial" w:eastAsia="Arial" w:hAnsi="Arial"/>
                <w:sz w:val="18"/>
                <w:szCs w:val="18"/>
                <w:b w:val="1"/>
                <w:bCs w:val="1"/>
                <w:color w:val="auto"/>
              </w:rPr>
              <w:t>which Organized</w:t>
            </w:r>
          </w:p>
        </w:tc>
        <w:tc>
          <w:tcPr>
            <w:tcW w:w="0" w:type="dxa"/>
            <w:vAlign w:val="bottom"/>
          </w:tcPr>
          <w:p>
            <w:pPr>
              <w:spacing w:after="0"/>
              <w:rPr>
                <w:sz w:val="1"/>
                <w:szCs w:val="1"/>
                <w:color w:val="auto"/>
              </w:rPr>
            </w:pPr>
          </w:p>
        </w:tc>
      </w:tr>
      <w:tr>
        <w:trPr>
          <w:trHeight w:val="34"/>
        </w:trPr>
        <w:tc>
          <w:tcPr>
            <w:tcW w:w="7960" w:type="dxa"/>
            <w:vAlign w:val="bottom"/>
            <w:tcBorders>
              <w:top w:val="single" w:sz="8" w:color="auto"/>
            </w:tcBorders>
          </w:tcPr>
          <w:p>
            <w:pPr>
              <w:spacing w:after="0"/>
              <w:rPr>
                <w:sz w:val="2"/>
                <w:szCs w:val="2"/>
                <w:color w:val="auto"/>
              </w:rPr>
            </w:pPr>
          </w:p>
        </w:tc>
        <w:tc>
          <w:tcPr>
            <w:tcW w:w="328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Europe Limited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United Kingdom</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Idaho Semiconductor Manufacturing (Triton) LLC</w:t>
            </w:r>
          </w:p>
        </w:tc>
        <w:tc>
          <w:tcPr>
            <w:tcW w:w="3280" w:type="dxa"/>
            <w:vAlign w:val="bottom"/>
          </w:tcPr>
          <w:p>
            <w:pPr>
              <w:ind w:left="740"/>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Japan,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Memory Japan, K.K.</w:t>
            </w:r>
          </w:p>
        </w:tc>
        <w:tc>
          <w:tcPr>
            <w:tcW w:w="3280" w:type="dxa"/>
            <w:vAlign w:val="bottom"/>
          </w:tcPr>
          <w:p>
            <w:pPr>
              <w:ind w:left="7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Malaysia Sdn. Bhd.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Memory Taiwan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New York Semiconductor Manufacturing LLC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Asia Operations Pte.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Pte. Ltd.</w:t>
            </w:r>
          </w:p>
        </w:tc>
        <w:tc>
          <w:tcPr>
            <w:tcW w:w="3280" w:type="dxa"/>
            <w:vAlign w:val="bottom"/>
          </w:tcPr>
          <w:p>
            <w:pPr>
              <w:ind w:left="74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Products,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(Xi’an)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B.V.</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Taiwan, Inc.</w:t>
            </w:r>
          </w:p>
        </w:tc>
        <w:tc>
          <w:tcPr>
            <w:tcW w:w="3280" w:type="dxa"/>
            <w:vAlign w:val="bottom"/>
          </w:tcPr>
          <w:p>
            <w:pPr>
              <w:ind w:left="74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S-Squared Insurance Company,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400" w:firstLine="8"/>
        <w:spacing w:after="0" w:line="231" w:lineRule="auto"/>
        <w:tabs>
          <w:tab w:leader="none" w:pos="95"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240"/>
          </w:cols>
          <w:pgMar w:left="320" w:top="1137" w:right="339" w:bottom="1440" w:gutter="0" w:footer="0" w:header="0"/>
        </w:sectPr>
      </w:pPr>
    </w:p>
    <w:bookmarkStart w:id="112" w:name="page113"/>
    <w:bookmarkEnd w:id="112"/>
    <w:p>
      <w:pPr>
        <w:ind w:left="9900"/>
        <w:spacing w:after="0"/>
        <w:rPr>
          <w:sz w:val="20"/>
          <w:szCs w:val="20"/>
          <w:color w:val="auto"/>
        </w:rPr>
      </w:pPr>
      <w:r>
        <w:rPr>
          <w:rFonts w:ascii="Arial" w:cs="Arial" w:eastAsia="Arial" w:hAnsi="Arial"/>
          <w:sz w:val="21"/>
          <w:szCs w:val="21"/>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CONSENT OF INDEPENDENT REGISTERED PUBLIC ACCOUNTING FIRM</w:t>
      </w: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333-275276) and Form S-8 (File Nos. 333-17073, 333-50353, 333-103341, 333-120620, 333-133667, 333-140091, 333-148357, 333-159711, 333-171717, 333-179592, 333-190010, 333-196293, 333-203467, 333-217314, 333-223874, 333-234359, 333-255794, 333-273808) of Micron Technology, Inc. of our report dated October 4, 2024 relating to the financial statements and financial statement schedule and the effectiveness of internal control over financial reporting, which appears in this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4, 2024</w:t>
      </w:r>
    </w:p>
    <w:p>
      <w:pPr>
        <w:sectPr>
          <w:pgSz w:w="11900" w:h="16838" w:orient="portrait"/>
          <w:cols w:equalWidth="0" w:num="1">
            <w:col w:w="11240"/>
          </w:cols>
          <w:pgMar w:left="320" w:top="89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4, 2024</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October 4, 2024</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August 29, 2024,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October 4, 2024</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Annual Report of Micron Technology, Inc. on Form 10-K for the period ended August 29, 2024,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October 4, 2024</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endash "/>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bullet"/>
      <w:start w:val="1"/>
    </w:lvl>
  </w:abstractNum>
  <w:abstractNum w:abstractNumId="34">
    <w:nsid w:val="7724C67E"/>
    <w:multiLevelType w:val="hybridMultilevel"/>
    <w:lvl w:ilvl="0">
      <w:lvlJc w:val="left"/>
      <w:lvlText w:val="2"/>
      <w:numFmt w:val="bullet"/>
      <w:start w:val="1"/>
    </w:lvl>
  </w:abstractNum>
  <w:abstractNum w:abstractNumId="35">
    <w:nsid w:val="5C482A97"/>
    <w:multiLevelType w:val="hybridMultilevel"/>
    <w:lvl w:ilvl="0">
      <w:lvlJc w:val="left"/>
      <w:lvlText w:val="3"/>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200" Type="http://schemas.openxmlformats.org/officeDocument/2006/relationships/image" Target="media/image181.png"/><Relationship Id="rId225" Type="http://schemas.openxmlformats.org/officeDocument/2006/relationships/image" Target="media/image182.jpeg"/><Relationship Id="rId226"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jpe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188" Type="http://schemas.openxmlformats.org/officeDocument/2006/relationships/hyperlink" Target="https://www.sec.gov/Archives/edgar/data/723125/000110465915004447/a15-3005_2ex99d2.htm" TargetMode="External"/><Relationship Id="rId189" Type="http://schemas.openxmlformats.org/officeDocument/2006/relationships/hyperlink" Target="https://www.sec.gov/Archives/edgar/data/723125/000110465924081160/tm2419510d1_ex3-1.htm" TargetMode="External"/><Relationship Id="rId190" Type="http://schemas.openxmlformats.org/officeDocument/2006/relationships/hyperlink" Target="https://www.sec.gov/Archives/edgar/data/723125/000110465919006069/a18-36862_4ex4d1.htm" TargetMode="External"/><Relationship Id="rId191" Type="http://schemas.openxmlformats.org/officeDocument/2006/relationships/hyperlink" Target="https://www.sec.gov/Archives/edgar/data/723125/000110465919006069/a18-36862_4ex4d2.htm" TargetMode="External"/><Relationship Id="rId192" Type="http://schemas.openxmlformats.org/officeDocument/2006/relationships/hyperlink" Target="https://www.sec.gov/Archives/edgar/data/723125/000110465919040167/a19-12548_4ex4d2.htm" TargetMode="External"/><Relationship Id="rId193" Type="http://schemas.openxmlformats.org/officeDocument/2006/relationships/hyperlink" Target="https://www.sec.gov/Archives/edgar/data/723125/000110465921132377/tm2129643d4_ex4-2.htm" TargetMode="External"/><Relationship Id="rId194" Type="http://schemas.openxmlformats.org/officeDocument/2006/relationships/hyperlink" Target="https://www.sec.gov/Archives/edgar/data/723125/000072312522000048/a2022q4ex412-descriptionof.htm" TargetMode="External"/><Relationship Id="rId195" Type="http://schemas.openxmlformats.org/officeDocument/2006/relationships/hyperlink" Target="https://www.sec.gov/Archives/edgar/data/723125/000072312522000051/a2023q1ex42-supplementalin.htm" TargetMode="External"/><Relationship Id="rId196" Type="http://schemas.openxmlformats.org/officeDocument/2006/relationships/hyperlink" Target="https://www.sec.gov/Archives/edgar/data/723125/000072312523000014/a2023q2ex43-supplementalin.htm" TargetMode="External"/><Relationship Id="rId197" Type="http://schemas.openxmlformats.org/officeDocument/2006/relationships/hyperlink" Target="https://www.sec.gov/Archives/edgar/data/723125/000072312523000026/a2023q3ex42-supplementalin.htm" TargetMode="External"/><Relationship Id="rId198" Type="http://schemas.openxmlformats.org/officeDocument/2006/relationships/hyperlink" Target="https://www.sec.gov/Archives/edgar/data/723125/000110465924003666/tm243238d1_ex4-2.htm" TargetMode="External"/><Relationship Id="rId199" Type="http://schemas.openxmlformats.org/officeDocument/2006/relationships/hyperlink" Target="https://www.sec.gov/Archives/edgar/data/723125/000072312517000155/a2017definitiveproxy.htm" TargetMode="External"/><Relationship Id="rId201" Type="http://schemas.openxmlformats.org/officeDocument/2006/relationships/hyperlink" Target="https://www.sec.gov/Archives/edgar/data/723125/000072312522000072/a2023q1ex101-ar2004eip.htm" TargetMode="External"/><Relationship Id="rId202" Type="http://schemas.openxmlformats.org/officeDocument/2006/relationships/hyperlink" Target="https://www.sec.gov/Archives/edgar/data/723125/000072312522000072/a2023q1ex102-2004planterms.htm" TargetMode="External"/><Relationship Id="rId203" Type="http://schemas.openxmlformats.org/officeDocument/2006/relationships/hyperlink" Target="https://www.sec.gov/Archives/edgar/data/723125/000072312520000091/a2020definitiveproxy.htm#i9efa54f8cda348dca7e1a84d2a2067d2_917" TargetMode="External"/><Relationship Id="rId204" Type="http://schemas.openxmlformats.org/officeDocument/2006/relationships/hyperlink" Target="https://www.sec.gov/Archives/edgar/data/723125/000072312522000072/a2023q1ex103-2007planterms.htm" TargetMode="External"/><Relationship Id="rId205" Type="http://schemas.openxmlformats.org/officeDocument/2006/relationships/hyperlink" Target="https://www.sec.gov/Archives/edgar/data/723125/000072312516000269/a2016q4ex1010nonstatutorys.htm" TargetMode="External"/><Relationship Id="rId206" Type="http://schemas.openxmlformats.org/officeDocument/2006/relationships/hyperlink" Target="https://www.sec.gov/Archives/edgar/data/723125/000072312516000269/a2016q4ex1011stockplanterm.htm" TargetMode="External"/><Relationship Id="rId207" Type="http://schemas.openxmlformats.org/officeDocument/2006/relationships/hyperlink" Target="https://www.sec.gov/Archives/edgar/data/723125/000072312514000068/a2014q2ex10-3.htm" TargetMode="External"/><Relationship Id="rId208" Type="http://schemas.openxmlformats.org/officeDocument/2006/relationships/hyperlink" Target="https://www.sec.gov/Archives/edgar/data/723125/000072312507000113/exhibit_99-2.htm" TargetMode="External"/><Relationship Id="rId209" Type="http://schemas.openxmlformats.org/officeDocument/2006/relationships/hyperlink" Target="https://www.sec.gov/Archives/edgar/data/723125/000072312523000054/a2023q4ex1010-deferredcomp.htm" TargetMode="External"/><Relationship Id="rId210" Type="http://schemas.openxmlformats.org/officeDocument/2006/relationships/hyperlink" Target="https://www.sec.gov/Archives/edgar/data/723125/000072312522000048/a2022q4ex1011-arexecagtmeh.htm" TargetMode="External"/><Relationship Id="rId211" Type="http://schemas.openxmlformats.org/officeDocument/2006/relationships/hyperlink" Target="https://www.sec.gov/Archives/edgar/data/723125/000072312517000166/a2018q1ex10-70xssseverance.htm" TargetMode="External"/><Relationship Id="rId212" Type="http://schemas.openxmlformats.org/officeDocument/2006/relationships/hyperlink" Target="https://www.sec.gov/Archives/edgar/data/723125/000072312517000148/exhibit991formofamendmentt.htm" TargetMode="External"/><Relationship Id="rId213" Type="http://schemas.openxmlformats.org/officeDocument/2006/relationships/hyperlink" Target="https://www.sec.gov/Archives/edgar/data/723125/000072312517000166/a2018q1ex10-74xmbseverance.htm" TargetMode="External"/><Relationship Id="rId214" Type="http://schemas.openxmlformats.org/officeDocument/2006/relationships/hyperlink" Target="https://www.sec.gov/Archives/edgar/data/723125/000072312522000036/a2022q3ex101-employeestock.htm" TargetMode="External"/><Relationship Id="rId215" Type="http://schemas.openxmlformats.org/officeDocument/2006/relationships/hyperlink" Target="https://www.sec.gov/Archives/edgar/data/723125/000072312522000036/a2022q3ex103-benefitsforma.htm" TargetMode="External"/><Relationship Id="rId216" Type="http://schemas.openxmlformats.org/officeDocument/2006/relationships/hyperlink" Target="https://www.sec.gov/Archives/edgar/data/723125/000072312521000052/revolvingcreditagreementmi.htm" TargetMode="External"/><Relationship Id="rId217" Type="http://schemas.openxmlformats.org/officeDocument/2006/relationships/hyperlink" Target="https://www.sec.gov/Archives/edgar/data/723125/000072312521000052/termloancreditagreementmic.htm" TargetMode="External"/><Relationship Id="rId218" Type="http://schemas.openxmlformats.org/officeDocument/2006/relationships/hyperlink" Target="https://www.sec.gov/Archives/edgar/data/723125/000072312522000072/a2023q1ex104-creditagreeme.htm" TargetMode="External"/><Relationship Id="rId219" Type="http://schemas.openxmlformats.org/officeDocument/2006/relationships/hyperlink" Target="https://www.sec.gov/Archives/edgar/data/723125/000072312523000022/a2023q2ex101-creditagreeme.htm" TargetMode="External"/><Relationship Id="rId220" Type="http://schemas.openxmlformats.org/officeDocument/2006/relationships/hyperlink" Target="https://www.sec.gov/Archives/edgar/data/723125/000072312523000022/a2023q2ex103-amendmentno12.htm" TargetMode="External"/><Relationship Id="rId221" Type="http://schemas.openxmlformats.org/officeDocument/2006/relationships/hyperlink" Target="https://www.sec.gov/Archives/edgar/data/723125/000072312523000022/a2023q2ex102-amendmentno22.htm" TargetMode="External"/><Relationship Id="rId222" Type="http://schemas.openxmlformats.org/officeDocument/2006/relationships/hyperlink" Target="https://www.sec.gov/Archives/edgar/data/723125/000072312523000022/a2023q2ex104-amendmentno12.htm" TargetMode="External"/><Relationship Id="rId223" Type="http://schemas.openxmlformats.org/officeDocument/2006/relationships/hyperlink" Target="https://www.sec.gov/Archives/edgar/data/723125/000072312523000022/a2023q2ex105-formofconsent.htm" TargetMode="External"/><Relationship Id="rId224" Type="http://schemas.openxmlformats.org/officeDocument/2006/relationships/hyperlink" Target="https://www.sec.gov/Archives/edgar/data/723125/000072312523000041/a2023q3ex101-amendmentno22.htm" TargetMode="External"/><Relationship Id="rId227" Type="http://schemas.openxmlformats.org/officeDocument/2006/relationships/hyperlink" Target="https://www.sec.gov/Archives/edgar/data/723125/000072312523000041/a2023q3ex102-amendmentno22.htm" TargetMode="External"/><Relationship Id="rId228" Type="http://schemas.openxmlformats.org/officeDocument/2006/relationships/hyperlink" Target="https://www.sec.gov/Archives/edgar/data/723125/000072312523000077/a2024q1ex101cashseverancep.htm" TargetMode="External"/><Relationship Id="rId229" Type="http://schemas.openxmlformats.org/officeDocument/2006/relationships/hyperlink" Target="https://www.sec.gov/Archives/edgar/data/723125/000072312523000077/a2024q1ex102sanjaymehrotra.htm" TargetMode="External"/><Relationship Id="rId230" Type="http://schemas.openxmlformats.org/officeDocument/2006/relationships/hyperlink" Target="https://www.sec.gov/Archives/edgar/data/723125/000072312523000077/a2024q1ex103arseveranceagr.htm" TargetMode="External"/><Relationship Id="rId231" Type="http://schemas.openxmlformats.org/officeDocument/2006/relationships/hyperlink" Target="https://www.sec.gov/Archives/edgar/data/723125/000072312523000077/a2024q1ex104directorcompen.htm" TargetMode="External"/><Relationship Id="rId232" Type="http://schemas.openxmlformats.org/officeDocument/2006/relationships/hyperlink" Target="https://www.sec.gov/Archives/edgar/data/723125/000072312523000054/a2023q4ex971-compensa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2024-10-04T15:33:49Z</dcterms:created>
  <dcterms:modified xsi:type="dcterms:W3CDTF">2024-10-04T15:33:49Z</dcterms:modified>
</cp:coreProperties>
</file>